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206375</wp:posOffset>
            </wp:positionH>
            <wp:positionV relativeFrom="page">
              <wp:posOffset>704850</wp:posOffset>
            </wp:positionV>
            <wp:extent cx="713613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16510"/>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ind w:left="31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10-K</w:t>
      </w:r>
    </w:p>
    <w:p>
      <w:pPr>
        <w:spacing w:after="0" w:line="127"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 w:lineRule="exact"/>
        <w:rPr>
          <w:sz w:val="24"/>
          <w:szCs w:val="24"/>
          <w:color w:val="auto"/>
        </w:rPr>
      </w:pPr>
    </w:p>
    <w:p>
      <w:pPr>
        <w:ind w:left="360" w:hanging="355"/>
        <w:spacing w:after="0"/>
        <w:tabs>
          <w:tab w:leader="none" w:pos="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5" w:lineRule="exact"/>
        <w:rPr>
          <w:sz w:val="24"/>
          <w:szCs w:val="24"/>
          <w:color w:val="auto"/>
        </w:rPr>
      </w:pPr>
    </w:p>
    <w:tbl>
      <w:tblPr>
        <w:tblLayout w:type="fixed"/>
        <w:tblInd w:w="152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302"/>
        </w:trPr>
        <w:tc>
          <w:tcPr>
            <w:tcW w:w="7380" w:type="dxa"/>
            <w:vAlign w:val="bottom"/>
            <w:gridSpan w:val="3"/>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w w:val="99"/>
              </w:rPr>
              <w:t>Commission File Number: 1-13199 (SL Green Realty Corp.)</w:t>
            </w:r>
          </w:p>
        </w:tc>
      </w:tr>
      <w:tr>
        <w:trPr>
          <w:trHeight w:val="315"/>
        </w:trPr>
        <w:tc>
          <w:tcPr>
            <w:tcW w:w="7380" w:type="dxa"/>
            <w:vAlign w:val="bottom"/>
            <w:gridSpan w:val="3"/>
          </w:tcPr>
          <w:p>
            <w:pPr>
              <w:jc w:val="center"/>
              <w:ind w:left="729"/>
              <w:spacing w:after="0"/>
              <w:rPr>
                <w:sz w:val="20"/>
                <w:szCs w:val="20"/>
                <w:color w:val="auto"/>
              </w:rPr>
            </w:pPr>
            <w:r>
              <w:rPr>
                <w:rFonts w:ascii="Times New Roman" w:cs="Times New Roman" w:eastAsia="Times New Roman" w:hAnsi="Times New Roman"/>
                <w:sz w:val="14"/>
                <w:szCs w:val="14"/>
                <w:b w:val="1"/>
                <w:bCs w:val="1"/>
                <w:color w:val="auto"/>
                <w:w w:val="99"/>
              </w:rPr>
              <w:t>Commission File Number: 33-167793-02 (SL Green Operating Partnership, L.P.)</w:t>
            </w:r>
          </w:p>
        </w:tc>
      </w:tr>
      <w:tr>
        <w:trPr>
          <w:trHeight w:val="302"/>
        </w:trPr>
        <w:tc>
          <w:tcPr>
            <w:tcW w:w="7380" w:type="dxa"/>
            <w:vAlign w:val="bottom"/>
            <w:gridSpan w:val="3"/>
          </w:tcPr>
          <w:p>
            <w:pPr>
              <w:jc w:val="center"/>
              <w:ind w:left="729"/>
              <w:spacing w:after="0"/>
              <w:rPr>
                <w:sz w:val="20"/>
                <w:szCs w:val="20"/>
                <w:color w:val="auto"/>
              </w:rPr>
            </w:pPr>
            <w:r>
              <w:rPr>
                <w:rFonts w:ascii="Times New Roman" w:cs="Times New Roman" w:eastAsia="Times New Roman" w:hAnsi="Times New Roman"/>
                <w:sz w:val="14"/>
                <w:szCs w:val="14"/>
                <w:color w:val="auto"/>
                <w:w w:val="99"/>
              </w:rPr>
              <w:t>______________________________________________________________________</w:t>
            </w:r>
          </w:p>
        </w:tc>
      </w:tr>
      <w:tr>
        <w:trPr>
          <w:trHeight w:val="462"/>
        </w:trPr>
        <w:tc>
          <w:tcPr>
            <w:tcW w:w="7380" w:type="dxa"/>
            <w:vAlign w:val="bottom"/>
            <w:gridSpan w:val="3"/>
          </w:tcPr>
          <w:p>
            <w:pPr>
              <w:jc w:val="center"/>
              <w:ind w:left="749"/>
              <w:spacing w:after="0"/>
              <w:rPr>
                <w:sz w:val="20"/>
                <w:szCs w:val="20"/>
                <w:color w:val="auto"/>
              </w:rPr>
            </w:pPr>
            <w:r>
              <w:rPr>
                <w:rFonts w:ascii="Times New Roman" w:cs="Times New Roman" w:eastAsia="Times New Roman" w:hAnsi="Times New Roman"/>
                <w:sz w:val="31"/>
                <w:szCs w:val="31"/>
                <w:b w:val="1"/>
                <w:bCs w:val="1"/>
                <w:color w:val="auto"/>
                <w:w w:val="99"/>
              </w:rPr>
              <w:t>SL GREEN REALTY CORP.</w:t>
            </w:r>
          </w:p>
        </w:tc>
      </w:tr>
      <w:tr>
        <w:trPr>
          <w:trHeight w:val="392"/>
        </w:trPr>
        <w:tc>
          <w:tcPr>
            <w:tcW w:w="7380" w:type="dxa"/>
            <w:vAlign w:val="bottom"/>
            <w:gridSpan w:val="3"/>
          </w:tcPr>
          <w:p>
            <w:pPr>
              <w:jc w:val="center"/>
              <w:ind w:left="749"/>
              <w:spacing w:after="0"/>
              <w:rPr>
                <w:sz w:val="20"/>
                <w:szCs w:val="20"/>
                <w:color w:val="auto"/>
              </w:rPr>
            </w:pPr>
            <w:r>
              <w:rPr>
                <w:rFonts w:ascii="Times New Roman" w:cs="Times New Roman" w:eastAsia="Times New Roman" w:hAnsi="Times New Roman"/>
                <w:sz w:val="31"/>
                <w:szCs w:val="31"/>
                <w:b w:val="1"/>
                <w:bCs w:val="1"/>
                <w:color w:val="auto"/>
                <w:w w:val="99"/>
              </w:rPr>
              <w:t>SL GREEN OPERATING PARTNERSHIP, L.P.</w:t>
            </w:r>
          </w:p>
        </w:tc>
      </w:tr>
      <w:tr>
        <w:trPr>
          <w:trHeight w:val="157"/>
        </w:trPr>
        <w:tc>
          <w:tcPr>
            <w:tcW w:w="2580" w:type="dxa"/>
            <w:vAlign w:val="bottom"/>
          </w:tcPr>
          <w:p>
            <w:pPr>
              <w:spacing w:after="0"/>
              <w:rPr>
                <w:sz w:val="13"/>
                <w:szCs w:val="13"/>
                <w:color w:val="auto"/>
              </w:rPr>
            </w:pPr>
          </w:p>
        </w:tc>
        <w:tc>
          <w:tcPr>
            <w:tcW w:w="4800" w:type="dxa"/>
            <w:vAlign w:val="bottom"/>
            <w:gridSpan w:val="2"/>
          </w:tcPr>
          <w:p>
            <w:pPr>
              <w:jc w:val="center"/>
              <w:ind w:right="1690"/>
              <w:spacing w:after="0" w:line="157" w:lineRule="exact"/>
              <w:rPr>
                <w:sz w:val="20"/>
                <w:szCs w:val="20"/>
                <w:color w:val="auto"/>
              </w:rPr>
            </w:pPr>
            <w:r>
              <w:rPr>
                <w:rFonts w:ascii="Times New Roman" w:cs="Times New Roman" w:eastAsia="Times New Roman" w:hAnsi="Times New Roman"/>
                <w:sz w:val="14"/>
                <w:szCs w:val="14"/>
                <w:color w:val="auto"/>
                <w:w w:val="99"/>
              </w:rPr>
              <w:t>(Exact name of registrant as specified in its charter)</w:t>
            </w:r>
          </w:p>
        </w:tc>
      </w:tr>
      <w:tr>
        <w:trPr>
          <w:trHeight w:val="183"/>
        </w:trPr>
        <w:tc>
          <w:tcPr>
            <w:tcW w:w="7380" w:type="dxa"/>
            <w:vAlign w:val="bottom"/>
            <w:gridSpan w:val="3"/>
          </w:tcPr>
          <w:p>
            <w:pPr>
              <w:jc w:val="center"/>
              <w:ind w:left="729"/>
              <w:spacing w:after="0"/>
              <w:rPr>
                <w:sz w:val="20"/>
                <w:szCs w:val="20"/>
                <w:color w:val="auto"/>
              </w:rPr>
            </w:pPr>
            <w:r>
              <w:rPr>
                <w:rFonts w:ascii="Times New Roman" w:cs="Times New Roman" w:eastAsia="Times New Roman" w:hAnsi="Times New Roman"/>
                <w:sz w:val="14"/>
                <w:szCs w:val="14"/>
                <w:color w:val="auto"/>
                <w:w w:val="99"/>
              </w:rPr>
              <w:t>______________________________________________________________________</w:t>
            </w:r>
          </w:p>
        </w:tc>
      </w:tr>
      <w:tr>
        <w:trPr>
          <w:trHeight w:val="334"/>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SL Green Realty Corp.</w:t>
            </w:r>
          </w:p>
        </w:tc>
        <w:tc>
          <w:tcPr>
            <w:tcW w:w="2320" w:type="dxa"/>
            <w:vAlign w:val="bottom"/>
          </w:tcPr>
          <w:p>
            <w:pPr>
              <w:jc w:val="center"/>
              <w:ind w:left="65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480" w:type="dxa"/>
            <w:vAlign w:val="bottom"/>
          </w:tcPr>
          <w:p>
            <w:pPr>
              <w:jc w:val="center"/>
              <w:ind w:left="1490"/>
              <w:spacing w:after="0"/>
              <w:rPr>
                <w:sz w:val="20"/>
                <w:szCs w:val="20"/>
                <w:color w:val="auto"/>
              </w:rPr>
            </w:pPr>
            <w:r>
              <w:rPr>
                <w:rFonts w:ascii="Times New Roman" w:cs="Times New Roman" w:eastAsia="Times New Roman" w:hAnsi="Times New Roman"/>
                <w:sz w:val="16"/>
                <w:szCs w:val="16"/>
                <w:b w:val="1"/>
                <w:bCs w:val="1"/>
                <w:color w:val="auto"/>
                <w:w w:val="98"/>
              </w:rPr>
              <w:t>13-3956775</w:t>
            </w:r>
          </w:p>
        </w:tc>
      </w:tr>
      <w:tr>
        <w:trPr>
          <w:trHeight w:val="210"/>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SL Green Operating Partnership, L.P.</w:t>
            </w:r>
          </w:p>
        </w:tc>
        <w:tc>
          <w:tcPr>
            <w:tcW w:w="2320" w:type="dxa"/>
            <w:vAlign w:val="bottom"/>
          </w:tcPr>
          <w:p>
            <w:pPr>
              <w:jc w:val="center"/>
              <w:ind w:left="65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480" w:type="dxa"/>
            <w:vAlign w:val="bottom"/>
          </w:tcPr>
          <w:p>
            <w:pPr>
              <w:jc w:val="center"/>
              <w:ind w:left="1490"/>
              <w:spacing w:after="0"/>
              <w:rPr>
                <w:sz w:val="20"/>
                <w:szCs w:val="20"/>
                <w:color w:val="auto"/>
              </w:rPr>
            </w:pPr>
            <w:r>
              <w:rPr>
                <w:rFonts w:ascii="Times New Roman" w:cs="Times New Roman" w:eastAsia="Times New Roman" w:hAnsi="Times New Roman"/>
                <w:sz w:val="16"/>
                <w:szCs w:val="16"/>
                <w:b w:val="1"/>
                <w:bCs w:val="1"/>
                <w:color w:val="auto"/>
                <w:w w:val="98"/>
              </w:rPr>
              <w:t>13-3960938</w:t>
            </w:r>
          </w:p>
        </w:tc>
      </w:tr>
      <w:tr>
        <w:trPr>
          <w:trHeight w:val="136"/>
        </w:trPr>
        <w:tc>
          <w:tcPr>
            <w:tcW w:w="2580" w:type="dxa"/>
            <w:vAlign w:val="bottom"/>
          </w:tcPr>
          <w:p>
            <w:pPr>
              <w:spacing w:after="0"/>
              <w:rPr>
                <w:sz w:val="11"/>
                <w:szCs w:val="11"/>
                <w:color w:val="auto"/>
              </w:rPr>
            </w:pPr>
          </w:p>
        </w:tc>
        <w:tc>
          <w:tcPr>
            <w:tcW w:w="2320" w:type="dxa"/>
            <w:vAlign w:val="bottom"/>
          </w:tcPr>
          <w:p>
            <w:pPr>
              <w:jc w:val="center"/>
              <w:ind w:left="630"/>
              <w:spacing w:after="0" w:line="136" w:lineRule="exact"/>
              <w:rPr>
                <w:sz w:val="20"/>
                <w:szCs w:val="20"/>
                <w:color w:val="auto"/>
              </w:rPr>
            </w:pPr>
            <w:r>
              <w:rPr>
                <w:rFonts w:ascii="Times New Roman" w:cs="Times New Roman" w:eastAsia="Times New Roman" w:hAnsi="Times New Roman"/>
                <w:sz w:val="12"/>
                <w:szCs w:val="12"/>
                <w:color w:val="auto"/>
              </w:rPr>
              <w:t>(State or other jurisdiction of</w:t>
            </w:r>
          </w:p>
        </w:tc>
        <w:tc>
          <w:tcPr>
            <w:tcW w:w="2480" w:type="dxa"/>
            <w:vAlign w:val="bottom"/>
          </w:tcPr>
          <w:p>
            <w:pPr>
              <w:jc w:val="center"/>
              <w:ind w:left="1490"/>
              <w:spacing w:after="0" w:line="136" w:lineRule="exact"/>
              <w:rPr>
                <w:sz w:val="20"/>
                <w:szCs w:val="20"/>
                <w:color w:val="auto"/>
              </w:rPr>
            </w:pPr>
            <w:r>
              <w:rPr>
                <w:rFonts w:ascii="Times New Roman" w:cs="Times New Roman" w:eastAsia="Times New Roman" w:hAnsi="Times New Roman"/>
                <w:sz w:val="12"/>
                <w:szCs w:val="12"/>
                <w:color w:val="auto"/>
              </w:rPr>
              <w:t>(I.R.S. Employer</w:t>
            </w:r>
          </w:p>
        </w:tc>
      </w:tr>
      <w:tr>
        <w:trPr>
          <w:trHeight w:val="159"/>
        </w:trPr>
        <w:tc>
          <w:tcPr>
            <w:tcW w:w="2580" w:type="dxa"/>
            <w:vAlign w:val="bottom"/>
          </w:tcPr>
          <w:p>
            <w:pPr>
              <w:spacing w:after="0"/>
              <w:rPr>
                <w:sz w:val="13"/>
                <w:szCs w:val="13"/>
                <w:color w:val="auto"/>
              </w:rPr>
            </w:pPr>
          </w:p>
        </w:tc>
        <w:tc>
          <w:tcPr>
            <w:tcW w:w="2320" w:type="dxa"/>
            <w:vAlign w:val="bottom"/>
          </w:tcPr>
          <w:p>
            <w:pPr>
              <w:jc w:val="center"/>
              <w:ind w:left="650"/>
              <w:spacing w:after="0"/>
              <w:rPr>
                <w:sz w:val="20"/>
                <w:szCs w:val="20"/>
                <w:color w:val="auto"/>
              </w:rPr>
            </w:pPr>
            <w:r>
              <w:rPr>
                <w:rFonts w:ascii="Times New Roman" w:cs="Times New Roman" w:eastAsia="Times New Roman" w:hAnsi="Times New Roman"/>
                <w:sz w:val="12"/>
                <w:szCs w:val="12"/>
                <w:color w:val="auto"/>
              </w:rPr>
              <w:t>incorporation or organization)</w:t>
            </w:r>
          </w:p>
        </w:tc>
        <w:tc>
          <w:tcPr>
            <w:tcW w:w="2480" w:type="dxa"/>
            <w:vAlign w:val="bottom"/>
          </w:tcPr>
          <w:p>
            <w:pPr>
              <w:jc w:val="center"/>
              <w:ind w:left="149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413"/>
        </w:trPr>
        <w:tc>
          <w:tcPr>
            <w:tcW w:w="7380" w:type="dxa"/>
            <w:vAlign w:val="bottom"/>
            <w:gridSpan w:val="3"/>
          </w:tcPr>
          <w:p>
            <w:pPr>
              <w:jc w:val="center"/>
              <w:ind w:left="749"/>
              <w:spacing w:after="0"/>
              <w:rPr>
                <w:sz w:val="20"/>
                <w:szCs w:val="20"/>
                <w:color w:val="auto"/>
              </w:rPr>
            </w:pPr>
            <w:r>
              <w:rPr>
                <w:rFonts w:ascii="Times New Roman" w:cs="Times New Roman" w:eastAsia="Times New Roman" w:hAnsi="Times New Roman"/>
                <w:sz w:val="17"/>
                <w:szCs w:val="17"/>
                <w:b w:val="1"/>
                <w:bCs w:val="1"/>
                <w:color w:val="auto"/>
              </w:rPr>
              <w:t>One Vanderbilt Avenue, New York, NY 10017</w:t>
            </w:r>
          </w:p>
        </w:tc>
      </w:tr>
      <w:tr>
        <w:trPr>
          <w:trHeight w:val="159"/>
        </w:trPr>
        <w:tc>
          <w:tcPr>
            <w:tcW w:w="2580" w:type="dxa"/>
            <w:vAlign w:val="bottom"/>
          </w:tcPr>
          <w:p>
            <w:pPr>
              <w:spacing w:after="0"/>
              <w:rPr>
                <w:sz w:val="13"/>
                <w:szCs w:val="13"/>
                <w:color w:val="auto"/>
              </w:rPr>
            </w:pPr>
          </w:p>
        </w:tc>
        <w:tc>
          <w:tcPr>
            <w:tcW w:w="4800" w:type="dxa"/>
            <w:vAlign w:val="bottom"/>
            <w:gridSpan w:val="2"/>
          </w:tcPr>
          <w:p>
            <w:pPr>
              <w:jc w:val="center"/>
              <w:ind w:right="169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r>
      <w:tr>
        <w:trPr>
          <w:trHeight w:val="431"/>
        </w:trPr>
        <w:tc>
          <w:tcPr>
            <w:tcW w:w="2580" w:type="dxa"/>
            <w:vAlign w:val="bottom"/>
          </w:tcPr>
          <w:p>
            <w:pPr>
              <w:spacing w:after="0"/>
              <w:rPr>
                <w:sz w:val="24"/>
                <w:szCs w:val="24"/>
                <w:color w:val="auto"/>
              </w:rPr>
            </w:pPr>
          </w:p>
        </w:tc>
        <w:tc>
          <w:tcPr>
            <w:tcW w:w="2320" w:type="dxa"/>
            <w:vAlign w:val="bottom"/>
          </w:tcPr>
          <w:p>
            <w:pPr>
              <w:jc w:val="center"/>
              <w:ind w:left="670"/>
              <w:spacing w:after="0"/>
              <w:rPr>
                <w:sz w:val="20"/>
                <w:szCs w:val="20"/>
                <w:color w:val="auto"/>
              </w:rPr>
            </w:pPr>
            <w:r>
              <w:rPr>
                <w:rFonts w:ascii="Times New Roman" w:cs="Times New Roman" w:eastAsia="Times New Roman" w:hAnsi="Times New Roman"/>
                <w:sz w:val="17"/>
                <w:szCs w:val="17"/>
                <w:b w:val="1"/>
                <w:bCs w:val="1"/>
                <w:color w:val="auto"/>
              </w:rPr>
              <w:t>(212) 594-2700</w:t>
            </w:r>
          </w:p>
        </w:tc>
        <w:tc>
          <w:tcPr>
            <w:tcW w:w="2480" w:type="dxa"/>
            <w:vAlign w:val="bottom"/>
          </w:tcPr>
          <w:p>
            <w:pPr>
              <w:spacing w:after="0"/>
              <w:rPr>
                <w:sz w:val="24"/>
                <w:szCs w:val="24"/>
                <w:color w:val="auto"/>
              </w:rPr>
            </w:pPr>
          </w:p>
        </w:tc>
      </w:tr>
      <w:tr>
        <w:trPr>
          <w:trHeight w:val="140"/>
        </w:trPr>
        <w:tc>
          <w:tcPr>
            <w:tcW w:w="2580" w:type="dxa"/>
            <w:vAlign w:val="bottom"/>
          </w:tcPr>
          <w:p>
            <w:pPr>
              <w:spacing w:after="0"/>
              <w:rPr>
                <w:sz w:val="12"/>
                <w:szCs w:val="12"/>
                <w:color w:val="auto"/>
              </w:rPr>
            </w:pPr>
          </w:p>
        </w:tc>
        <w:tc>
          <w:tcPr>
            <w:tcW w:w="4800" w:type="dxa"/>
            <w:vAlign w:val="bottom"/>
            <w:gridSpan w:val="2"/>
          </w:tcPr>
          <w:p>
            <w:pPr>
              <w:jc w:val="center"/>
              <w:ind w:right="167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r>
      <w:tr>
        <w:trPr>
          <w:trHeight w:val="183"/>
        </w:trPr>
        <w:tc>
          <w:tcPr>
            <w:tcW w:w="7380" w:type="dxa"/>
            <w:vAlign w:val="bottom"/>
            <w:gridSpan w:val="3"/>
          </w:tcPr>
          <w:p>
            <w:pPr>
              <w:jc w:val="center"/>
              <w:ind w:left="729"/>
              <w:spacing w:after="0"/>
              <w:rPr>
                <w:sz w:val="20"/>
                <w:szCs w:val="20"/>
                <w:color w:val="auto"/>
              </w:rPr>
            </w:pPr>
            <w:r>
              <w:rPr>
                <w:rFonts w:ascii="Times New Roman" w:cs="Times New Roman" w:eastAsia="Times New Roman" w:hAnsi="Times New Roman"/>
                <w:sz w:val="14"/>
                <w:szCs w:val="14"/>
                <w:color w:val="auto"/>
                <w:w w:val="99"/>
              </w:rPr>
              <w:t>______________________________________________________________________</w:t>
            </w:r>
          </w:p>
        </w:tc>
      </w:tr>
    </w:tbl>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4560" w:type="dxa"/>
            <w:vAlign w:val="bottom"/>
            <w:gridSpan w:val="6"/>
          </w:tcPr>
          <w:p>
            <w:pPr>
              <w:spacing w:after="0"/>
              <w:rPr>
                <w:sz w:val="20"/>
                <w:szCs w:val="20"/>
                <w:color w:val="auto"/>
              </w:rPr>
            </w:pPr>
            <w:r>
              <w:rPr>
                <w:rFonts w:ascii="Times New Roman" w:cs="Times New Roman" w:eastAsia="Times New Roman" w:hAnsi="Times New Roman"/>
                <w:sz w:val="14"/>
                <w:szCs w:val="14"/>
                <w:color w:val="auto"/>
                <w:w w:val="99"/>
              </w:rPr>
              <w:t>SECURITIES REGISTERED PURSUANT TO SECTION 12(B) OF THE ACT:</w:t>
            </w:r>
          </w:p>
        </w:tc>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288"/>
        </w:trPr>
        <w:tc>
          <w:tcPr>
            <w:tcW w:w="60" w:type="dxa"/>
            <w:vAlign w:val="bottom"/>
          </w:tcPr>
          <w:p>
            <w:pPr>
              <w:spacing w:after="0"/>
              <w:rPr>
                <w:sz w:val="24"/>
                <w:szCs w:val="24"/>
                <w:color w:val="auto"/>
              </w:rPr>
            </w:pPr>
          </w:p>
        </w:tc>
        <w:tc>
          <w:tcPr>
            <w:tcW w:w="276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7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6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11"/>
        </w:trPr>
        <w:tc>
          <w:tcPr>
            <w:tcW w:w="6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SL Green Realty Corp.</w:t>
            </w:r>
          </w:p>
        </w:tc>
        <w:tc>
          <w:tcPr>
            <w:tcW w:w="1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7"/>
                <w:szCs w:val="17"/>
                <w:color w:val="auto"/>
              </w:rPr>
              <w:t>SLG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40" w:type="dxa"/>
            <w:vAlign w:val="bottom"/>
          </w:tcPr>
          <w:p>
            <w:pPr>
              <w:jc w:val="center"/>
              <w:ind w:right="77"/>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1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New York Stock Exchange</w:t>
            </w:r>
          </w:p>
        </w:tc>
      </w:tr>
      <w:tr>
        <w:trPr>
          <w:trHeight w:val="184"/>
        </w:trPr>
        <w:tc>
          <w:tcPr>
            <w:tcW w:w="60" w:type="dxa"/>
            <w:vAlign w:val="bottom"/>
          </w:tcPr>
          <w:p>
            <w:pPr>
              <w:spacing w:after="0"/>
              <w:rPr>
                <w:sz w:val="15"/>
                <w:szCs w:val="15"/>
                <w:color w:val="auto"/>
              </w:rPr>
            </w:pPr>
          </w:p>
        </w:tc>
        <w:tc>
          <w:tcPr>
            <w:tcW w:w="276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SL Green Realty Corp.</w:t>
            </w:r>
          </w:p>
        </w:tc>
        <w:tc>
          <w:tcPr>
            <w:tcW w:w="174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SLG.PRI</w:t>
            </w:r>
          </w:p>
        </w:tc>
        <w:tc>
          <w:tcPr>
            <w:tcW w:w="38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7"/>
                <w:szCs w:val="17"/>
                <w:color w:val="auto"/>
              </w:rPr>
              <w:t>6.500% Series I Cumulative Redeemable Preferred</w:t>
            </w:r>
          </w:p>
        </w:tc>
        <w:tc>
          <w:tcPr>
            <w:tcW w:w="27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auto"/>
              </w:rPr>
              <w:t>New York Stock Exchange</w:t>
            </w:r>
          </w:p>
        </w:tc>
      </w:tr>
      <w:tr>
        <w:trPr>
          <w:trHeight w:val="228"/>
        </w:trPr>
        <w:tc>
          <w:tcPr>
            <w:tcW w:w="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Stock, $0.01 par value</w:t>
            </w:r>
          </w:p>
        </w:tc>
        <w:tc>
          <w:tcPr>
            <w:tcW w:w="2780" w:type="dxa"/>
            <w:vAlign w:val="bottom"/>
          </w:tcPr>
          <w:p>
            <w:pPr>
              <w:spacing w:after="0"/>
              <w:rPr>
                <w:sz w:val="19"/>
                <w:szCs w:val="19"/>
                <w:color w:val="auto"/>
              </w:rPr>
            </w:pPr>
          </w:p>
        </w:tc>
      </w:tr>
    </w:tbl>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128" w:lineRule="exact"/>
        <w:rPr>
          <w:sz w:val="24"/>
          <w:szCs w:val="24"/>
          <w:color w:val="auto"/>
        </w:rPr>
      </w:pPr>
    </w:p>
    <w:p>
      <w:pPr>
        <w:spacing w:after="0"/>
        <w:tabs>
          <w:tab w:leader="none" w:pos="1400" w:val="left"/>
          <w:tab w:leader="none" w:pos="1940" w:val="left"/>
          <w:tab w:leader="none" w:pos="2880" w:val="left"/>
          <w:tab w:leader="none" w:pos="5120" w:val="left"/>
          <w:tab w:leader="none" w:pos="5620" w:val="left"/>
        </w:tabs>
        <w:rPr>
          <w:sz w:val="20"/>
          <w:szCs w:val="20"/>
          <w:color w:val="auto"/>
        </w:rPr>
      </w:pPr>
      <w:r>
        <w:rPr>
          <w:rFonts w:ascii="Times New Roman" w:cs="Times New Roman" w:eastAsia="Times New Roman" w:hAnsi="Times New Roman"/>
          <w:sz w:val="14"/>
          <w:szCs w:val="14"/>
          <w:color w:val="auto"/>
        </w:rPr>
        <w:t>SL Green Realty Corp.</w:t>
        <w:tab/>
        <w:t xml:space="preserve">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SL Green Operating Partnership, L.P.</w:t>
        <w:tab/>
        <w:t xml:space="preserve">Yes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3"/>
          <w:szCs w:val="13"/>
          <w:color w:val="auto"/>
        </w:rPr>
        <w:t xml:space="preserve">No </w:t>
      </w:r>
      <w:r>
        <w:rPr>
          <w:rFonts w:ascii="Wingdings" w:cs="Wingdings" w:eastAsia="Wingdings" w:hAnsi="Wingdings"/>
          <w:sz w:val="13"/>
          <w:szCs w:val="13"/>
          <w:b w:val="1"/>
          <w:bCs w:val="1"/>
          <w:color w:val="auto"/>
        </w:rPr>
        <w:t>x</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128" w:lineRule="exact"/>
        <w:rPr>
          <w:sz w:val="24"/>
          <w:szCs w:val="24"/>
          <w:color w:val="auto"/>
        </w:rPr>
      </w:pPr>
    </w:p>
    <w:p>
      <w:pPr>
        <w:spacing w:after="0"/>
        <w:tabs>
          <w:tab w:leader="none" w:pos="1400" w:val="left"/>
          <w:tab w:leader="none" w:pos="1920" w:val="left"/>
          <w:tab w:leader="none" w:pos="2880" w:val="left"/>
          <w:tab w:leader="none" w:pos="5120" w:val="left"/>
          <w:tab w:leader="none" w:pos="5620" w:val="left"/>
        </w:tabs>
        <w:rPr>
          <w:sz w:val="20"/>
          <w:szCs w:val="20"/>
          <w:color w:val="auto"/>
        </w:rPr>
      </w:pPr>
      <w:r>
        <w:rPr>
          <w:rFonts w:ascii="Times New Roman" w:cs="Times New Roman" w:eastAsia="Times New Roman" w:hAnsi="Times New Roman"/>
          <w:sz w:val="14"/>
          <w:szCs w:val="14"/>
          <w:color w:val="auto"/>
        </w:rPr>
        <w:t>SL Green Realty Corp.</w:t>
        <w:tab/>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4"/>
          <w:szCs w:val="14"/>
          <w:color w:val="auto"/>
        </w:rPr>
        <w:t>SL Green Operating Partnership, L.P.</w:t>
        <w:tab/>
        <w:t xml:space="preserve">Yes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3"/>
          <w:szCs w:val="13"/>
          <w:color w:val="auto"/>
        </w:rPr>
        <w:t xml:space="preserve">No </w:t>
      </w:r>
      <w:r>
        <w:rPr>
          <w:rFonts w:ascii="Wingdings" w:cs="Wingdings" w:eastAsia="Wingdings" w:hAnsi="Wingdings"/>
          <w:sz w:val="13"/>
          <w:szCs w:val="13"/>
          <w:b w:val="1"/>
          <w:bCs w:val="1"/>
          <w:color w:val="auto"/>
        </w:rPr>
        <w:t>x</w:t>
      </w:r>
    </w:p>
    <w:p>
      <w:pPr>
        <w:spacing w:after="0" w:line="114" w:lineRule="exact"/>
        <w:rPr>
          <w:sz w:val="24"/>
          <w:szCs w:val="24"/>
          <w:color w:val="auto"/>
        </w:rPr>
      </w:pPr>
    </w:p>
    <w:p>
      <w:pPr>
        <w:ind w:right="240"/>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5" w:lineRule="exact"/>
        <w:rPr>
          <w:sz w:val="24"/>
          <w:szCs w:val="24"/>
          <w:color w:val="auto"/>
        </w:rPr>
      </w:pPr>
    </w:p>
    <w:p>
      <w:pPr>
        <w:spacing w:after="0"/>
        <w:tabs>
          <w:tab w:leader="none" w:pos="1400" w:val="left"/>
          <w:tab w:leader="none" w:pos="1940" w:val="left"/>
          <w:tab w:leader="none" w:pos="2880" w:val="left"/>
          <w:tab w:leader="none" w:pos="5120" w:val="left"/>
          <w:tab w:leader="none" w:pos="5640" w:val="left"/>
        </w:tabs>
        <w:rPr>
          <w:sz w:val="20"/>
          <w:szCs w:val="20"/>
          <w:color w:val="auto"/>
        </w:rPr>
      </w:pPr>
      <w:r>
        <w:rPr>
          <w:rFonts w:ascii="Times New Roman" w:cs="Times New Roman" w:eastAsia="Times New Roman" w:hAnsi="Times New Roman"/>
          <w:sz w:val="14"/>
          <w:szCs w:val="14"/>
          <w:color w:val="auto"/>
        </w:rPr>
        <w:t>SL Green Realty Corp.</w:t>
        <w:tab/>
        <w:t xml:space="preserve">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SL Green Operating Partnership, L.P.</w:t>
        <w:tab/>
        <w:t xml:space="preserve">Yes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3"/>
          <w:szCs w:val="13"/>
          <w:color w:val="auto"/>
        </w:rPr>
        <w:t xml:space="preserve">No </w:t>
      </w:r>
      <w:r>
        <w:rPr>
          <w:rFonts w:ascii="Wingdings" w:cs="Wingdings" w:eastAsia="Wingdings" w:hAnsi="Wingdings"/>
          <w:sz w:val="13"/>
          <w:szCs w:val="13"/>
          <w:b w:val="1"/>
          <w:bCs w:val="1"/>
          <w:color w:val="auto"/>
        </w:rPr>
        <w:t>o</w:t>
      </w:r>
    </w:p>
    <w:p>
      <w:pPr>
        <w:spacing w:after="0" w:line="101"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5" w:lineRule="exact"/>
        <w:rPr>
          <w:sz w:val="24"/>
          <w:szCs w:val="24"/>
          <w:color w:val="auto"/>
        </w:rPr>
      </w:pPr>
    </w:p>
    <w:p>
      <w:pPr>
        <w:spacing w:after="0"/>
        <w:tabs>
          <w:tab w:leader="none" w:pos="1440" w:val="left"/>
          <w:tab w:leader="none" w:pos="1960" w:val="left"/>
          <w:tab w:leader="none" w:pos="2920" w:val="left"/>
          <w:tab w:leader="none" w:pos="5140" w:val="left"/>
          <w:tab w:leader="none" w:pos="5680" w:val="left"/>
        </w:tabs>
        <w:rPr>
          <w:sz w:val="20"/>
          <w:szCs w:val="20"/>
          <w:color w:val="auto"/>
        </w:rPr>
      </w:pPr>
      <w:r>
        <w:rPr>
          <w:rFonts w:ascii="Times New Roman" w:cs="Times New Roman" w:eastAsia="Times New Roman" w:hAnsi="Times New Roman"/>
          <w:sz w:val="14"/>
          <w:szCs w:val="14"/>
          <w:color w:val="auto"/>
        </w:rPr>
        <w:t>SL Green Realty Corp.</w:t>
        <w:tab/>
        <w:t xml:space="preserve">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SL Green Operating Partnership, L.P.</w:t>
        <w:tab/>
        <w:t xml:space="preserve">Yes </w:t>
      </w:r>
      <w:r>
        <w:rPr>
          <w:rFonts w:ascii="Wingdings" w:cs="Wingdings" w:eastAsia="Wingdings" w:hAnsi="Wingdings"/>
          <w:sz w:val="14"/>
          <w:szCs w:val="14"/>
          <w:b w:val="1"/>
          <w:bCs w:val="1"/>
          <w:color w:val="auto"/>
        </w:rPr>
        <w:t>x</w:t>
      </w:r>
      <w:r>
        <w:rPr>
          <w:sz w:val="20"/>
          <w:szCs w:val="20"/>
          <w:color w:val="auto"/>
        </w:rPr>
        <w:tab/>
      </w:r>
      <w:r>
        <w:rPr>
          <w:rFonts w:ascii="Times New Roman" w:cs="Times New Roman" w:eastAsia="Times New Roman" w:hAnsi="Times New Roman"/>
          <w:sz w:val="13"/>
          <w:szCs w:val="13"/>
          <w:color w:val="auto"/>
        </w:rPr>
        <w:t xml:space="preserve">No </w:t>
      </w:r>
      <w:r>
        <w:rPr>
          <w:rFonts w:ascii="Wingdings" w:cs="Wingdings" w:eastAsia="Wingdings" w:hAnsi="Wingdings"/>
          <w:sz w:val="13"/>
          <w:szCs w:val="13"/>
          <w:b w:val="1"/>
          <w:bCs w:val="1"/>
          <w:color w:val="auto"/>
        </w:rPr>
        <w:t>o</w:t>
      </w:r>
    </w:p>
    <w:p>
      <w:pPr>
        <w:spacing w:after="0" w:line="114"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SL Green Realty Corp.</w:t>
      </w:r>
    </w:p>
    <w:p>
      <w:pPr>
        <w:spacing w:after="0" w:line="154" w:lineRule="exact"/>
        <w:rPr>
          <w:sz w:val="24"/>
          <w:szCs w:val="24"/>
          <w:color w:val="auto"/>
        </w:rPr>
      </w:pPr>
    </w:p>
    <w:tbl>
      <w:tblPr>
        <w:tblLayout w:type="fixed"/>
        <w:tblInd w:w="20" w:type="dxa"/>
        <w:tblCellMar>
          <w:top w:w="0" w:type="dxa"/>
          <w:left w:w="0" w:type="dxa"/>
          <w:bottom w:w="0" w:type="dxa"/>
          <w:right w:w="0" w:type="dxa"/>
        </w:tblCellMar>
      </w:tblPr>
      <w:tr>
        <w:trPr>
          <w:trHeight w:val="18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80" w:type="dxa"/>
            <w:vAlign w:val="bottom"/>
          </w:tcPr>
          <w:p>
            <w:pPr>
              <w:ind w:left="1100"/>
              <w:spacing w:after="0"/>
              <w:rPr>
                <w:sz w:val="20"/>
                <w:szCs w:val="20"/>
                <w:color w:val="auto"/>
              </w:rPr>
            </w:pPr>
            <w:r>
              <w:rPr>
                <w:rFonts w:ascii="Wingdings" w:cs="Wingdings" w:eastAsia="Wingdings" w:hAnsi="Wingdings"/>
                <w:sz w:val="14"/>
                <w:szCs w:val="14"/>
                <w:b w:val="1"/>
                <w:bCs w:val="1"/>
                <w:color w:val="auto"/>
              </w:rPr>
              <w:t>x</w:t>
            </w:r>
          </w:p>
        </w:tc>
        <w:tc>
          <w:tcPr>
            <w:tcW w:w="428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1200" w:type="dxa"/>
            <w:vAlign w:val="bottom"/>
          </w:tcPr>
          <w:p>
            <w:pPr>
              <w:ind w:left="1080"/>
              <w:spacing w:after="0"/>
              <w:rPr>
                <w:sz w:val="20"/>
                <w:szCs w:val="20"/>
                <w:color w:val="auto"/>
              </w:rPr>
            </w:pPr>
            <w:r>
              <w:rPr>
                <w:rFonts w:ascii="Wingdings" w:cs="Wingdings" w:eastAsia="Wingdings" w:hAnsi="Wingdings"/>
                <w:sz w:val="14"/>
                <w:szCs w:val="14"/>
                <w:b w:val="1"/>
                <w:bCs w:val="1"/>
                <w:color w:val="auto"/>
                <w:w w:val="79"/>
              </w:rPr>
              <w:t>o</w:t>
            </w:r>
          </w:p>
        </w:tc>
      </w:tr>
      <w:tr>
        <w:trPr>
          <w:trHeight w:val="193"/>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80" w:type="dxa"/>
            <w:vAlign w:val="bottom"/>
          </w:tcPr>
          <w:p>
            <w:pPr>
              <w:ind w:left="1100"/>
              <w:spacing w:after="0"/>
              <w:rPr>
                <w:sz w:val="20"/>
                <w:szCs w:val="20"/>
                <w:color w:val="auto"/>
              </w:rPr>
            </w:pPr>
            <w:r>
              <w:rPr>
                <w:rFonts w:ascii="Wingdings" w:cs="Wingdings" w:eastAsia="Wingdings" w:hAnsi="Wingdings"/>
                <w:sz w:val="14"/>
                <w:szCs w:val="14"/>
                <w:b w:val="1"/>
                <w:bCs w:val="1"/>
                <w:color w:val="auto"/>
              </w:rPr>
              <w:t>o</w:t>
            </w:r>
          </w:p>
        </w:tc>
        <w:tc>
          <w:tcPr>
            <w:tcW w:w="42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6"/>
        </w:trPr>
        <w:tc>
          <w:tcPr>
            <w:tcW w:w="2720" w:type="dxa"/>
            <w:vAlign w:val="bottom"/>
          </w:tcPr>
          <w:p>
            <w:pPr>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880" w:type="dxa"/>
            <w:vAlign w:val="bottom"/>
          </w:tcPr>
          <w:p>
            <w:pPr>
              <w:ind w:left="1100"/>
              <w:spacing w:after="0" w:line="141" w:lineRule="exact"/>
              <w:rPr>
                <w:sz w:val="20"/>
                <w:szCs w:val="20"/>
                <w:color w:val="auto"/>
              </w:rPr>
            </w:pPr>
            <w:r>
              <w:rPr>
                <w:rFonts w:ascii="MS PGothic" w:cs="MS PGothic" w:eastAsia="MS PGothic" w:hAnsi="MS PGothic"/>
                <w:sz w:val="14"/>
                <w:szCs w:val="14"/>
                <w:color w:val="auto"/>
              </w:rPr>
              <w:t>☐</w:t>
            </w:r>
          </w:p>
        </w:tc>
        <w:tc>
          <w:tcPr>
            <w:tcW w:w="428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0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9" w:lineRule="exact"/>
        <w:rPr>
          <w:sz w:val="24"/>
          <w:szCs w:val="24"/>
          <w:color w:val="auto"/>
        </w:rPr>
      </w:pPr>
    </w:p>
    <w:p>
      <w:pPr>
        <w:sectPr>
          <w:pgSz w:w="11900" w:h="16838" w:orient="portrait"/>
          <w:cols w:equalWidth="0" w:num="1">
            <w:col w:w="11240"/>
          </w:cols>
          <w:pgMar w:left="320" w:top="1229" w:right="339" w:bottom="1440" w:gutter="0" w:footer="0" w:header="0"/>
        </w:sectPr>
      </w:pPr>
    </w:p>
    <w:p>
      <w:pPr>
        <w:ind w:left="20"/>
        <w:spacing w:after="0" w:line="247"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 w:lineRule="exact"/>
        <w:rPr>
          <w:sz w:val="24"/>
          <w:szCs w:val="24"/>
          <w:color w:val="auto"/>
        </w:rPr>
      </w:pPr>
    </w:p>
    <w:p>
      <w:pPr>
        <w:ind w:left="20" w:right="420"/>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40"/>
        <w:spacing w:after="0"/>
        <w:rPr>
          <w:sz w:val="20"/>
          <w:szCs w:val="20"/>
          <w:color w:val="auto"/>
        </w:rPr>
      </w:pPr>
      <w:r>
        <w:rPr>
          <w:rFonts w:ascii="Wingdings" w:cs="Wingdings" w:eastAsia="Wingdings" w:hAnsi="Wingdings"/>
          <w:sz w:val="13"/>
          <w:szCs w:val="13"/>
          <w:b w:val="1"/>
          <w:bCs w:val="1"/>
          <w:color w:val="auto"/>
        </w:rPr>
        <w:t>o</w:t>
      </w:r>
    </w:p>
    <w:p>
      <w:pPr>
        <w:spacing w:after="0" w:line="279"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270" w:lineRule="exact"/>
        <w:rPr>
          <w:sz w:val="24"/>
          <w:szCs w:val="24"/>
          <w:color w:val="auto"/>
        </w:rPr>
      </w:pPr>
    </w:p>
    <w:p>
      <w:pPr>
        <w:sectPr>
          <w:pgSz w:w="11900" w:h="16838" w:orient="portrait"/>
          <w:cols w:equalWidth="0" w:num="2">
            <w:col w:w="10840" w:space="40"/>
            <w:col w:w="360"/>
          </w:cols>
          <w:pgMar w:left="320" w:top="1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SL Green Operating Partnership, L.P.</w:t>
      </w:r>
    </w:p>
    <w:p>
      <w:pPr>
        <w:sectPr>
          <w:pgSz w:w="11900" w:h="16838" w:orient="portrait"/>
          <w:cols w:equalWidth="0" w:num="1">
            <w:col w:w="11240"/>
          </w:cols>
          <w:pgMar w:left="320" w:top="1229" w:right="3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83"/>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60" w:type="dxa"/>
            <w:vAlign w:val="bottom"/>
          </w:tcPr>
          <w:p>
            <w:pPr>
              <w:ind w:left="1100"/>
              <w:spacing w:after="0"/>
              <w:rPr>
                <w:sz w:val="20"/>
                <w:szCs w:val="20"/>
                <w:color w:val="auto"/>
              </w:rPr>
            </w:pPr>
            <w:r>
              <w:rPr>
                <w:rFonts w:ascii="Wingdings" w:cs="Wingdings" w:eastAsia="Wingdings" w:hAnsi="Wingdings"/>
                <w:sz w:val="14"/>
                <w:szCs w:val="14"/>
                <w:b w:val="1"/>
                <w:bCs w:val="1"/>
                <w:color w:val="auto"/>
              </w:rPr>
              <w:t>o</w:t>
            </w:r>
          </w:p>
        </w:tc>
        <w:tc>
          <w:tcPr>
            <w:tcW w:w="43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Accelerated Filer</w:t>
            </w:r>
          </w:p>
        </w:tc>
        <w:tc>
          <w:tcPr>
            <w:tcW w:w="1220" w:type="dxa"/>
            <w:vAlign w:val="bottom"/>
          </w:tcPr>
          <w:p>
            <w:pPr>
              <w:ind w:left="1100"/>
              <w:spacing w:after="0"/>
              <w:rPr>
                <w:sz w:val="20"/>
                <w:szCs w:val="20"/>
                <w:color w:val="auto"/>
              </w:rPr>
            </w:pPr>
            <w:r>
              <w:rPr>
                <w:rFonts w:ascii="Wingdings" w:cs="Wingdings" w:eastAsia="Wingdings" w:hAnsi="Wingdings"/>
                <w:sz w:val="14"/>
                <w:szCs w:val="14"/>
                <w:b w:val="1"/>
                <w:bCs w:val="1"/>
                <w:color w:val="auto"/>
                <w:w w:val="79"/>
              </w:rPr>
              <w:t>o</w:t>
            </w:r>
          </w:p>
        </w:tc>
      </w:tr>
      <w:tr>
        <w:trPr>
          <w:trHeight w:val="193"/>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60" w:type="dxa"/>
            <w:vAlign w:val="bottom"/>
          </w:tcPr>
          <w:p>
            <w:pPr>
              <w:ind w:left="1080"/>
              <w:spacing w:after="0"/>
              <w:rPr>
                <w:sz w:val="20"/>
                <w:szCs w:val="20"/>
                <w:color w:val="auto"/>
              </w:rPr>
            </w:pPr>
            <w:r>
              <w:rPr>
                <w:rFonts w:ascii="Wingdings" w:cs="Wingdings" w:eastAsia="Wingdings" w:hAnsi="Wingdings"/>
                <w:sz w:val="14"/>
                <w:szCs w:val="14"/>
                <w:b w:val="1"/>
                <w:bCs w:val="1"/>
                <w:color w:val="auto"/>
              </w:rPr>
              <w:t>x</w:t>
            </w:r>
          </w:p>
        </w:tc>
        <w:tc>
          <w:tcPr>
            <w:tcW w:w="4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860" w:type="dxa"/>
            <w:vAlign w:val="bottom"/>
          </w:tcPr>
          <w:p>
            <w:pPr>
              <w:ind w:left="11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2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9" w:lineRule="exact"/>
        <w:rPr>
          <w:sz w:val="20"/>
          <w:szCs w:val="20"/>
          <w:color w:val="auto"/>
        </w:rPr>
      </w:pPr>
    </w:p>
    <w:p>
      <w:pPr>
        <w:sectPr>
          <w:pgSz w:w="11900" w:h="16838" w:orient="portrait"/>
          <w:cols w:equalWidth="0" w:num="1">
            <w:col w:w="11200"/>
          </w:cols>
          <w:pgMar w:left="320" w:top="156" w:right="379" w:bottom="1440" w:gutter="0" w:footer="0" w:header="0"/>
        </w:sectPr>
      </w:pPr>
    </w:p>
    <w:p>
      <w:pPr>
        <w:ind w:left="40"/>
        <w:spacing w:after="0" w:line="247"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0" w:lineRule="exact"/>
        <w:rPr>
          <w:sz w:val="20"/>
          <w:szCs w:val="20"/>
          <w:color w:val="auto"/>
        </w:rPr>
      </w:pPr>
    </w:p>
    <w:p>
      <w:pPr>
        <w:ind w:left="40" w:right="440"/>
        <w:spacing w:after="0" w:line="266"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right"/>
        <w:ind w:right="80"/>
        <w:spacing w:after="0"/>
        <w:rPr>
          <w:sz w:val="20"/>
          <w:szCs w:val="20"/>
          <w:color w:val="auto"/>
        </w:rPr>
      </w:pPr>
      <w:r>
        <w:rPr>
          <w:rFonts w:ascii="Wingdings" w:cs="Wingdings" w:eastAsia="Wingdings" w:hAnsi="Wingdings"/>
          <w:sz w:val="14"/>
          <w:szCs w:val="14"/>
          <w:b w:val="1"/>
          <w:bCs w:val="1"/>
          <w:color w:val="auto"/>
        </w:rPr>
        <w:t>o</w:t>
      </w:r>
    </w:p>
    <w:p>
      <w:pPr>
        <w:spacing w:after="0" w:line="269" w:lineRule="exact"/>
        <w:rPr>
          <w:sz w:val="20"/>
          <w:szCs w:val="20"/>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113" w:lineRule="exact"/>
        <w:rPr>
          <w:sz w:val="20"/>
          <w:szCs w:val="20"/>
          <w:color w:val="auto"/>
        </w:rPr>
      </w:pPr>
    </w:p>
    <w:p>
      <w:pPr>
        <w:sectPr>
          <w:pgSz w:w="11900" w:h="16838" w:orient="portrait"/>
          <w:cols w:equalWidth="0" w:num="2">
            <w:col w:w="10860" w:space="40"/>
            <w:col w:w="300"/>
          </w:cols>
          <w:pgMar w:left="320" w:top="156" w:right="37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10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 to</w:t>
            </w:r>
          </w:p>
        </w:tc>
        <w:tc>
          <w:tcPr>
            <w:tcW w:w="220" w:type="dxa"/>
            <w:vAlign w:val="bottom"/>
          </w:tcPr>
          <w:p>
            <w:pPr>
              <w:ind w:left="100"/>
              <w:spacing w:after="0"/>
              <w:rPr>
                <w:sz w:val="20"/>
                <w:szCs w:val="20"/>
                <w:color w:val="auto"/>
              </w:rPr>
            </w:pPr>
            <w:r>
              <w:rPr>
                <w:rFonts w:ascii="Wingdings" w:cs="Wingdings" w:eastAsia="Wingdings" w:hAnsi="Wingdings"/>
                <w:sz w:val="14"/>
                <w:szCs w:val="14"/>
                <w:b w:val="1"/>
                <w:bCs w:val="1"/>
                <w:color w:val="auto"/>
                <w:w w:val="79"/>
              </w:rPr>
              <w:t>o</w:t>
            </w:r>
          </w:p>
        </w:tc>
        <w:tc>
          <w:tcPr>
            <w:tcW w:w="0" w:type="dxa"/>
            <w:vAlign w:val="bottom"/>
          </w:tcPr>
          <w:p>
            <w:pPr>
              <w:spacing w:after="0"/>
              <w:rPr>
                <w:sz w:val="1"/>
                <w:szCs w:val="1"/>
                <w:color w:val="auto"/>
              </w:rPr>
            </w:pPr>
          </w:p>
        </w:tc>
      </w:tr>
      <w:tr>
        <w:trPr>
          <w:trHeight w:val="133"/>
        </w:trPr>
        <w:tc>
          <w:tcPr>
            <w:tcW w:w="10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6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previously issued financial statements.</w:t>
            </w:r>
          </w:p>
        </w:tc>
        <w:tc>
          <w:tcPr>
            <w:tcW w:w="8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10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w:t>
            </w:r>
          </w:p>
        </w:tc>
        <w:tc>
          <w:tcPr>
            <w:tcW w:w="220" w:type="dxa"/>
            <w:vAlign w:val="bottom"/>
          </w:tcPr>
          <w:p>
            <w:pPr>
              <w:ind w:left="100"/>
              <w:spacing w:after="0"/>
              <w:rPr>
                <w:sz w:val="20"/>
                <w:szCs w:val="20"/>
                <w:color w:val="auto"/>
              </w:rPr>
            </w:pPr>
            <w:r>
              <w:rPr>
                <w:rFonts w:ascii="Wingdings" w:cs="Wingdings" w:eastAsia="Wingdings" w:hAnsi="Wingdings"/>
                <w:sz w:val="14"/>
                <w:szCs w:val="14"/>
                <w:b w:val="1"/>
                <w:bCs w:val="1"/>
                <w:color w:val="auto"/>
                <w:w w:val="79"/>
              </w:rPr>
              <w:t>o</w:t>
            </w:r>
          </w:p>
        </w:tc>
        <w:tc>
          <w:tcPr>
            <w:tcW w:w="0" w:type="dxa"/>
            <w:vAlign w:val="bottom"/>
          </w:tcPr>
          <w:p>
            <w:pPr>
              <w:spacing w:after="0"/>
              <w:rPr>
                <w:sz w:val="1"/>
                <w:szCs w:val="1"/>
                <w:color w:val="auto"/>
              </w:rPr>
            </w:pPr>
          </w:p>
        </w:tc>
      </w:tr>
      <w:tr>
        <w:trPr>
          <w:trHeight w:val="183"/>
        </w:trPr>
        <w:tc>
          <w:tcPr>
            <w:tcW w:w="109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officers during the relevant recovery period pursuant to §240.10D-1(b).</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0"/>
        </w:trPr>
        <w:tc>
          <w:tcPr>
            <w:tcW w:w="10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6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SL Green Realty Corp.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tc>
        <w:tc>
          <w:tcPr>
            <w:tcW w:w="8300" w:type="dxa"/>
            <w:vAlign w:val="bottom"/>
          </w:tcPr>
          <w:p>
            <w:pPr>
              <w:ind w:left="320"/>
              <w:spacing w:after="0" w:line="161" w:lineRule="exact"/>
              <w:rPr>
                <w:sz w:val="20"/>
                <w:szCs w:val="20"/>
                <w:color w:val="auto"/>
              </w:rPr>
            </w:pPr>
            <w:r>
              <w:rPr>
                <w:rFonts w:ascii="Times New Roman" w:cs="Times New Roman" w:eastAsia="Times New Roman" w:hAnsi="Times New Roman"/>
                <w:sz w:val="14"/>
                <w:szCs w:val="14"/>
                <w:color w:val="auto"/>
              </w:rPr>
              <w:t xml:space="preserve">SL Green Operating Partnership, L.P.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4"/>
          <w:szCs w:val="14"/>
          <w:color w:val="auto"/>
        </w:rPr>
        <w:t>The aggregate market value of the common stock held by non-affiliates of SL Green Realty Corp. (58,315,632 shares) was $3.3 billion based on the quoted closing price on the New York Stock Exchange for such shares on June 30, 2024.</w:t>
      </w:r>
    </w:p>
    <w:p>
      <w:pPr>
        <w:spacing w:after="0" w:line="8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4"/>
          <w:szCs w:val="14"/>
          <w:color w:val="auto"/>
        </w:rPr>
        <w:t>As of February 13, 2025, 71,004,564 shares of SL Green Realty Corp.'s common stock, par value $0.01 per share, were outstanding. As of February 13, 2025, 301,668 common units of limited partnership interest of SL Green Operating Partnership, L.P. were held by non-affiliates. There is no established trading market for such units.</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4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Portions of the SL Green Realty Corp.'s Proxy Statement for its 2025 Annual Stockholders' Meeting to be filed within 120 days after the end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1098550</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145415</wp:posOffset>
            </wp:positionV>
            <wp:extent cx="713613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00"/>
          </w:cols>
          <w:pgMar w:left="320" w:top="156" w:right="37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52"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This report combines the annual reports on Form 10-K for the year ended December 31, 2024 of SL Green Realty Corp. and SL Green Operating Partnership, L.P. Unless stated otherwise or the context otherwise requires, references to "SL Green Realty Corp.," the "Company" or "SL Green" mean SL Green Realty Corp. and its consolidated subsidiaries, including SL Green Operating Partnership, L.P.; and references to "SL Green Operating Partnership, L.P.," the "Operating Partnership" or "SLGOP" mean SL Green Operating Partnership, L.P. and its consolidated subsidiaries. The terms "we," "our" and "us" mean the Company and all the entities owned or controlled by the Company, including the Operating Partnership.</w:t>
      </w:r>
    </w:p>
    <w:p>
      <w:pPr>
        <w:spacing w:after="0" w:line="67"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is a Maryland corporation which operates as a self-administered and self-managed real estate investment trust, or REIT, and is the sole managing general partner of the Operating Partnership. As a general partner of the Operating Partnership, the Company has full, exclusive and complete responsibility and discretion in the day-to-day management and control of the Operating Partnership.</w:t>
      </w:r>
    </w:p>
    <w:p>
      <w:pPr>
        <w:spacing w:after="0" w:line="57"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As of December 31, 2024, the Company owns 94.03% of the outstanding general and limited partnership interest in the Operating Partnership and owns 9,200,000 Series I Preferred Units of the Operating Partnership. As of December 31, 2024, noncontrolling investors held, in aggregate, a 5.97% limited partnership interest in the Operating Partnership. We refer to these interests as the noncontrolling interests in the Operating Partnership.</w:t>
      </w:r>
    </w:p>
    <w:p>
      <w:pPr>
        <w:spacing w:after="0" w:line="57"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The Company and the Operating Partnership are managed and operated as one entity. The financial results of the Operating Partnership are consolidated into the financial statements of the Company. The Company has no significant assets other than its investment in the Operating Partnership. Substantially all of our assets are held by, and our operations are conducted through, the Operating Partnership. Therefore, the assets and liabilities of the Company and the Operating Partnership are substantially the same.</w:t>
      </w:r>
    </w:p>
    <w:p>
      <w:pPr>
        <w:spacing w:after="0" w:line="6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Noncontrolling interests in the Operating Partnership, stockholders' equity of the Company and partners' capital of the Operating Partnership are the main areas of difference between the consolidated financial statements of the Company and those of the Operating Partnership. The common limited partnership interests in the Operating Partnership not owned by the Company are accounted as noncontrolling interests, within mezzanine equity, in the Company's and the Operating Partnership's consolidated financial statements.</w:t>
      </w:r>
    </w:p>
    <w:p>
      <w:pPr>
        <w:spacing w:after="0" w:line="64" w:lineRule="exact"/>
        <w:rPr>
          <w:sz w:val="20"/>
          <w:szCs w:val="20"/>
          <w:color w:val="auto"/>
        </w:rPr>
      </w:pPr>
    </w:p>
    <w:p>
      <w:pPr>
        <w:jc w:val="both"/>
        <w:ind w:firstLine="393"/>
        <w:spacing w:after="0" w:line="268" w:lineRule="auto"/>
        <w:rPr>
          <w:sz w:val="20"/>
          <w:szCs w:val="20"/>
          <w:color w:val="auto"/>
        </w:rPr>
      </w:pPr>
      <w:r>
        <w:rPr>
          <w:rFonts w:ascii="Times New Roman" w:cs="Times New Roman" w:eastAsia="Times New Roman" w:hAnsi="Times New Roman"/>
          <w:sz w:val="17"/>
          <w:szCs w:val="17"/>
          <w:color w:val="auto"/>
        </w:rPr>
        <w:t>We believe combining the annual reports on Form 10-K of the Company and the Operating Partnership into this single report results in the following benefits:</w:t>
      </w:r>
    </w:p>
    <w:p>
      <w:pPr>
        <w:spacing w:after="0" w:line="306" w:lineRule="exact"/>
        <w:rPr>
          <w:sz w:val="20"/>
          <w:szCs w:val="20"/>
          <w:color w:val="auto"/>
        </w:rPr>
      </w:pPr>
    </w:p>
    <w:p>
      <w:pPr>
        <w:ind w:left="940" w:hanging="306"/>
        <w:spacing w:after="0" w:line="268"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Combined reports enhance investors' understanding of the Company and the Operating Partnership by enabling investors to view the business as a whole in the same manner as management views and operates the business;</w:t>
      </w:r>
    </w:p>
    <w:p>
      <w:pPr>
        <w:ind w:left="940" w:hanging="306"/>
        <w:spacing w:after="0" w:line="257" w:lineRule="auto"/>
        <w:tabs>
          <w:tab w:leader="none" w:pos="9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Combined reports eliminate duplicative disclosure and provides a more streamlined and readable presentation since a substantial portion of the Company's disclosure applies to both the Company and the Operating Partnership; and</w:t>
      </w:r>
    </w:p>
    <w:p>
      <w:pPr>
        <w:ind w:left="940" w:hanging="306"/>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Combined reports create time and cost efficiencies through the preparation of one combined report instead of two separate reports.</w:t>
      </w:r>
    </w:p>
    <w:p>
      <w:pPr>
        <w:spacing w:after="0" w:line="101"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To help investors understand the significant differences between the Company and the Operating Partnership, this report presents the following separate sections for each of the Company and the Operating Partnership:</w:t>
      </w:r>
    </w:p>
    <w:p>
      <w:pPr>
        <w:spacing w:after="0" w:line="41" w:lineRule="exact"/>
        <w:rPr>
          <w:sz w:val="20"/>
          <w:szCs w:val="20"/>
          <w:color w:val="auto"/>
        </w:rPr>
      </w:pPr>
    </w:p>
    <w:p>
      <w:pPr>
        <w:ind w:left="940" w:hanging="306"/>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financial statements; and</w:t>
      </w:r>
    </w:p>
    <w:p>
      <w:pPr>
        <w:spacing w:after="0" w:line="119"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notes to the consolidated financial statements:</w:t>
      </w:r>
    </w:p>
    <w:p>
      <w:pPr>
        <w:spacing w:after="0" w:line="119"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11, Noncontrolling Interests on the Company's Consolidated Financial Statements;</w:t>
      </w:r>
    </w:p>
    <w:p>
      <w:pPr>
        <w:spacing w:after="0" w:line="32"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12, Stockholders' Equity of the Company; and</w:t>
      </w:r>
    </w:p>
    <w:p>
      <w:pPr>
        <w:spacing w:after="0" w:line="14" w:lineRule="exact"/>
        <w:rPr>
          <w:rFonts w:ascii="Times New Roman" w:cs="Times New Roman" w:eastAsia="Times New Roman" w:hAnsi="Times New Roman"/>
          <w:sz w:val="17"/>
          <w:szCs w:val="17"/>
          <w:color w:val="auto"/>
        </w:rPr>
      </w:pPr>
    </w:p>
    <w:p>
      <w:pPr>
        <w:ind w:left="1420" w:hanging="314"/>
        <w:spacing w:after="0"/>
        <w:tabs>
          <w:tab w:leader="none" w:pos="142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 13, Partners' Capital of the Operating Partnership;</w:t>
      </w:r>
    </w:p>
    <w:p>
      <w:pPr>
        <w:spacing w:after="0" w:line="232"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This report also includes separate Part II, Item 5. Market for Registrants' Common Equity, Related Stockholder Matters and Issuer Purchases of Equity Securities, and Item 9A. Controls and Procedures sections and separate Exhibit 31 and 32 certifications for each of the Company and the Operating Partnership, respectively, in order to establish that the Chief Executive Officer and the Chief Financial Officer of the Company, in both their capacity as the principal executive officer and principal financial officer of the Company and the principal executive officer and principal financial officer of the general partner of the Operating Partnership, have made the requisite certifications and that the Company and the Operating Partnership are compliant with Rule 13a-15 and Rule 15d-15 of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1016635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 w:type="dxa"/>
            <w:vAlign w:val="bottom"/>
          </w:tcPr>
          <w:p>
            <w:pPr>
              <w:spacing w:after="0"/>
              <w:rPr>
                <w:sz w:val="19"/>
                <w:szCs w:val="19"/>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40" w:type="dxa"/>
            <w:vAlign w:val="bottom"/>
          </w:tcPr>
          <w:p>
            <w:pPr>
              <w:spacing w:after="0"/>
              <w:rPr>
                <w:sz w:val="16"/>
                <w:szCs w:val="16"/>
                <w:color w:val="auto"/>
              </w:rPr>
            </w:pP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Item 1.</w:t>
            </w:r>
          </w:p>
        </w:tc>
        <w:tc>
          <w:tcPr>
            <w:tcW w:w="460" w:type="dxa"/>
            <w:vAlign w:val="bottom"/>
            <w:gridSpan w:val="2"/>
          </w:tcPr>
          <w:p>
            <w:pPr>
              <w:spacing w:after="0"/>
              <w:rPr>
                <w:sz w:val="16"/>
                <w:szCs w:val="16"/>
                <w:color w:val="auto"/>
              </w:rPr>
            </w:pPr>
          </w:p>
        </w:tc>
        <w:tc>
          <w:tcPr>
            <w:tcW w:w="8880" w:type="dxa"/>
            <w:vAlign w:val="bottom"/>
            <w:gridSpan w:val="20"/>
          </w:tcPr>
          <w:p>
            <w:pPr>
              <w:spacing w:after="0" w:line="189" w:lineRule="exact"/>
              <w:rPr>
                <w:sz w:val="20"/>
                <w:szCs w:val="20"/>
                <w:color w:val="auto"/>
              </w:rPr>
            </w:pPr>
            <w:r>
              <w:rPr>
                <w:rFonts w:ascii="Times New Roman" w:cs="Times New Roman" w:eastAsia="Times New Roman" w:hAnsi="Times New Roman"/>
                <w:sz w:val="17"/>
                <w:szCs w:val="17"/>
                <w:color w:val="auto"/>
              </w:rPr>
              <w:t>Business</w:t>
            </w:r>
          </w:p>
        </w:tc>
        <w:tc>
          <w:tcPr>
            <w:tcW w:w="134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7"/>
                <w:szCs w:val="17"/>
                <w:color w:val="0000FF"/>
              </w:rPr>
              <w:t>4</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85"/>
              </w:rPr>
              <w:t>Item 1A.</w:t>
            </w:r>
          </w:p>
        </w:tc>
        <w:tc>
          <w:tcPr>
            <w:tcW w:w="42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Risk Factors</w:t>
            </w:r>
          </w:p>
        </w:tc>
        <w:tc>
          <w:tcPr>
            <w:tcW w:w="8000" w:type="dxa"/>
            <w:vAlign w:val="bottom"/>
            <w:gridSpan w:val="17"/>
          </w:tcPr>
          <w:p>
            <w:pPr>
              <w:spacing w:after="0"/>
              <w:rPr>
                <w:sz w:val="17"/>
                <w:szCs w:val="17"/>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13</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87"/>
              </w:rPr>
              <w:t>Item 1B.</w:t>
            </w:r>
          </w:p>
        </w:tc>
        <w:tc>
          <w:tcPr>
            <w:tcW w:w="420" w:type="dxa"/>
            <w:vAlign w:val="bottom"/>
          </w:tcPr>
          <w:p>
            <w:pPr>
              <w:spacing w:after="0"/>
              <w:rPr>
                <w:sz w:val="17"/>
                <w:szCs w:val="17"/>
                <w:color w:val="auto"/>
              </w:rPr>
            </w:pPr>
          </w:p>
        </w:tc>
        <w:tc>
          <w:tcPr>
            <w:tcW w:w="88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Unresolved Staff Comments</w:t>
            </w: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24</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1C.</w:t>
            </w:r>
          </w:p>
        </w:tc>
        <w:tc>
          <w:tcPr>
            <w:tcW w:w="88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Cybersecurity</w:t>
            </w: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24</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2.</w:t>
            </w:r>
          </w:p>
        </w:tc>
        <w:tc>
          <w:tcPr>
            <w:tcW w:w="4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Properties</w:t>
            </w:r>
          </w:p>
        </w:tc>
        <w:tc>
          <w:tcPr>
            <w:tcW w:w="7900" w:type="dxa"/>
            <w:vAlign w:val="bottom"/>
            <w:gridSpan w:val="16"/>
          </w:tcPr>
          <w:p>
            <w:pPr>
              <w:spacing w:after="0"/>
              <w:rPr>
                <w:sz w:val="17"/>
                <w:szCs w:val="17"/>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25</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gridSpan w:val="6"/>
          </w:tcPr>
          <w:p>
            <w:pPr>
              <w:spacing w:after="0"/>
              <w:rPr>
                <w:sz w:val="20"/>
                <w:szCs w:val="20"/>
                <w:color w:val="auto"/>
              </w:rPr>
            </w:pPr>
            <w:r>
              <w:rPr>
                <w:rFonts w:ascii="Times New Roman" w:cs="Times New Roman" w:eastAsia="Times New Roman" w:hAnsi="Times New Roman"/>
                <w:sz w:val="17"/>
                <w:szCs w:val="17"/>
                <w:color w:val="auto"/>
                <w:w w:val="98"/>
              </w:rPr>
              <w:t>Legal Proceedings</w:t>
            </w:r>
          </w:p>
        </w:tc>
        <w:tc>
          <w:tcPr>
            <w:tcW w:w="7600" w:type="dxa"/>
            <w:vAlign w:val="bottom"/>
            <w:gridSpan w:val="14"/>
          </w:tcPr>
          <w:p>
            <w:pPr>
              <w:spacing w:after="0"/>
              <w:rPr>
                <w:sz w:val="17"/>
                <w:szCs w:val="17"/>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31</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w w:val="82"/>
              </w:rPr>
              <w:t>Item 4.</w:t>
            </w:r>
          </w:p>
        </w:tc>
        <w:tc>
          <w:tcPr>
            <w:tcW w:w="8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Mine Safety Disclosures</w:t>
            </w:r>
          </w:p>
        </w:tc>
        <w:tc>
          <w:tcPr>
            <w:tcW w:w="7160" w:type="dxa"/>
            <w:vAlign w:val="bottom"/>
            <w:gridSpan w:val="13"/>
          </w:tcPr>
          <w:p>
            <w:pPr>
              <w:spacing w:after="0"/>
              <w:rPr>
                <w:sz w:val="17"/>
                <w:szCs w:val="17"/>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31</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40" w:type="dxa"/>
            <w:vAlign w:val="bottom"/>
          </w:tcPr>
          <w:p>
            <w:pPr>
              <w:spacing w:after="0"/>
              <w:rPr>
                <w:sz w:val="16"/>
                <w:szCs w:val="16"/>
                <w:color w:val="auto"/>
              </w:rPr>
            </w:pPr>
          </w:p>
        </w:tc>
        <w:tc>
          <w:tcPr>
            <w:tcW w:w="56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auto"/>
              </w:rPr>
              <w:t>Item 5.</w:t>
            </w:r>
          </w:p>
        </w:tc>
        <w:tc>
          <w:tcPr>
            <w:tcW w:w="420" w:type="dxa"/>
            <w:vAlign w:val="bottom"/>
          </w:tcPr>
          <w:p>
            <w:pPr>
              <w:spacing w:after="0"/>
              <w:rPr>
                <w:sz w:val="16"/>
                <w:szCs w:val="16"/>
                <w:color w:val="auto"/>
              </w:rPr>
            </w:pPr>
          </w:p>
        </w:tc>
        <w:tc>
          <w:tcPr>
            <w:tcW w:w="8880" w:type="dxa"/>
            <w:vAlign w:val="bottom"/>
            <w:gridSpan w:val="20"/>
          </w:tcPr>
          <w:p>
            <w:pPr>
              <w:spacing w:after="0" w:line="189" w:lineRule="exact"/>
              <w:rPr>
                <w:sz w:val="20"/>
                <w:szCs w:val="20"/>
                <w:color w:val="auto"/>
              </w:rPr>
            </w:pPr>
            <w:r>
              <w:rPr>
                <w:rFonts w:ascii="Times New Roman" w:cs="Times New Roman" w:eastAsia="Times New Roman" w:hAnsi="Times New Roman"/>
                <w:sz w:val="17"/>
                <w:szCs w:val="17"/>
                <w:color w:val="auto"/>
              </w:rPr>
              <w:t>Market for Registrants' Common Equity, Related Stockholder Matters and Issuer Purchases of Equity Securities</w:t>
            </w:r>
          </w:p>
        </w:tc>
        <w:tc>
          <w:tcPr>
            <w:tcW w:w="134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7"/>
                <w:szCs w:val="17"/>
                <w:color w:val="0000FF"/>
              </w:rPr>
              <w:t>32</w:t>
            </w:r>
          </w:p>
        </w:tc>
      </w:tr>
      <w:tr>
        <w:trPr>
          <w:trHeight w:val="203"/>
        </w:trPr>
        <w:tc>
          <w:tcPr>
            <w:tcW w:w="40" w:type="dxa"/>
            <w:vAlign w:val="bottom"/>
          </w:tcPr>
          <w:p>
            <w:pPr>
              <w:spacing w:after="0"/>
              <w:rPr>
                <w:sz w:val="17"/>
                <w:szCs w:val="17"/>
                <w:color w:val="auto"/>
              </w:rPr>
            </w:pP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82"/>
              </w:rPr>
              <w:t>Item 6.</w:t>
            </w:r>
          </w:p>
        </w:tc>
        <w:tc>
          <w:tcPr>
            <w:tcW w:w="120" w:type="dxa"/>
            <w:vAlign w:val="bottom"/>
            <w:tcBorders>
              <w:top w:val="single" w:sz="8" w:color="auto"/>
            </w:tcBorders>
            <w:gridSpan w:val="2"/>
          </w:tcPr>
          <w:p>
            <w:pPr>
              <w:spacing w:after="0"/>
              <w:rPr>
                <w:sz w:val="17"/>
                <w:szCs w:val="17"/>
                <w:color w:val="auto"/>
              </w:rPr>
            </w:pPr>
          </w:p>
        </w:tc>
        <w:tc>
          <w:tcPr>
            <w:tcW w:w="420" w:type="dxa"/>
            <w:vAlign w:val="bottom"/>
          </w:tcPr>
          <w:p>
            <w:pPr>
              <w:spacing w:after="0"/>
              <w:rPr>
                <w:sz w:val="17"/>
                <w:szCs w:val="17"/>
                <w:color w:val="auto"/>
              </w:rPr>
            </w:pPr>
          </w:p>
        </w:tc>
        <w:tc>
          <w:tcPr>
            <w:tcW w:w="782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17"/>
                <w:szCs w:val="17"/>
                <w:color w:val="auto"/>
              </w:rPr>
              <w:t>Reserved</w:t>
            </w:r>
          </w:p>
        </w:tc>
        <w:tc>
          <w:tcPr>
            <w:tcW w:w="1060" w:type="dxa"/>
            <w:vAlign w:val="bottom"/>
          </w:tcPr>
          <w:p>
            <w:pPr>
              <w:spacing w:after="0"/>
              <w:rPr>
                <w:sz w:val="17"/>
                <w:szCs w:val="17"/>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32</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7"/>
                <w:szCs w:val="17"/>
                <w:color w:val="auto"/>
                <w:w w:val="82"/>
              </w:rPr>
              <w:t>Item 7.</w:t>
            </w:r>
          </w:p>
        </w:tc>
        <w:tc>
          <w:tcPr>
            <w:tcW w:w="540" w:type="dxa"/>
            <w:vAlign w:val="bottom"/>
            <w:gridSpan w:val="3"/>
          </w:tcPr>
          <w:p>
            <w:pPr>
              <w:spacing w:after="0"/>
              <w:rPr>
                <w:sz w:val="17"/>
                <w:szCs w:val="17"/>
                <w:color w:val="auto"/>
              </w:rPr>
            </w:pPr>
          </w:p>
        </w:tc>
        <w:tc>
          <w:tcPr>
            <w:tcW w:w="88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33</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5"/>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85"/>
              </w:rPr>
              <w:t>Item 7A.</w:t>
            </w:r>
          </w:p>
        </w:tc>
        <w:tc>
          <w:tcPr>
            <w:tcW w:w="420" w:type="dxa"/>
            <w:vAlign w:val="bottom"/>
          </w:tcPr>
          <w:p>
            <w:pPr>
              <w:spacing w:after="0"/>
              <w:rPr>
                <w:sz w:val="17"/>
                <w:szCs w:val="17"/>
                <w:color w:val="auto"/>
              </w:rPr>
            </w:pPr>
          </w:p>
        </w:tc>
        <w:tc>
          <w:tcPr>
            <w:tcW w:w="88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51</w:t>
            </w:r>
          </w:p>
        </w:tc>
      </w:tr>
      <w:tr>
        <w:trPr>
          <w:trHeight w:val="20"/>
        </w:trPr>
        <w:tc>
          <w:tcPr>
            <w:tcW w:w="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060" w:type="dxa"/>
            <w:vAlign w:val="bottom"/>
            <w:gridSpan w:val="5"/>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Item 8.</w:t>
            </w:r>
          </w:p>
        </w:tc>
        <w:tc>
          <w:tcPr>
            <w:tcW w:w="420" w:type="dxa"/>
            <w:vAlign w:val="bottom"/>
          </w:tcPr>
          <w:p>
            <w:pPr>
              <w:spacing w:after="0"/>
              <w:rPr>
                <w:sz w:val="17"/>
                <w:szCs w:val="17"/>
                <w:color w:val="auto"/>
              </w:rPr>
            </w:pPr>
          </w:p>
        </w:tc>
        <w:tc>
          <w:tcPr>
            <w:tcW w:w="32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940" w:type="dxa"/>
            <w:vAlign w:val="bottom"/>
            <w:gridSpan w:val="2"/>
          </w:tcPr>
          <w:p>
            <w:pPr>
              <w:spacing w:after="0"/>
              <w:rPr>
                <w:sz w:val="17"/>
                <w:szCs w:val="17"/>
                <w:color w:val="auto"/>
              </w:rPr>
            </w:pPr>
          </w:p>
        </w:tc>
        <w:tc>
          <w:tcPr>
            <w:tcW w:w="4700" w:type="dxa"/>
            <w:vAlign w:val="bottom"/>
            <w:gridSpan w:val="7"/>
          </w:tcPr>
          <w:p>
            <w:pPr>
              <w:spacing w:after="0"/>
              <w:rPr>
                <w:sz w:val="17"/>
                <w:szCs w:val="17"/>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53</w:t>
            </w:r>
          </w:p>
        </w:tc>
      </w:tr>
      <w:tr>
        <w:trPr>
          <w:trHeight w:val="203"/>
        </w:trPr>
        <w:tc>
          <w:tcPr>
            <w:tcW w:w="4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w:t>
            </w:r>
          </w:p>
        </w:tc>
        <w:tc>
          <w:tcPr>
            <w:tcW w:w="460" w:type="dxa"/>
            <w:vAlign w:val="bottom"/>
            <w:gridSpan w:val="2"/>
          </w:tcPr>
          <w:p>
            <w:pPr>
              <w:spacing w:after="0"/>
              <w:rPr>
                <w:sz w:val="17"/>
                <w:szCs w:val="17"/>
                <w:color w:val="auto"/>
              </w:rPr>
            </w:pPr>
          </w:p>
        </w:tc>
        <w:tc>
          <w:tcPr>
            <w:tcW w:w="88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128</w:t>
            </w:r>
          </w:p>
        </w:tc>
      </w:tr>
      <w:tr>
        <w:trPr>
          <w:trHeight w:val="20"/>
        </w:trPr>
        <w:tc>
          <w:tcPr>
            <w:tcW w:w="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5"/>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85"/>
              </w:rPr>
              <w:t>Item 9A.</w:t>
            </w:r>
          </w:p>
        </w:tc>
        <w:tc>
          <w:tcPr>
            <w:tcW w:w="420" w:type="dxa"/>
            <w:vAlign w:val="bottom"/>
          </w:tcPr>
          <w:p>
            <w:pPr>
              <w:spacing w:after="0"/>
              <w:rPr>
                <w:sz w:val="17"/>
                <w:szCs w:val="17"/>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Controls and Procedures</w:t>
            </w:r>
          </w:p>
        </w:tc>
        <w:tc>
          <w:tcPr>
            <w:tcW w:w="7160" w:type="dxa"/>
            <w:vAlign w:val="bottom"/>
            <w:gridSpan w:val="13"/>
          </w:tcPr>
          <w:p>
            <w:pPr>
              <w:spacing w:after="0"/>
              <w:rPr>
                <w:sz w:val="17"/>
                <w:szCs w:val="17"/>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129</w:t>
            </w:r>
          </w:p>
        </w:tc>
      </w:tr>
      <w:tr>
        <w:trPr>
          <w:trHeight w:val="20"/>
        </w:trPr>
        <w:tc>
          <w:tcPr>
            <w:tcW w:w="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060" w:type="dxa"/>
            <w:vAlign w:val="bottom"/>
            <w:gridSpan w:val="5"/>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87"/>
              </w:rPr>
              <w:t>Item 9B.</w:t>
            </w:r>
          </w:p>
        </w:tc>
        <w:tc>
          <w:tcPr>
            <w:tcW w:w="420" w:type="dxa"/>
            <w:vAlign w:val="bottom"/>
          </w:tcPr>
          <w:p>
            <w:pPr>
              <w:spacing w:after="0"/>
              <w:rPr>
                <w:sz w:val="17"/>
                <w:szCs w:val="17"/>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Other Information</w:t>
            </w:r>
          </w:p>
        </w:tc>
        <w:tc>
          <w:tcPr>
            <w:tcW w:w="7160" w:type="dxa"/>
            <w:vAlign w:val="bottom"/>
            <w:gridSpan w:val="13"/>
          </w:tcPr>
          <w:p>
            <w:pPr>
              <w:spacing w:after="0"/>
              <w:rPr>
                <w:sz w:val="17"/>
                <w:szCs w:val="17"/>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133</w:t>
            </w:r>
          </w:p>
        </w:tc>
      </w:tr>
      <w:tr>
        <w:trPr>
          <w:trHeight w:val="20"/>
        </w:trPr>
        <w:tc>
          <w:tcPr>
            <w:tcW w:w="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5"/>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Item 9C.</w:t>
            </w:r>
          </w:p>
        </w:tc>
        <w:tc>
          <w:tcPr>
            <w:tcW w:w="88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Disclosure Regarding Foreign Jurisdictions that Prevent Inspections</w:t>
            </w: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134</w:t>
            </w:r>
          </w:p>
        </w:tc>
      </w:tr>
      <w:tr>
        <w:trPr>
          <w:trHeight w:val="20"/>
        </w:trPr>
        <w:tc>
          <w:tcPr>
            <w:tcW w:w="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40" w:type="dxa"/>
            <w:vAlign w:val="bottom"/>
          </w:tcPr>
          <w:p>
            <w:pPr>
              <w:spacing w:after="0"/>
              <w:rPr>
                <w:sz w:val="16"/>
                <w:szCs w:val="16"/>
                <w:color w:val="auto"/>
              </w:rPr>
            </w:pPr>
          </w:p>
        </w:tc>
        <w:tc>
          <w:tcPr>
            <w:tcW w:w="56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auto"/>
                <w:w w:val="91"/>
              </w:rPr>
              <w:t>Item 10.</w:t>
            </w:r>
          </w:p>
        </w:tc>
        <w:tc>
          <w:tcPr>
            <w:tcW w:w="420" w:type="dxa"/>
            <w:vAlign w:val="bottom"/>
          </w:tcPr>
          <w:p>
            <w:pPr>
              <w:spacing w:after="0"/>
              <w:rPr>
                <w:sz w:val="16"/>
                <w:szCs w:val="16"/>
                <w:color w:val="auto"/>
              </w:rPr>
            </w:pPr>
          </w:p>
        </w:tc>
        <w:tc>
          <w:tcPr>
            <w:tcW w:w="3980" w:type="dxa"/>
            <w:vAlign w:val="bottom"/>
            <w:gridSpan w:val="12"/>
          </w:tcPr>
          <w:p>
            <w:pPr>
              <w:spacing w:after="0" w:line="189" w:lineRule="exact"/>
              <w:rPr>
                <w:sz w:val="20"/>
                <w:szCs w:val="20"/>
                <w:color w:val="auto"/>
              </w:rPr>
            </w:pPr>
            <w:r>
              <w:rPr>
                <w:rFonts w:ascii="Times New Roman" w:cs="Times New Roman" w:eastAsia="Times New Roman" w:hAnsi="Times New Roman"/>
                <w:sz w:val="17"/>
                <w:szCs w:val="17"/>
                <w:color w:val="auto"/>
              </w:rPr>
              <w:t>Directors, Executive Officers and Corporate Governance</w:t>
            </w:r>
          </w:p>
        </w:tc>
        <w:tc>
          <w:tcPr>
            <w:tcW w:w="4900" w:type="dxa"/>
            <w:vAlign w:val="bottom"/>
            <w:gridSpan w:val="8"/>
          </w:tcPr>
          <w:p>
            <w:pPr>
              <w:spacing w:after="0"/>
              <w:rPr>
                <w:sz w:val="16"/>
                <w:szCs w:val="16"/>
                <w:color w:val="auto"/>
              </w:rPr>
            </w:pPr>
          </w:p>
        </w:tc>
        <w:tc>
          <w:tcPr>
            <w:tcW w:w="134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7"/>
                <w:szCs w:val="17"/>
                <w:color w:val="0000FF"/>
              </w:rPr>
              <w:t>135</w:t>
            </w:r>
          </w:p>
        </w:tc>
      </w:tr>
      <w:tr>
        <w:trPr>
          <w:trHeight w:val="20"/>
        </w:trPr>
        <w:tc>
          <w:tcPr>
            <w:tcW w:w="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5"/>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60" w:type="dxa"/>
            <w:vAlign w:val="bottom"/>
            <w:tcBorders>
              <w:left w:val="single" w:sz="8" w:color="auto"/>
            </w:tcBorders>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91"/>
              </w:rPr>
              <w:t>Item 11.</w:t>
            </w:r>
          </w:p>
        </w:tc>
        <w:tc>
          <w:tcPr>
            <w:tcW w:w="420" w:type="dxa"/>
            <w:vAlign w:val="bottom"/>
          </w:tcPr>
          <w:p>
            <w:pPr>
              <w:spacing w:after="0"/>
              <w:rPr>
                <w:sz w:val="17"/>
                <w:szCs w:val="17"/>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7"/>
                <w:szCs w:val="17"/>
                <w:color w:val="auto"/>
                <w:w w:val="98"/>
              </w:rPr>
              <w:t>Executive Compensation</w:t>
            </w:r>
          </w:p>
        </w:tc>
        <w:tc>
          <w:tcPr>
            <w:tcW w:w="2260" w:type="dxa"/>
            <w:vAlign w:val="bottom"/>
            <w:gridSpan w:val="5"/>
          </w:tcPr>
          <w:p>
            <w:pPr>
              <w:spacing w:after="0"/>
              <w:rPr>
                <w:sz w:val="17"/>
                <w:szCs w:val="17"/>
                <w:color w:val="auto"/>
              </w:rPr>
            </w:pPr>
          </w:p>
        </w:tc>
        <w:tc>
          <w:tcPr>
            <w:tcW w:w="4900" w:type="dxa"/>
            <w:vAlign w:val="bottom"/>
            <w:gridSpan w:val="8"/>
          </w:tcPr>
          <w:p>
            <w:pPr>
              <w:spacing w:after="0"/>
              <w:rPr>
                <w:sz w:val="17"/>
                <w:szCs w:val="17"/>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135</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91"/>
              </w:rPr>
              <w:t>Item 12.</w:t>
            </w:r>
          </w:p>
        </w:tc>
        <w:tc>
          <w:tcPr>
            <w:tcW w:w="420" w:type="dxa"/>
            <w:vAlign w:val="bottom"/>
          </w:tcPr>
          <w:p>
            <w:pPr>
              <w:spacing w:after="0"/>
              <w:rPr>
                <w:sz w:val="17"/>
                <w:szCs w:val="17"/>
                <w:color w:val="auto"/>
              </w:rPr>
            </w:pPr>
          </w:p>
        </w:tc>
        <w:tc>
          <w:tcPr>
            <w:tcW w:w="88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Security Ownership of Certain Beneficial Owners and Management and Related Stockholder Matters</w:t>
            </w: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135</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91"/>
              </w:rPr>
              <w:t>Item 13.</w:t>
            </w:r>
          </w:p>
        </w:tc>
        <w:tc>
          <w:tcPr>
            <w:tcW w:w="420" w:type="dxa"/>
            <w:vAlign w:val="bottom"/>
          </w:tcPr>
          <w:p>
            <w:pPr>
              <w:spacing w:after="0"/>
              <w:rPr>
                <w:sz w:val="17"/>
                <w:szCs w:val="17"/>
                <w:color w:val="auto"/>
              </w:rPr>
            </w:pPr>
          </w:p>
        </w:tc>
        <w:tc>
          <w:tcPr>
            <w:tcW w:w="53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Certain Relationships and Related Transactions, and Director Independence</w:t>
            </w:r>
          </w:p>
        </w:tc>
        <w:tc>
          <w:tcPr>
            <w:tcW w:w="1780" w:type="dxa"/>
            <w:vAlign w:val="bottom"/>
            <w:gridSpan w:val="3"/>
          </w:tcPr>
          <w:p>
            <w:pPr>
              <w:spacing w:after="0"/>
              <w:rPr>
                <w:sz w:val="17"/>
                <w:szCs w:val="17"/>
                <w:color w:val="auto"/>
              </w:rPr>
            </w:pPr>
          </w:p>
        </w:tc>
        <w:tc>
          <w:tcPr>
            <w:tcW w:w="1800" w:type="dxa"/>
            <w:vAlign w:val="bottom"/>
            <w:gridSpan w:val="2"/>
          </w:tcPr>
          <w:p>
            <w:pPr>
              <w:spacing w:after="0"/>
              <w:rPr>
                <w:sz w:val="17"/>
                <w:szCs w:val="17"/>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135</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91"/>
              </w:rPr>
              <w:t>Item 14.</w:t>
            </w:r>
          </w:p>
        </w:tc>
        <w:tc>
          <w:tcPr>
            <w:tcW w:w="420" w:type="dxa"/>
            <w:vAlign w:val="bottom"/>
          </w:tcPr>
          <w:p>
            <w:pPr>
              <w:spacing w:after="0"/>
              <w:rPr>
                <w:sz w:val="17"/>
                <w:szCs w:val="17"/>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Principal Accountant Fees and Services</w:t>
            </w:r>
          </w:p>
        </w:tc>
        <w:tc>
          <w:tcPr>
            <w:tcW w:w="2520" w:type="dxa"/>
            <w:vAlign w:val="bottom"/>
            <w:gridSpan w:val="6"/>
          </w:tcPr>
          <w:p>
            <w:pPr>
              <w:spacing w:after="0"/>
              <w:rPr>
                <w:sz w:val="17"/>
                <w:szCs w:val="17"/>
                <w:color w:val="auto"/>
              </w:rPr>
            </w:pPr>
          </w:p>
        </w:tc>
        <w:tc>
          <w:tcPr>
            <w:tcW w:w="3580" w:type="dxa"/>
            <w:vAlign w:val="bottom"/>
            <w:gridSpan w:val="5"/>
          </w:tcPr>
          <w:p>
            <w:pPr>
              <w:spacing w:after="0"/>
              <w:rPr>
                <w:sz w:val="17"/>
                <w:szCs w:val="17"/>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135</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9"/>
        </w:trPr>
        <w:tc>
          <w:tcPr>
            <w:tcW w:w="40" w:type="dxa"/>
            <w:vAlign w:val="bottom"/>
          </w:tcPr>
          <w:p>
            <w:pPr>
              <w:spacing w:after="0"/>
              <w:rPr>
                <w:sz w:val="16"/>
                <w:szCs w:val="16"/>
                <w:color w:val="auto"/>
              </w:rPr>
            </w:pPr>
          </w:p>
        </w:tc>
        <w:tc>
          <w:tcPr>
            <w:tcW w:w="56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auto"/>
                <w:w w:val="91"/>
              </w:rPr>
              <w:t>Item 15.</w:t>
            </w:r>
          </w:p>
        </w:tc>
        <w:tc>
          <w:tcPr>
            <w:tcW w:w="420" w:type="dxa"/>
            <w:vAlign w:val="bottom"/>
          </w:tcPr>
          <w:p>
            <w:pPr>
              <w:spacing w:after="0"/>
              <w:rPr>
                <w:sz w:val="16"/>
                <w:szCs w:val="16"/>
                <w:color w:val="auto"/>
              </w:rPr>
            </w:pPr>
          </w:p>
        </w:tc>
        <w:tc>
          <w:tcPr>
            <w:tcW w:w="3180" w:type="dxa"/>
            <w:vAlign w:val="bottom"/>
            <w:gridSpan w:val="10"/>
          </w:tcPr>
          <w:p>
            <w:pPr>
              <w:spacing w:after="0" w:line="189" w:lineRule="exact"/>
              <w:rPr>
                <w:sz w:val="20"/>
                <w:szCs w:val="20"/>
                <w:color w:val="auto"/>
              </w:rPr>
            </w:pPr>
            <w:r>
              <w:rPr>
                <w:rFonts w:ascii="Times New Roman" w:cs="Times New Roman" w:eastAsia="Times New Roman" w:hAnsi="Times New Roman"/>
                <w:sz w:val="17"/>
                <w:szCs w:val="17"/>
                <w:color w:val="auto"/>
              </w:rPr>
              <w:t>Exhibits, Financial Statements and Schedules</w:t>
            </w:r>
          </w:p>
        </w:tc>
        <w:tc>
          <w:tcPr>
            <w:tcW w:w="5700" w:type="dxa"/>
            <w:vAlign w:val="bottom"/>
            <w:gridSpan w:val="10"/>
          </w:tcPr>
          <w:p>
            <w:pPr>
              <w:spacing w:after="0"/>
              <w:rPr>
                <w:sz w:val="16"/>
                <w:szCs w:val="16"/>
                <w:color w:val="auto"/>
              </w:rPr>
            </w:pPr>
          </w:p>
        </w:tc>
        <w:tc>
          <w:tcPr>
            <w:tcW w:w="134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7"/>
                <w:szCs w:val="17"/>
                <w:color w:val="0000FF"/>
              </w:rPr>
              <w:t>136</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SIGNATURES</w:t>
            </w:r>
          </w:p>
        </w:tc>
        <w:tc>
          <w:tcPr>
            <w:tcW w:w="5700" w:type="dxa"/>
            <w:vAlign w:val="bottom"/>
            <w:gridSpan w:val="10"/>
          </w:tcPr>
          <w:p>
            <w:pPr>
              <w:spacing w:after="0"/>
              <w:rPr>
                <w:sz w:val="17"/>
                <w:szCs w:val="17"/>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141</w:t>
            </w:r>
          </w:p>
        </w:tc>
      </w:tr>
      <w:tr>
        <w:trPr>
          <w:trHeight w:val="1481"/>
        </w:trPr>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2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SL Green Realty Corp. is a self-managed real estate investment trust, or REIT, primarily engaged in the ownership, management, operation, acquisition, development, redevelopment, repositioning and financing of commercial real estate properties, principally office properties, located in the New York metropolitan area, principally in Manhattan, a borough of New York City. We were formed in June, 1997 for the purpose of continuing the commercial real estate business of S.L. Green Properties, Inc., our predecessor entity. S.L. Green Properties, Inc., which was founded in 1980 by Stephen L. Green, who serves as a member and the chairman emeritus of the Company's board of directors, had been engaged in the business of owning, managing, leasing, and repositioning office properties in Manhattan.</w:t>
      </w:r>
    </w:p>
    <w:p>
      <w:pPr>
        <w:spacing w:after="0" w:line="69"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As of December 31, 2024, we owned the following interests in properties in the New York metropolitan area, primarily in midtown Manhattan. Our investments located outside of Manhattan are referred to as the Suburban properties: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0"/>
                <w:szCs w:val="10"/>
                <w:color w:val="auto"/>
              </w:rPr>
            </w:pPr>
          </w:p>
        </w:tc>
        <w:tc>
          <w:tcPr>
            <w:tcW w:w="1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240" w:type="dxa"/>
            <w:vAlign w:val="bottom"/>
          </w:tcPr>
          <w:p>
            <w:pPr>
              <w:spacing w:after="0"/>
              <w:rPr>
                <w:sz w:val="10"/>
                <w:szCs w:val="10"/>
                <w:color w:val="auto"/>
              </w:rPr>
            </w:pPr>
          </w:p>
        </w:tc>
        <w:tc>
          <w:tcPr>
            <w:tcW w:w="12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0" w:type="dxa"/>
            <w:vAlign w:val="bottom"/>
          </w:tcPr>
          <w:p>
            <w:pPr>
              <w:spacing w:after="0"/>
              <w:rPr>
                <w:sz w:val="1"/>
                <w:szCs w:val="1"/>
                <w:color w:val="auto"/>
              </w:rPr>
            </w:pPr>
          </w:p>
        </w:tc>
      </w:tr>
      <w:tr>
        <w:trPr>
          <w:trHeight w:val="143"/>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Property Type</w:t>
            </w: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Leased</w:t>
            </w:r>
          </w:p>
        </w:tc>
        <w:tc>
          <w:tcPr>
            <w:tcW w:w="0" w:type="dxa"/>
            <w:vAlign w:val="bottom"/>
          </w:tcPr>
          <w:p>
            <w:pPr>
              <w:spacing w:after="0"/>
              <w:rPr>
                <w:sz w:val="1"/>
                <w:szCs w:val="1"/>
                <w:color w:val="auto"/>
              </w:rPr>
            </w:pPr>
          </w:p>
        </w:tc>
      </w:tr>
      <w:tr>
        <w:trPr>
          <w:trHeight w:val="191"/>
        </w:trPr>
        <w:tc>
          <w:tcPr>
            <w:tcW w:w="980" w:type="dxa"/>
            <w:vAlign w:val="bottom"/>
            <w:vMerge w:val="continue"/>
          </w:tcPr>
          <w:p>
            <w:pPr>
              <w:spacing w:after="0"/>
              <w:rPr>
                <w:sz w:val="16"/>
                <w:szCs w:val="16"/>
                <w:color w:val="auto"/>
              </w:rPr>
            </w:pPr>
          </w:p>
        </w:tc>
        <w:tc>
          <w:tcPr>
            <w:tcW w:w="1940" w:type="dxa"/>
            <w:vAlign w:val="bottom"/>
            <w:gridSpan w:val="2"/>
            <w:vMerge w:val="continue"/>
          </w:tcPr>
          <w:p>
            <w:pPr>
              <w:spacing w:after="0"/>
              <w:rPr>
                <w:sz w:val="16"/>
                <w:szCs w:val="16"/>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24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Square Feet</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Occupancy</w:t>
            </w:r>
            <w:r>
              <w:rPr>
                <w:rFonts w:ascii="Times New Roman" w:cs="Times New Roman" w:eastAsia="Times New Roman" w:hAnsi="Times New Roman"/>
                <w:sz w:val="9"/>
                <w:szCs w:val="9"/>
                <w:b w:val="1"/>
                <w:bCs w:val="1"/>
                <w:color w:val="auto"/>
                <w:w w:val="98"/>
              </w:rPr>
              <w:t>(1)</w:t>
            </w:r>
          </w:p>
        </w:tc>
        <w:tc>
          <w:tcPr>
            <w:tcW w:w="0" w:type="dxa"/>
            <w:vAlign w:val="bottom"/>
          </w:tcPr>
          <w:p>
            <w:pPr>
              <w:spacing w:after="0"/>
              <w:rPr>
                <w:sz w:val="1"/>
                <w:szCs w:val="1"/>
                <w:color w:val="auto"/>
              </w:rPr>
            </w:pPr>
          </w:p>
        </w:tc>
      </w:tr>
      <w:tr>
        <w:trPr>
          <w:trHeight w:val="195"/>
        </w:trPr>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9,587,441</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12,175,149</w:t>
            </w:r>
          </w:p>
        </w:tc>
        <w:tc>
          <w:tcPr>
            <w:tcW w:w="120" w:type="dxa"/>
            <w:vAlign w:val="bottom"/>
          </w:tcPr>
          <w:p>
            <w:pPr>
              <w:spacing w:after="0"/>
              <w:rPr>
                <w:sz w:val="16"/>
                <w:szCs w:val="16"/>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24</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21,762,590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92.5 %</w:t>
            </w:r>
          </w:p>
        </w:tc>
        <w:tc>
          <w:tcPr>
            <w:tcW w:w="0" w:type="dxa"/>
            <w:vAlign w:val="bottom"/>
          </w:tcPr>
          <w:p>
            <w:pPr>
              <w:spacing w:after="0"/>
              <w:rPr>
                <w:sz w:val="1"/>
                <w:szCs w:val="1"/>
                <w:color w:val="auto"/>
              </w:rPr>
            </w:pPr>
          </w:p>
        </w:tc>
      </w:tr>
      <w:tr>
        <w:trPr>
          <w:trHeight w:val="204"/>
        </w:trPr>
        <w:tc>
          <w:tcPr>
            <w:tcW w:w="9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Retail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12,946</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90"/>
        </w:trPr>
        <w:tc>
          <w:tcPr>
            <w:tcW w:w="9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Development/Redevelopment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0"/>
                <w:szCs w:val="10"/>
                <w:color w:val="auto"/>
              </w:rPr>
              <w:t>(2)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880,771</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1,385,484</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2,266,255</w:t>
            </w:r>
          </w:p>
        </w:tc>
        <w:tc>
          <w:tcPr>
            <w:tcW w:w="24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7"/>
        </w:trPr>
        <w:tc>
          <w:tcPr>
            <w:tcW w:w="9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10,498,708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13,573,579</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24,072,287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92.5 %</w:t>
            </w: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Suburban</w:t>
            </w: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862,800</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73.5 %</w:t>
            </w:r>
          </w:p>
        </w:tc>
        <w:tc>
          <w:tcPr>
            <w:tcW w:w="0" w:type="dxa"/>
            <w:vAlign w:val="bottom"/>
          </w:tcPr>
          <w:p>
            <w:pPr>
              <w:spacing w:after="0"/>
              <w:rPr>
                <w:sz w:val="1"/>
                <w:szCs w:val="1"/>
                <w:color w:val="auto"/>
              </w:rPr>
            </w:pPr>
          </w:p>
        </w:tc>
      </w:tr>
      <w:tr>
        <w:trPr>
          <w:trHeight w:val="197"/>
        </w:trPr>
        <w:tc>
          <w:tcPr>
            <w:tcW w:w="292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 properties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11,361,508</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13,573,579</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24,935,087</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91.8 %</w:t>
            </w:r>
          </w:p>
        </w:tc>
        <w:tc>
          <w:tcPr>
            <w:tcW w:w="0" w:type="dxa"/>
            <w:vAlign w:val="bottom"/>
          </w:tcPr>
          <w:p>
            <w:pPr>
              <w:spacing w:after="0"/>
              <w:rPr>
                <w:sz w:val="1"/>
                <w:szCs w:val="1"/>
                <w:color w:val="auto"/>
              </w:rPr>
            </w:pPr>
          </w:p>
        </w:tc>
      </w:tr>
      <w:tr>
        <w:trPr>
          <w:trHeight w:val="171"/>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1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Residential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140,382</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221,884</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362,266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99.1 %</w:t>
            </w:r>
          </w:p>
        </w:tc>
        <w:tc>
          <w:tcPr>
            <w:tcW w:w="0" w:type="dxa"/>
            <w:vAlign w:val="bottom"/>
          </w:tcPr>
          <w:p>
            <w:pPr>
              <w:spacing w:after="0"/>
              <w:rPr>
                <w:sz w:val="1"/>
                <w:szCs w:val="1"/>
                <w:color w:val="auto"/>
              </w:rPr>
            </w:pPr>
          </w:p>
        </w:tc>
      </w:tr>
      <w:tr>
        <w:trPr>
          <w:trHeight w:val="190"/>
        </w:trPr>
        <w:tc>
          <w:tcPr>
            <w:tcW w:w="292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 core portfolio</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11,501,890</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13,795,463</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25,297,353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91.9 %</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98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94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4"/>
                <w:szCs w:val="14"/>
                <w:color w:val="auto"/>
              </w:rPr>
              <w:t>Alternative Strategy</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2,567,025</w:t>
            </w:r>
          </w:p>
        </w:tc>
        <w:tc>
          <w:tcPr>
            <w:tcW w:w="120" w:type="dxa"/>
            <w:vAlign w:val="bottom"/>
          </w:tcPr>
          <w:p>
            <w:pPr>
              <w:spacing w:after="0"/>
              <w:rPr>
                <w:sz w:val="11"/>
                <w:szCs w:val="11"/>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2,567,025</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63.0 %</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Portfolio</w:t>
            </w:r>
          </w:p>
        </w:tc>
        <w:tc>
          <w:tcPr>
            <w:tcW w:w="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400" w:hanging="395"/>
        <w:spacing w:after="0" w:line="253" w:lineRule="auto"/>
        <w:tabs>
          <w:tab w:leader="none" w:pos="3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leased occupancy for commercial properties represents the total leased square footage divided by total square footage at acquisition. The weighted average leased occupancy for residential properties represents the total leased units divided by total available units. Properties under construction are not included in the calculation of weighted average leased occupancy.</w:t>
      </w:r>
    </w:p>
    <w:p>
      <w:pPr>
        <w:spacing w:after="0" w:line="1" w:lineRule="exact"/>
        <w:rPr>
          <w:rFonts w:ascii="Times New Roman" w:cs="Times New Roman" w:eastAsia="Times New Roman" w:hAnsi="Times New Roman"/>
          <w:sz w:val="14"/>
          <w:szCs w:val="14"/>
          <w:color w:val="auto"/>
        </w:rPr>
      </w:pPr>
    </w:p>
    <w:p>
      <w:pPr>
        <w:jc w:val="both"/>
        <w:ind w:left="400" w:hanging="395"/>
        <w:spacing w:after="0" w:line="261" w:lineRule="auto"/>
        <w:tabs>
          <w:tab w:leader="none" w:pos="39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we owned a building at 7 Dey Street / 185 Broadway that was comprised of approximately 140,382 square feet (unaudited) of residential space and approximately 50,206 square feet (unaudited) of office and retail space. For the purpose of this report, we have included this building in the number of residential properties we own. However, we have included only the residential square footage in the residential approximate square footage, and have listed the balance of the square footage as development square footage.</w:t>
      </w:r>
    </w:p>
    <w:p>
      <w:pPr>
        <w:spacing w:after="0" w:line="70"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As of December 31, 2024, we also managed one office building and one retail building owned by a third party encompassing approximately 0.4 million square feet, and held debt and preferred equity investments with a book value of $303.7 million, excluding debt and preferred equity investments and other financing receivables totaling $9.7 million that are included in balance sheet line items other than the Debt and preferred equity investments line item.</w:t>
      </w:r>
    </w:p>
    <w:p>
      <w:pPr>
        <w:spacing w:after="0" w:line="57" w:lineRule="exact"/>
        <w:rPr>
          <w:sz w:val="20"/>
          <w:szCs w:val="20"/>
          <w:color w:val="auto"/>
        </w:rPr>
      </w:pPr>
    </w:p>
    <w:p>
      <w:pPr>
        <w:jc w:val="both"/>
        <w:ind w:firstLine="433"/>
        <w:spacing w:after="0" w:line="262" w:lineRule="auto"/>
        <w:rPr>
          <w:sz w:val="20"/>
          <w:szCs w:val="20"/>
          <w:color w:val="auto"/>
        </w:rPr>
      </w:pPr>
      <w:r>
        <w:rPr>
          <w:rFonts w:ascii="Times New Roman" w:cs="Times New Roman" w:eastAsia="Times New Roman" w:hAnsi="Times New Roman"/>
          <w:sz w:val="17"/>
          <w:szCs w:val="17"/>
          <w:color w:val="auto"/>
        </w:rPr>
        <w:t xml:space="preserve">Our corporate offices are located in midtown Manhattan at One Vanderbilt Avenue, New York, New York 10017. As of December 31, 2024, we employed 1,221 employees, 313 of whom were employed in our corporate offices. We maintain a website at </w:t>
      </w:r>
      <w:r>
        <w:rPr>
          <w:rFonts w:ascii="Times New Roman" w:cs="Times New Roman" w:eastAsia="Times New Roman" w:hAnsi="Times New Roman"/>
          <w:sz w:val="17"/>
          <w:szCs w:val="17"/>
          <w:i w:val="1"/>
          <w:iCs w:val="1"/>
          <w:color w:val="auto"/>
        </w:rPr>
        <w:t>www.slgreen.com</w:t>
      </w:r>
      <w:r>
        <w:rPr>
          <w:rFonts w:ascii="Times New Roman" w:cs="Times New Roman" w:eastAsia="Times New Roman" w:hAnsi="Times New Roman"/>
          <w:sz w:val="17"/>
          <w:szCs w:val="17"/>
          <w:color w:val="auto"/>
        </w:rPr>
        <w:t xml:space="preserve"> and can be contacted at (212) 594-2700 or by email at investor.relations@slgreen.com. On our website, you can obtain, free of charge, a copy of our annual reports on Form 10-K, quarterly reports on Form 10-Q, current reports on Form 8-K and amendments to those reports filed or furnished pursuant to Section 13(a) or 15(d) of the Exchange Act as soon as reasonably practicable after we file such material electronically with, or furnish it to, the Securities and Exchange Commission, or the SEC. We have also made available on our website our audit committee charter, compensation committee charter, nominating and corporate governance committee charter, code of business conduct and ethics and corporate governance principles. We do not intend for information contained on our website to be part of this annual report on Form 10-K. The SEC maintains a website (http://www.sec.gov)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Unless the context requires otherwise, all references to the "Company," "SL Green," "we," "our" and "us" in this annual report means SL Green Realty Corp., a Maryland corporation, and one or more of its subsidiaries, including the Operating Partnership, or, as the context may require, SL Green only or the Operating Partnership only, and "S.L. Green Properties" means S.L. Green Properties, Inc., a New York corporation, as well as the affiliated partnerships and other entities through which Stephen L. Green historically conducted commercial real estate activities.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Structure</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In connection with the Company's initial public offering, or IPO, in August 1997, the Operating Partnership received a contribution of interests in real estate properties as well as a 95% economic, non-voting interest in the management, leasing and construction companies affiliated with S.L. Green Properties. We refer to these management, leasing and construction entities, which are owned by S.L. Green Management Corp, as the "Service Corporation." The Company is organized to qualify, and has elected to qualify, as a REIT, under the Internal Revenue Code of 1986, as amended, or the Code.</w:t>
      </w:r>
    </w:p>
    <w:p>
      <w:pPr>
        <w:spacing w:after="0" w:line="64"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Substantially all of our assets are held by, and all of our operations are conducted through, the Operating Partnership. We are the sole managing general partner of the Operating Partnership, and as of December 31, 2024, we owned 94.03% of its economic interests. All of the management and leasing operations with respect to our wholly owned properties are conducted through SL Green Management LLC, or Management LLC. The Operating Partnership owns 100% of Management LLC.</w:t>
      </w:r>
    </w:p>
    <w:p>
      <w:pPr>
        <w:spacing w:after="0" w:line="64"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In order to maintain the Company's qualification as a REIT while realizing income from management, leasing and construction contracts with third parties and joint venture properties, all of these service operations are conducted through the S.L. Green Management Corp, or the Service Corporation, a consolidated variable interest entity. We, through our Operating Partnership, receive substantially all of the cash flow from the Service Corporation's operations. All of the voting common stock of the Service Corporation is held by an entity owned and controlled by Stephen L. Green, who serves as a member and as the chairman emeritus of the Company's Board of Directors.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and Growth Strategies</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SL Green, Manhattan's largest owner of office real estate, is focused primarily on the ownership, management, operation, acquisition, development, redevelopment, repositioning and financing of Manhattan commercial properties, principally office properties.</w:t>
      </w:r>
    </w:p>
    <w:p>
      <w:pPr>
        <w:spacing w:after="0" w:line="4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Our primary business objective is to maximize the total return to stockholders, through dividends, earnings and asset value appreciation. The commercial real estate expertise resulting from owning, operating, investing, developing, redeveloping and lending on real estate in Manhattan for many decades has enabled us to invest in a collection of premier office properties, selected retail and residential assets, and high-quality debt and preferred equity investments.</w:t>
      </w:r>
    </w:p>
    <w:p>
      <w:pPr>
        <w:spacing w:after="0" w:line="57"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We are led by a strong, experienced management team that provides a foundation of skills in all aspects of real estate. It is with this team that we have achieved a market leading position in our targeted submarkets.</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seek to enhance the value of our company by executing strategies that include the following:</w:t>
      </w:r>
    </w:p>
    <w:p>
      <w:pPr>
        <w:spacing w:after="0" w:line="119" w:lineRule="exact"/>
        <w:rPr>
          <w:sz w:val="20"/>
          <w:szCs w:val="20"/>
          <w:color w:val="auto"/>
        </w:rPr>
      </w:pPr>
    </w:p>
    <w:p>
      <w:pPr>
        <w:ind w:left="1260" w:hanging="468"/>
        <w:spacing w:after="0"/>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Leasing and property management, which capitalizes on our extensive presence and knowledge of the marketplaces in which we operate;</w:t>
      </w:r>
    </w:p>
    <w:p>
      <w:pPr>
        <w:spacing w:after="0" w:line="119" w:lineRule="exact"/>
        <w:rPr>
          <w:rFonts w:ascii="Times New Roman" w:cs="Times New Roman" w:eastAsia="Times New Roman" w:hAnsi="Times New Roman"/>
          <w:sz w:val="17"/>
          <w:szCs w:val="17"/>
          <w:color w:val="auto"/>
        </w:rPr>
      </w:pPr>
    </w:p>
    <w:p>
      <w:pPr>
        <w:ind w:left="1260" w:hanging="468"/>
        <w:spacing w:after="0"/>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Acquiring properties and employing our local market skills to reposition these assets to create incremental cash flow and value appreciation;</w:t>
      </w:r>
    </w:p>
    <w:p>
      <w:pPr>
        <w:spacing w:after="0" w:line="119" w:lineRule="exact"/>
        <w:rPr>
          <w:rFonts w:ascii="Times New Roman" w:cs="Times New Roman" w:eastAsia="Times New Roman" w:hAnsi="Times New Roman"/>
          <w:sz w:val="17"/>
          <w:szCs w:val="17"/>
          <w:color w:val="auto"/>
        </w:rPr>
      </w:pPr>
    </w:p>
    <w:p>
      <w:pPr>
        <w:ind w:left="1260" w:hanging="468"/>
        <w:spacing w:after="0" w:line="297" w:lineRule="auto"/>
        <w:tabs>
          <w:tab w:leader="none" w:pos="12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properties well suited for development/redevelopment in order to maximize the value of those properties through development/redevelopment or reconfiguration to match current workplace, retail and housing trends;</w:t>
      </w:r>
    </w:p>
    <w:p>
      <w:pPr>
        <w:spacing w:after="0" w:line="40" w:lineRule="exact"/>
        <w:rPr>
          <w:rFonts w:ascii="Times New Roman" w:cs="Times New Roman" w:eastAsia="Times New Roman" w:hAnsi="Times New Roman"/>
          <w:sz w:val="17"/>
          <w:szCs w:val="17"/>
          <w:color w:val="auto"/>
        </w:rPr>
      </w:pPr>
    </w:p>
    <w:p>
      <w:pPr>
        <w:ind w:left="1260" w:hanging="468"/>
        <w:spacing w:after="0" w:line="297" w:lineRule="auto"/>
        <w:tabs>
          <w:tab w:leader="none" w:pos="12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CMBS and debt and preferred equity positions that generate consistently strong risk-adjusted returns, increase the breadth of our market insight, foster key market relationships and source potential future investment and special servicing opportunities;</w:t>
      </w:r>
    </w:p>
    <w:p>
      <w:pPr>
        <w:spacing w:after="0" w:line="40" w:lineRule="exact"/>
        <w:rPr>
          <w:rFonts w:ascii="Times New Roman" w:cs="Times New Roman" w:eastAsia="Times New Roman" w:hAnsi="Times New Roman"/>
          <w:sz w:val="17"/>
          <w:szCs w:val="17"/>
          <w:color w:val="auto"/>
        </w:rPr>
      </w:pPr>
    </w:p>
    <w:p>
      <w:pPr>
        <w:ind w:left="1260" w:hanging="468"/>
        <w:spacing w:after="0" w:line="297" w:lineRule="auto"/>
        <w:tabs>
          <w:tab w:leader="none" w:pos="12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Executing dispositions through sales or joint ventures that harvest embedded equity which has been generated through management's value enhancing activities; and</w:t>
      </w:r>
    </w:p>
    <w:p>
      <w:pPr>
        <w:spacing w:after="0" w:line="40" w:lineRule="exact"/>
        <w:rPr>
          <w:rFonts w:ascii="Times New Roman" w:cs="Times New Roman" w:eastAsia="Times New Roman" w:hAnsi="Times New Roman"/>
          <w:sz w:val="17"/>
          <w:szCs w:val="17"/>
          <w:color w:val="auto"/>
        </w:rPr>
      </w:pPr>
    </w:p>
    <w:p>
      <w:pPr>
        <w:ind w:left="1260" w:hanging="468"/>
        <w:spacing w:after="0"/>
        <w:tabs>
          <w:tab w:leader="none" w:pos="12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prudently levered, liquid balance sheet with consistent access to diversified sources of property level and corporate capital.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Leasing and Property Management</w:t>
      </w:r>
    </w:p>
    <w:p>
      <w:pPr>
        <w:spacing w:after="0" w:line="121"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We seek to capitalize on our management's extensive knowledge of Manhattan and the New York metropolitan area and the needs of our tenants through proactive leasing and management programs, which include: (i) use of in-depth market experience resulting from managing and leasing tens of millions of square feet of office, retail and residential space since the Company was founded; (ii) careful tenant management, which results in a high tenant retention rate, long average lease terms and a manageable lease expiration schedule; (iii) utilization of an extensive network of third-party brokers to supplement our in-house leasing team; (iv) use of comprehensive building management analysis and planning; and (v) a commitment to tenant satisfaction by understanding and appreciating our tenant's businesses and the environment in which they are operating, while providing high quality tenant services at competitive rental rates.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Acquisitions</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acquire properties for long-term value appreciation and earnings growth. This strategy has resulted in capital gains that increase our investment capital base. In implementing this strategy, we continually evaluate potential acquisition opportunities. These opportunities may come from new properties as well as the acquisition of properties in which we already hold a joint venture interest or, from time to time, from our debt and preferred equity investments.</w:t>
      </w:r>
    </w:p>
    <w:p>
      <w:pPr>
        <w:spacing w:after="0" w:line="57"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Through intimate knowledge of our market, we have developed an ability to source transactions with superior risk-adjusted returns by capturing off-market opportunities. In rising markets, we primarily seek to acquire strategic vacancies that provide the opportunity to take advantage of our exceptional leasing and repositioning capabilities to increase cash flow and property value. In stable or falling markets, we primarily target assets featuring credit tenancies with fully escalated in-place rents to provide cash flow stability near-term and the opportunity for increases over time.</w:t>
      </w:r>
    </w:p>
    <w:p>
      <w:pPr>
        <w:spacing w:after="0" w:line="64"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We believe that we have many advantages over our competitors in acquiring core and non-core properties, both directly and through our joint venture program that includes a predominance of high-quality institutional investors. Those advantages include: (i) senior management's long-tenured experience leading a full-service, fully integrated real estate company focused, principally, on the Manhattan market; (ii) the ability to offer tax-efficient structures to sellers through the exchange of ownership interests, including units in our Operating Partnership; and (iii) the ability to underwrite and close transactions on an expedited basis even when the transaction involves a complicated structure.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Dispositions</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continually evaluate our portfolio to identify those properties that are most likely to meet our long-term earnings and cash flow growth objectives and contribute to increasing portfolio value. Properties that no longer meet our objectives are evaluated for sale or joint venture, to release equity created through management's value enhancement programs or to take advantage of attractive market valuations.</w:t>
      </w:r>
    </w:p>
    <w:p>
      <w:pPr>
        <w:spacing w:after="0" w:line="57"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seek to efficiently deploy the capital proceeds generated from these dispositions into other property acquisitions, development or redevelopment projects or debt and preferred equity investments that we expect will provide enhanced future capital gains and earnings growth opportunities. Management may also elect to utilize the capital proceeds from these dispositions to repurchase shares of our common stock, repay existing indebtedness of the Company or its subsidiaries, or increase cash liquidity.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Repositioning</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Our extensive knowledge of the market in which we operate and our ability to efficiently plan and execute capital projects provide the expertise to enhance returns by repositioning properties that are underperforming. Many of the properties we own or seek to acquire feature unique architectural design elements or other amenities and characteristics that can be appealing to tenants when fully exploited. Our strategic investment in these properties, combined with our active management and pro-active leasing, provide the opportunity to creatively meet market needs and generate favorable returns.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Development / Redevelopment</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Our constant interactions with tenants and other market participants keep us abreast of innovations in workplace layout, amenitization, store design and smart living. We leverage this information to identify properties primed for development or redevelopment to meet these demands and unlock value. The expertise and relationships that we have built from managing complex construction projects in New York City and its surrounding areas allow us to cost efficiently add new and renovated assets of the highest quality and desirability to our operating portfolio.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and Preferred Equity Investments</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invest in well-collateralized debt and preferred equity investments in the markets in which we operate, principally New York City, that generate attractive yields. See Note 5, "Debt and Preferred Equity Investments," in the accompanying consolidated financial statements. Knowledge of our markets and our leasing and asset management expertise provide underwriting capabilities that enable a highly educated assessment of risk and return. The benefits of this investment program, which has a carefully managed aggregate size, include the following:</w:t>
      </w:r>
    </w:p>
    <w:p>
      <w:pPr>
        <w:spacing w:after="0" w:line="64" w:lineRule="exact"/>
        <w:rPr>
          <w:sz w:val="20"/>
          <w:szCs w:val="20"/>
          <w:color w:val="auto"/>
        </w:rPr>
      </w:pPr>
    </w:p>
    <w:p>
      <w:pPr>
        <w:ind w:left="800" w:hanging="402"/>
        <w:spacing w:after="0" w:line="297" w:lineRule="auto"/>
        <w:tabs>
          <w:tab w:leader="none" w:pos="79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typical investments provide high current returns at conservative exposure levels and, in certain cases, the potential for future capital gains. Our expertise and operating capabilities provide both insight and operating skills that mitigate risk.</w:t>
      </w:r>
    </w:p>
    <w:p>
      <w:pPr>
        <w:spacing w:after="0" w:line="40" w:lineRule="exact"/>
        <w:rPr>
          <w:rFonts w:ascii="Times New Roman" w:cs="Times New Roman" w:eastAsia="Times New Roman" w:hAnsi="Times New Roman"/>
          <w:sz w:val="17"/>
          <w:szCs w:val="17"/>
          <w:color w:val="auto"/>
        </w:rPr>
      </w:pPr>
    </w:p>
    <w:p>
      <w:pPr>
        <w:jc w:val="both"/>
        <w:ind w:left="800" w:hanging="402"/>
        <w:spacing w:after="0" w:line="277" w:lineRule="auto"/>
        <w:tabs>
          <w:tab w:leader="none" w:pos="79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certain instances, these investments may serve as a potential source of real estate acquisitions for us. Property owners may also provide us the opportunity to consider off-market transactions involving other properties because we have previously provided debt or preferred equity financing to them.</w:t>
      </w:r>
    </w:p>
    <w:p>
      <w:pPr>
        <w:spacing w:after="0" w:line="57" w:lineRule="exact"/>
        <w:rPr>
          <w:rFonts w:ascii="Times New Roman" w:cs="Times New Roman" w:eastAsia="Times New Roman" w:hAnsi="Times New Roman"/>
          <w:sz w:val="17"/>
          <w:szCs w:val="17"/>
          <w:color w:val="auto"/>
        </w:rPr>
      </w:pPr>
    </w:p>
    <w:p>
      <w:pPr>
        <w:ind w:left="800" w:hanging="402"/>
        <w:spacing w:after="0" w:line="297" w:lineRule="auto"/>
        <w:tabs>
          <w:tab w:leader="none" w:pos="79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debt and preferred equity investment strategy is concentrated in Manhattan, which helps us gain market insight, awareness of upcoming investment opportunities and foster key relationships that may provide access to future investment opportunities.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Resources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objective is to maintain multiple sources of efficient corporate and property level capital. This objective is supported by:</w:t>
      </w:r>
    </w:p>
    <w:p>
      <w:pPr>
        <w:spacing w:after="0" w:line="119" w:lineRule="exact"/>
        <w:rPr>
          <w:sz w:val="20"/>
          <w:szCs w:val="20"/>
          <w:color w:val="auto"/>
        </w:rPr>
      </w:pPr>
    </w:p>
    <w:p>
      <w:pPr>
        <w:ind w:left="800" w:hanging="323"/>
        <w:spacing w:after="0" w:line="297" w:lineRule="auto"/>
        <w:tabs>
          <w:tab w:leader="none" w:pos="79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operations that generally provide stable cash flows through market cycles, long average lease terms, high credit quality tenants and superior leasing, operating and asset management skills;</w:t>
      </w:r>
    </w:p>
    <w:p>
      <w:pPr>
        <w:spacing w:after="0" w:line="40" w:lineRule="exact"/>
        <w:rPr>
          <w:rFonts w:ascii="Times New Roman" w:cs="Times New Roman" w:eastAsia="Times New Roman" w:hAnsi="Times New Roman"/>
          <w:sz w:val="17"/>
          <w:szCs w:val="17"/>
          <w:color w:val="auto"/>
        </w:rPr>
      </w:pPr>
    </w:p>
    <w:p>
      <w:pPr>
        <w:ind w:left="800" w:hanging="323"/>
        <w:spacing w:after="0" w:line="297" w:lineRule="auto"/>
        <w:tabs>
          <w:tab w:leader="none" w:pos="79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Concentration of our activities in a Manhattan market that is consistently attractive to property investors and lenders through market cycles relative to other markets;</w:t>
      </w:r>
    </w:p>
    <w:p>
      <w:pPr>
        <w:spacing w:after="0" w:line="40" w:lineRule="exact"/>
        <w:rPr>
          <w:rFonts w:ascii="Times New Roman" w:cs="Times New Roman" w:eastAsia="Times New Roman" w:hAnsi="Times New Roman"/>
          <w:sz w:val="17"/>
          <w:szCs w:val="17"/>
          <w:color w:val="auto"/>
        </w:rPr>
      </w:pPr>
    </w:p>
    <w:p>
      <w:pPr>
        <w:ind w:left="780" w:hanging="303"/>
        <w:spacing w:after="0"/>
        <w:tabs>
          <w:tab w:leader="none" w:pos="7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strong corporate liquidity and careful management of future debt maturities; and</w:t>
      </w:r>
    </w:p>
    <w:p>
      <w:pPr>
        <w:spacing w:after="0" w:line="119" w:lineRule="exact"/>
        <w:rPr>
          <w:rFonts w:ascii="Times New Roman" w:cs="Times New Roman" w:eastAsia="Times New Roman" w:hAnsi="Times New Roman"/>
          <w:sz w:val="17"/>
          <w:szCs w:val="17"/>
          <w:color w:val="auto"/>
        </w:rPr>
      </w:pPr>
    </w:p>
    <w:p>
      <w:pPr>
        <w:ind w:left="800" w:hanging="323"/>
        <w:spacing w:after="0" w:line="297" w:lineRule="auto"/>
        <w:tabs>
          <w:tab w:leader="none" w:pos="79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access to corporate capital markets through balanced financing and investment activities that result in strong balance sheet and cash flow metrics.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SUMMIT</w:t>
      </w:r>
    </w:p>
    <w:p>
      <w:pPr>
        <w:spacing w:after="0" w:line="121"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SUMMIT One Vanderbilt is an observation deck that offers panoramic views of New York while immersing its visitors in an art experience. SUMMIT opened in October 2021 and welcomed approximately 2.3 million in 2024. Our constant focus and assessment of customer experience includes monitoring crowd volume and wait times for our attractions and services at SUMMIT, allowing us to maximize revenue per customer and adjust operating hours to meet the demand of peak reservation times during the week. In 2024, the Company announced its intention to expand the SUMMIT experience to a location in Paris, France in the future. The Company is also evaluating several opportunities to expand SUMMIT to other locations.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Manhattan Office Market Overview</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Manhattan is the largest office market in the United States containing more rentable square feet than the next four largest central business district office markets combined. According to Cushman and Wakefield Research Services, as of December 31, 2024, Manhattan has a total office inventory of approximately 419.3 million square feet, including 261.4 million square feet in midtown. The properties in our portfolio are primarily concentrated in some of Manhattan's most prominent midtown locations.</w:t>
      </w:r>
    </w:p>
    <w:p>
      <w:pPr>
        <w:spacing w:after="0" w:line="64" w:lineRule="exact"/>
        <w:rPr>
          <w:sz w:val="20"/>
          <w:szCs w:val="20"/>
          <w:color w:val="auto"/>
        </w:rPr>
      </w:pPr>
    </w:p>
    <w:p>
      <w:pPr>
        <w:jc w:val="both"/>
        <w:ind w:firstLine="433"/>
        <w:spacing w:after="0" w:line="274" w:lineRule="auto"/>
        <w:rPr>
          <w:sz w:val="20"/>
          <w:szCs w:val="20"/>
          <w:color w:val="auto"/>
        </w:rPr>
      </w:pPr>
      <w:r>
        <w:rPr>
          <w:rFonts w:ascii="Times New Roman" w:cs="Times New Roman" w:eastAsia="Times New Roman" w:hAnsi="Times New Roman"/>
          <w:sz w:val="17"/>
          <w:szCs w:val="17"/>
          <w:color w:val="auto"/>
        </w:rPr>
        <w:t>While the near-term addition of new supply to the Manhattan office inventory is expected to be nominal relative to the size of the overall market, we view new supply in locations near a variety of transportation options would be a positive to the Manhattan office market given the older vintage of the majority of Manhattan's office inventory and the desire of tenants to occupy new, high quality, efficient office space that provides for easy commutability for their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right="100" w:firstLine="433"/>
        <w:spacing w:after="0" w:line="267" w:lineRule="auto"/>
        <w:rPr>
          <w:sz w:val="20"/>
          <w:szCs w:val="20"/>
          <w:color w:val="auto"/>
        </w:rPr>
      </w:pPr>
      <w:r>
        <w:rPr>
          <w:rFonts w:ascii="Times New Roman" w:cs="Times New Roman" w:eastAsia="Times New Roman" w:hAnsi="Times New Roman"/>
          <w:sz w:val="17"/>
          <w:szCs w:val="17"/>
          <w:color w:val="auto"/>
        </w:rPr>
        <w:t>According to Cushman and Wakefield Research Services, the total volume of leases signed in Manhattan for the year ended December 31, 2024 grew to 23.4 million as compared to 18.0 million square feet for the year ended December 31, 2023. Overall average asking rents in Manhattan decreased in 2024 by 0.8% from $73.33 per square foot as of December 31, 2023 to $72.73 per square foot as of December 31, 2024, while Manhattan Class A asking rents increased to $81.19 per square foot, up 0.3% from $80.98 as of December 31, 2023. Manhattan's diverse tenant base is exemplified by the following tables, which show the percentage of leasing volume attributable to each industry:</w:t>
      </w:r>
    </w:p>
    <w:p>
      <w:pPr>
        <w:spacing w:after="0" w:line="81" w:lineRule="exact"/>
        <w:rPr>
          <w:sz w:val="20"/>
          <w:szCs w:val="20"/>
          <w:color w:val="auto"/>
        </w:rPr>
      </w:pPr>
    </w:p>
    <w:tbl>
      <w:tblPr>
        <w:tblLayout w:type="fixed"/>
        <w:tblInd w:w="440" w:type="dxa"/>
        <w:tblCellMar>
          <w:top w:w="0" w:type="dxa"/>
          <w:left w:w="0" w:type="dxa"/>
          <w:bottom w:w="0" w:type="dxa"/>
          <w:right w:w="0" w:type="dxa"/>
        </w:tblCellMar>
      </w:tblPr>
      <w:tr>
        <w:trPr>
          <w:trHeight w:val="253"/>
        </w:trPr>
        <w:tc>
          <w:tcPr>
            <w:tcW w:w="6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 xml:space="preserve">Percent of Manhattan Leasing Volume </w:t>
            </w:r>
            <w:r>
              <w:rPr>
                <w:rFonts w:ascii="Times New Roman" w:cs="Times New Roman" w:eastAsia="Times New Roman" w:hAnsi="Times New Roman"/>
                <w:sz w:val="22"/>
                <w:szCs w:val="22"/>
                <w:b w:val="1"/>
                <w:bCs w:val="1"/>
                <w:color w:val="auto"/>
                <w:vertAlign w:val="superscript"/>
              </w:rPr>
              <w:t>(1)</w:t>
            </w:r>
          </w:p>
        </w:tc>
      </w:tr>
      <w:tr>
        <w:trPr>
          <w:trHeight w:val="216"/>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Industry</w:t>
            </w:r>
          </w:p>
        </w:tc>
        <w:tc>
          <w:tcPr>
            <w:tcW w:w="2060" w:type="dxa"/>
            <w:vAlign w:val="bottom"/>
          </w:tcPr>
          <w:p>
            <w:pPr>
              <w:jc w:val="right"/>
              <w:ind w:right="7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40" w:type="dxa"/>
            <w:vAlign w:val="bottom"/>
          </w:tcPr>
          <w:p>
            <w:pPr>
              <w:spacing w:after="0"/>
              <w:rPr>
                <w:sz w:val="18"/>
                <w:szCs w:val="18"/>
                <w:color w:val="auto"/>
              </w:rPr>
            </w:pPr>
          </w:p>
        </w:tc>
        <w:tc>
          <w:tcPr>
            <w:tcW w:w="190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6"/>
        </w:trPr>
        <w:tc>
          <w:tcPr>
            <w:tcW w:w="6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Services</w:t>
            </w:r>
          </w:p>
        </w:tc>
        <w:tc>
          <w:tcPr>
            <w:tcW w:w="1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31.1 %</w:t>
            </w:r>
          </w:p>
        </w:tc>
        <w:tc>
          <w:tcPr>
            <w:tcW w:w="2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Technology, Advertising, Media, and Information ("TAMI")</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15.5 %</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Services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14.8 %</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Real Estate</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Retail/Wholesale</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Public Sector</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23"/>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Amusement, Arts, Entertainment</w:t>
            </w:r>
          </w:p>
        </w:tc>
        <w:tc>
          <w:tcPr>
            <w:tcW w:w="2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2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bl>
    <w:p>
      <w:pPr>
        <w:spacing w:after="0" w:line="174" w:lineRule="exact"/>
        <w:rPr>
          <w:sz w:val="20"/>
          <w:szCs w:val="20"/>
          <w:color w:val="auto"/>
        </w:rPr>
      </w:pPr>
    </w:p>
    <w:p>
      <w:pPr>
        <w:ind w:left="400" w:hanging="395"/>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Cushman and Wakefield Research Services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Terms of Leases in the Manhattan Markets</w:t>
      </w:r>
    </w:p>
    <w:p>
      <w:pPr>
        <w:spacing w:after="0" w:line="121" w:lineRule="exact"/>
        <w:rPr>
          <w:sz w:val="20"/>
          <w:szCs w:val="20"/>
          <w:color w:val="auto"/>
        </w:rPr>
      </w:pPr>
    </w:p>
    <w:p>
      <w:pPr>
        <w:jc w:val="both"/>
        <w:ind w:right="100" w:firstLine="433"/>
        <w:spacing w:after="0" w:line="262" w:lineRule="auto"/>
        <w:rPr>
          <w:sz w:val="20"/>
          <w:szCs w:val="20"/>
          <w:color w:val="auto"/>
        </w:rPr>
      </w:pPr>
      <w:r>
        <w:rPr>
          <w:rFonts w:ascii="Times New Roman" w:cs="Times New Roman" w:eastAsia="Times New Roman" w:hAnsi="Times New Roman"/>
          <w:sz w:val="17"/>
          <w:szCs w:val="17"/>
          <w:color w:val="auto"/>
        </w:rPr>
        <w:t>Leases in Manhattan typically contain terms that may not be contained in leases in other U.S. office markets. The initial term of leases entered into for space in Manhattan is generally seven to fifteen years. Tenants leasing space in excess of 10,000 square feet for an initial term of 10 years or longer often will negotiate an option to extend the term of the lease for one or two renewal periods, typically for a term of five years each. The base rent during the initial term often will provide for agreed-upon periodic increases over the term of the lease. Base rent for renewal terms is most often based upon the then fair market rental value of the premises as of the commencement date of the applicable renewal term (generally determined by binding arbitration in the event the landlord and the tenant are unable to mutually agree upon the fair market value), though base rent for a renewal period may be set at 95% of the then fair market rent. Very infrequently, leases may contain termination options whereby a tenant can terminate the lease obligation before the lease expiration date with payment of a penalty together with repayment of the unamortized portion of the landlord's transaction costs (e.g., brokerage commissions, free rent periods, tenant improvement allowances, etc.).</w:t>
      </w:r>
    </w:p>
    <w:p>
      <w:pPr>
        <w:spacing w:after="0" w:line="286" w:lineRule="exact"/>
        <w:rPr>
          <w:sz w:val="20"/>
          <w:szCs w:val="20"/>
          <w:color w:val="auto"/>
        </w:rPr>
      </w:pPr>
    </w:p>
    <w:p>
      <w:pPr>
        <w:jc w:val="both"/>
        <w:ind w:right="100" w:firstLine="433"/>
        <w:spacing w:after="0" w:line="267" w:lineRule="auto"/>
        <w:rPr>
          <w:sz w:val="20"/>
          <w:szCs w:val="20"/>
          <w:color w:val="auto"/>
        </w:rPr>
      </w:pPr>
      <w:r>
        <w:rPr>
          <w:rFonts w:ascii="Times New Roman" w:cs="Times New Roman" w:eastAsia="Times New Roman" w:hAnsi="Times New Roman"/>
          <w:sz w:val="17"/>
          <w:szCs w:val="17"/>
          <w:color w:val="auto"/>
        </w:rPr>
        <w:t>In addition to base rent, a tenant will generally also pay its pro rata share of increases in real estate taxes and operating expenses for the building over a base year, which is typically the year during which the term of the lease commences, based upon the tenant's proportionate occupancy of the building. In some smaller leases (generally less than 10,000 square feet), in lieu of paying additional rent based upon increases in building operating expenses, base rent will be increased each year during the lease term by a set percentage on a compounding basis (though the tenant will still pay its pro rata share of increases in real estate taxes over a base year).</w:t>
      </w:r>
    </w:p>
    <w:p>
      <w:pPr>
        <w:spacing w:after="0" w:line="67" w:lineRule="exact"/>
        <w:rPr>
          <w:sz w:val="20"/>
          <w:szCs w:val="20"/>
          <w:color w:val="auto"/>
        </w:rPr>
      </w:pPr>
    </w:p>
    <w:p>
      <w:pPr>
        <w:jc w:val="both"/>
        <w:ind w:right="100" w:firstLine="433"/>
        <w:spacing w:after="0" w:line="297" w:lineRule="auto"/>
        <w:rPr>
          <w:sz w:val="20"/>
          <w:szCs w:val="20"/>
          <w:color w:val="auto"/>
        </w:rPr>
      </w:pPr>
      <w:r>
        <w:rPr>
          <w:rFonts w:ascii="Times New Roman" w:cs="Times New Roman" w:eastAsia="Times New Roman" w:hAnsi="Times New Roman"/>
          <w:sz w:val="17"/>
          <w:szCs w:val="17"/>
          <w:color w:val="auto"/>
        </w:rPr>
        <w:t>Tenants typically receive a free rent period following commencement of the lease term, which in some cases may coincide with the tenant's construction period.</w:t>
      </w:r>
    </w:p>
    <w:p>
      <w:pPr>
        <w:spacing w:after="0" w:line="41" w:lineRule="exact"/>
        <w:rPr>
          <w:sz w:val="20"/>
          <w:szCs w:val="20"/>
          <w:color w:val="auto"/>
        </w:rPr>
      </w:pPr>
    </w:p>
    <w:p>
      <w:pPr>
        <w:jc w:val="both"/>
        <w:ind w:right="100" w:firstLine="433"/>
        <w:spacing w:after="0" w:line="267" w:lineRule="auto"/>
        <w:rPr>
          <w:sz w:val="20"/>
          <w:szCs w:val="20"/>
          <w:color w:val="auto"/>
        </w:rPr>
      </w:pPr>
      <w:r>
        <w:rPr>
          <w:rFonts w:ascii="Times New Roman" w:cs="Times New Roman" w:eastAsia="Times New Roman" w:hAnsi="Times New Roman"/>
          <w:sz w:val="17"/>
          <w:szCs w:val="17"/>
          <w:color w:val="auto"/>
        </w:rPr>
        <w:t>The landlord most often supplies electricity either on a sub-metered basis at the landlord's cost plus a fixed percentage or on a rent inclusion basis (i.e., a fixed fee is added to the base rent for electricity, which amount may increase based upon increases in electricity rates or increases in electrical usage by the tenant). Base building services, other than electricity, such as heat, air conditioning, freight elevator service during business hours and base building cleaning typically are provided at no additional cost, but are included in the building's operating expenses. The tenant will typically pay additional amounts only for services that exceed base building services or for services that are provided other than during normal business hours.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In a typical lease for a new tenant renting in excess of 10,000 square feet, the landlord will deliver the premises with existing improvements demolished. In such instances, the landlord will typically provide a tenant improvement allowance, which is a fixed sum that the landlord makes available to the tenant to reimburse the tenant for all or a portion of the tenant's initial construction of its premises. Such sum typically is payable as work progresses, upon submission by the tenant of invoices for the cost of construction and lien waivers. However, in certain leases (most often for relatively small amounts of space), the landlord will construct the premises for the tenant at a cost to the landlord not to exceed an agreed upon amount with the tenant paying any amount in excess of the agreed upon amount. In addition, landlords may rent space to a tenant that is "pre-built" (i.e., space that was constructed by the landlord in advance of lease signing and is ready to for the tenant to move in with the tenant selecting paint and carpet colors).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Occupancy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sets forth the weighted average occupancy rates at our office properties based on space leased for properties owned by us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Property</w:t>
            </w:r>
          </w:p>
        </w:tc>
        <w:tc>
          <w:tcPr>
            <w:tcW w:w="38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7"/>
                <w:szCs w:val="17"/>
                <w:b w:val="1"/>
                <w:bCs w:val="1"/>
                <w:color w:val="auto"/>
              </w:rPr>
              <w:t>Leased Occupancy as of December 31,</w:t>
            </w:r>
          </w:p>
        </w:tc>
        <w:tc>
          <w:tcPr>
            <w:tcW w:w="0" w:type="dxa"/>
            <w:vAlign w:val="bottom"/>
          </w:tcPr>
          <w:p>
            <w:pPr>
              <w:spacing w:after="0"/>
              <w:rPr>
                <w:sz w:val="1"/>
                <w:szCs w:val="1"/>
                <w:color w:val="auto"/>
              </w:rPr>
            </w:pPr>
          </w:p>
        </w:tc>
      </w:tr>
      <w:tr>
        <w:trPr>
          <w:trHeight w:val="216"/>
        </w:trPr>
        <w:tc>
          <w:tcPr>
            <w:tcW w:w="7420" w:type="dxa"/>
            <w:vAlign w:val="bottom"/>
            <w:gridSpan w:val="2"/>
            <w:vMerge w:val="continue"/>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0" w:type="dxa"/>
            <w:vAlign w:val="bottom"/>
          </w:tcPr>
          <w:p>
            <w:pPr>
              <w:spacing w:after="0"/>
              <w:rPr>
                <w:sz w:val="1"/>
                <w:szCs w:val="1"/>
                <w:color w:val="auto"/>
              </w:rPr>
            </w:pPr>
          </w:p>
        </w:tc>
      </w:tr>
      <w:tr>
        <w:trPr>
          <w:trHeight w:val="216"/>
        </w:trPr>
        <w:tc>
          <w:tcPr>
            <w:tcW w:w="7300" w:type="dxa"/>
            <w:vAlign w:val="bottom"/>
            <w:tcBorders>
              <w:top w:val="single" w:sz="8" w:color="auto"/>
            </w:tcBorders>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Same-Store office properties - Manhattan </w:t>
            </w:r>
            <w:r>
              <w:rPr>
                <w:rFonts w:ascii="Times New Roman" w:cs="Times New Roman" w:eastAsia="Times New Roman" w:hAnsi="Times New Roman"/>
                <w:sz w:val="22"/>
                <w:szCs w:val="22"/>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92.5%</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Manhattan office properties</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92.5%</w:t>
            </w:r>
          </w:p>
        </w:tc>
        <w:tc>
          <w:tcPr>
            <w:tcW w:w="2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89.4%</w:t>
            </w: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Suburban office properties</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73.5%</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77.1%</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Unconsolidated joint venture office properties</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95.0%</w:t>
            </w:r>
          </w:p>
        </w:tc>
        <w:tc>
          <w:tcPr>
            <w:tcW w:w="2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91.1%</w:t>
            </w: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Portfolio </w:t>
            </w:r>
            <w:r>
              <w:rPr>
                <w:rFonts w:ascii="Times New Roman" w:cs="Times New Roman" w:eastAsia="Times New Roman" w:hAnsi="Times New Roman"/>
                <w:sz w:val="22"/>
                <w:szCs w:val="22"/>
                <w:color w:val="auto"/>
                <w:vertAlign w:val="superscript"/>
              </w:rPr>
              <w:t>(2)</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89.2%</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89.2%</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0" w:hanging="395"/>
        <w:spacing w:after="0" w:line="253" w:lineRule="auto"/>
        <w:tabs>
          <w:tab w:leader="none" w:pos="39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office properties located in Manhattan owned by us as of January 1, 2023 and still owned by us in the same manner as of December 31, 2024. Percent Occupied includes leases signed but not yet commenced.</w:t>
      </w:r>
    </w:p>
    <w:p>
      <w:pPr>
        <w:ind w:left="400" w:hanging="395"/>
        <w:spacing w:after="0"/>
        <w:tabs>
          <w:tab w:leader="none" w:pos="4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properties under development or redevelopment.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Rent Trajectory</w:t>
      </w:r>
    </w:p>
    <w:p>
      <w:pPr>
        <w:spacing w:after="0" w:line="121"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We are constantly evaluating our schedule of future lease expirations to mitigate occupancy risk while maximizing net effective rents. We proactively manage future lease expirations based on our view of estimated current and future market conditions and asking rents. The following table sets forth our future lease expirations, excluding triple net leases, and management's estimates of market asking rents. Taking rents are typically lower than asking rents and may vary from building to building. There can be no assurances that our estimates of market rents are accurate or that market rents currently prevailing will not erode or outperform in the future.</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80" w:type="dxa"/>
            <w:vAlign w:val="bottom"/>
            <w:gridSpan w:val="5"/>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ANNUAL LEASE EXPIRATIONS - MANHATTAN OPERATING PROPERTIES</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Consolidated Properties</w:t>
            </w:r>
          </w:p>
        </w:tc>
        <w:tc>
          <w:tcPr>
            <w:tcW w:w="9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Joint Venture Properties</w:t>
            </w:r>
          </w:p>
        </w:tc>
        <w:tc>
          <w:tcPr>
            <w:tcW w:w="9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Annualized Cash</w:t>
            </w: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Annualized Cash</w:t>
            </w:r>
          </w:p>
        </w:tc>
        <w:tc>
          <w:tcPr>
            <w:tcW w:w="0" w:type="dxa"/>
            <w:vAlign w:val="bottom"/>
          </w:tcPr>
          <w:p>
            <w:pPr>
              <w:spacing w:after="0"/>
              <w:rPr>
                <w:sz w:val="1"/>
                <w:szCs w:val="1"/>
                <w:color w:val="auto"/>
              </w:rPr>
            </w:pPr>
          </w:p>
        </w:tc>
      </w:tr>
      <w:tr>
        <w:trPr>
          <w:trHeight w:val="105"/>
        </w:trPr>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Rentable Square</w:t>
            </w: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Annualized Cash</w:t>
            </w:r>
          </w:p>
        </w:tc>
        <w:tc>
          <w:tcPr>
            <w:tcW w:w="104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0"/>
                <w:szCs w:val="10"/>
                <w:b w:val="1"/>
                <w:bCs w:val="1"/>
                <w:color w:val="auto"/>
              </w:rPr>
              <w:t>Rent Per Square</w:t>
            </w:r>
          </w:p>
        </w:tc>
        <w:tc>
          <w:tcPr>
            <w:tcW w:w="10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Rentable Square</w:t>
            </w: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vMerge w:val="restart"/>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Annualized Cash</w:t>
            </w:r>
          </w:p>
        </w:tc>
        <w:tc>
          <w:tcPr>
            <w:tcW w:w="9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Rent Per Square</w:t>
            </w:r>
          </w:p>
        </w:tc>
        <w:tc>
          <w:tcPr>
            <w:tcW w:w="0" w:type="dxa"/>
            <w:vAlign w:val="bottom"/>
          </w:tcPr>
          <w:p>
            <w:pPr>
              <w:spacing w:after="0"/>
              <w:rPr>
                <w:sz w:val="1"/>
                <w:szCs w:val="1"/>
                <w:color w:val="auto"/>
              </w:rPr>
            </w:pPr>
          </w:p>
        </w:tc>
      </w:tr>
      <w:tr>
        <w:trPr>
          <w:trHeight w:val="105"/>
        </w:trPr>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Year of Lease</w:t>
            </w:r>
          </w:p>
        </w:tc>
        <w:tc>
          <w:tcPr>
            <w:tcW w:w="10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16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Percentage of Total</w:t>
            </w:r>
          </w:p>
        </w:tc>
        <w:tc>
          <w:tcPr>
            <w:tcW w:w="940" w:type="dxa"/>
            <w:vAlign w:val="bottom"/>
            <w:vMerge w:val="continue"/>
          </w:tcPr>
          <w:p>
            <w:pPr>
              <w:spacing w:after="0"/>
              <w:rPr>
                <w:sz w:val="9"/>
                <w:szCs w:val="9"/>
                <w:color w:val="auto"/>
              </w:rPr>
            </w:pPr>
          </w:p>
        </w:tc>
        <w:tc>
          <w:tcPr>
            <w:tcW w:w="104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0"/>
                <w:szCs w:val="10"/>
                <w:b w:val="1"/>
                <w:bCs w:val="1"/>
                <w:color w:val="auto"/>
              </w:rPr>
              <w:t>Foot of Expiring</w:t>
            </w:r>
          </w:p>
        </w:tc>
        <w:tc>
          <w:tcPr>
            <w:tcW w:w="10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16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Percentage of Total</w:t>
            </w:r>
          </w:p>
        </w:tc>
        <w:tc>
          <w:tcPr>
            <w:tcW w:w="960" w:type="dxa"/>
            <w:vAlign w:val="bottom"/>
            <w:vMerge w:val="continue"/>
          </w:tcPr>
          <w:p>
            <w:pPr>
              <w:spacing w:after="0"/>
              <w:rPr>
                <w:sz w:val="9"/>
                <w:szCs w:val="9"/>
                <w:color w:val="auto"/>
              </w:rPr>
            </w:pPr>
          </w:p>
        </w:tc>
        <w:tc>
          <w:tcPr>
            <w:tcW w:w="9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Foot of Expiring</w:t>
            </w:r>
          </w:p>
        </w:tc>
        <w:tc>
          <w:tcPr>
            <w:tcW w:w="0" w:type="dxa"/>
            <w:vAlign w:val="bottom"/>
          </w:tcPr>
          <w:p>
            <w:pPr>
              <w:spacing w:after="0"/>
              <w:rPr>
                <w:sz w:val="1"/>
                <w:szCs w:val="1"/>
                <w:color w:val="auto"/>
              </w:rPr>
            </w:pPr>
          </w:p>
        </w:tc>
      </w:tr>
      <w:tr>
        <w:trPr>
          <w:trHeight w:val="105"/>
        </w:trPr>
        <w:tc>
          <w:tcPr>
            <w:tcW w:w="1240" w:type="dxa"/>
            <w:vAlign w:val="bottom"/>
            <w:gridSpan w:val="2"/>
            <w:vMerge w:val="continue"/>
          </w:tcPr>
          <w:p>
            <w:pPr>
              <w:spacing w:after="0"/>
              <w:rPr>
                <w:sz w:val="9"/>
                <w:szCs w:val="9"/>
                <w:color w:val="auto"/>
              </w:rPr>
            </w:pPr>
          </w:p>
        </w:tc>
        <w:tc>
          <w:tcPr>
            <w:tcW w:w="1880" w:type="dxa"/>
            <w:vAlign w:val="bottom"/>
            <w:gridSpan w:val="2"/>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Number of Footage of Expiring</w:t>
            </w:r>
          </w:p>
        </w:tc>
        <w:tc>
          <w:tcPr>
            <w:tcW w:w="1160" w:type="dxa"/>
            <w:vAlign w:val="bottom"/>
            <w:gridSpan w:val="2"/>
            <w:vMerge w:val="continue"/>
          </w:tcPr>
          <w:p>
            <w:pPr>
              <w:spacing w:after="0"/>
              <w:rPr>
                <w:sz w:val="9"/>
                <w:szCs w:val="9"/>
                <w:color w:val="auto"/>
              </w:rPr>
            </w:pPr>
          </w:p>
        </w:tc>
        <w:tc>
          <w:tcPr>
            <w:tcW w:w="940" w:type="dxa"/>
            <w:vAlign w:val="bottom"/>
          </w:tcPr>
          <w:p>
            <w:pPr>
              <w:jc w:val="right"/>
              <w:ind w:right="88"/>
              <w:spacing w:after="0" w:line="105" w:lineRule="exact"/>
              <w:rPr>
                <w:sz w:val="20"/>
                <w:szCs w:val="20"/>
                <w:color w:val="auto"/>
              </w:rPr>
            </w:pPr>
            <w:r>
              <w:rPr>
                <w:rFonts w:ascii="Times New Roman" w:cs="Times New Roman" w:eastAsia="Times New Roman" w:hAnsi="Times New Roman"/>
                <w:sz w:val="10"/>
                <w:szCs w:val="10"/>
                <w:b w:val="1"/>
                <w:bCs w:val="1"/>
                <w:color w:val="auto"/>
              </w:rPr>
              <w:t>Rent of Expiring</w:t>
            </w:r>
          </w:p>
        </w:tc>
        <w:tc>
          <w:tcPr>
            <w:tcW w:w="1040" w:type="dxa"/>
            <w:vAlign w:val="bottom"/>
            <w:gridSpan w:val="2"/>
          </w:tcPr>
          <w:p>
            <w:pPr>
              <w:jc w:val="right"/>
              <w:ind w:right="120"/>
              <w:spacing w:after="0" w:line="105" w:lineRule="exact"/>
              <w:rPr>
                <w:sz w:val="20"/>
                <w:szCs w:val="20"/>
                <w:color w:val="auto"/>
              </w:rPr>
            </w:pPr>
            <w:r>
              <w:rPr>
                <w:rFonts w:ascii="Times New Roman" w:cs="Times New Roman" w:eastAsia="Times New Roman" w:hAnsi="Times New Roman"/>
                <w:sz w:val="10"/>
                <w:szCs w:val="10"/>
                <w:b w:val="1"/>
                <w:bCs w:val="1"/>
                <w:color w:val="auto"/>
              </w:rPr>
              <w:t>Leases</w:t>
            </w:r>
          </w:p>
        </w:tc>
        <w:tc>
          <w:tcPr>
            <w:tcW w:w="1900" w:type="dxa"/>
            <w:vAlign w:val="bottom"/>
            <w:gridSpan w:val="2"/>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Number of Expiring Footage of Expiring</w:t>
            </w:r>
          </w:p>
        </w:tc>
        <w:tc>
          <w:tcPr>
            <w:tcW w:w="1160" w:type="dxa"/>
            <w:vAlign w:val="bottom"/>
            <w:gridSpan w:val="2"/>
            <w:vMerge w:val="continue"/>
          </w:tcPr>
          <w:p>
            <w:pPr>
              <w:spacing w:after="0"/>
              <w:rPr>
                <w:sz w:val="9"/>
                <w:szCs w:val="9"/>
                <w:color w:val="auto"/>
              </w:rPr>
            </w:pPr>
          </w:p>
        </w:tc>
        <w:tc>
          <w:tcPr>
            <w:tcW w:w="960" w:type="dxa"/>
            <w:vAlign w:val="bottom"/>
          </w:tcPr>
          <w:p>
            <w:pPr>
              <w:jc w:val="right"/>
              <w:ind w:right="108"/>
              <w:spacing w:after="0" w:line="105" w:lineRule="exact"/>
              <w:rPr>
                <w:sz w:val="20"/>
                <w:szCs w:val="20"/>
                <w:color w:val="auto"/>
              </w:rPr>
            </w:pPr>
            <w:r>
              <w:rPr>
                <w:rFonts w:ascii="Times New Roman" w:cs="Times New Roman" w:eastAsia="Times New Roman" w:hAnsi="Times New Roman"/>
                <w:sz w:val="10"/>
                <w:szCs w:val="10"/>
                <w:b w:val="1"/>
                <w:bCs w:val="1"/>
                <w:color w:val="auto"/>
              </w:rPr>
              <w:t>Rent of Expiring</w:t>
            </w:r>
          </w:p>
        </w:tc>
        <w:tc>
          <w:tcPr>
            <w:tcW w:w="92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b w:val="1"/>
                <w:bCs w:val="1"/>
                <w:color w:val="auto"/>
              </w:rPr>
              <w:t>Leases</w:t>
            </w:r>
          </w:p>
        </w:tc>
        <w:tc>
          <w:tcPr>
            <w:tcW w:w="0" w:type="dxa"/>
            <w:vAlign w:val="bottom"/>
          </w:tcPr>
          <w:p>
            <w:pPr>
              <w:spacing w:after="0"/>
              <w:rPr>
                <w:sz w:val="1"/>
                <w:szCs w:val="1"/>
                <w:color w:val="auto"/>
              </w:rPr>
            </w:pPr>
          </w:p>
        </w:tc>
      </w:tr>
      <w:tr>
        <w:trPr>
          <w:trHeight w:val="157"/>
        </w:trPr>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 xml:space="preserve">Expiring Leases </w:t>
            </w:r>
            <w:r>
              <w:rPr>
                <w:rFonts w:ascii="Times New Roman" w:cs="Times New Roman" w:eastAsia="Times New Roman" w:hAnsi="Times New Roman"/>
                <w:sz w:val="13"/>
                <w:szCs w:val="13"/>
                <w:b w:val="1"/>
                <w:bCs w:val="1"/>
                <w:color w:val="auto"/>
                <w:vertAlign w:val="superscript"/>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Leases</w:t>
            </w:r>
          </w:p>
        </w:tc>
        <w:tc>
          <w:tcPr>
            <w:tcW w:w="1160" w:type="dxa"/>
            <w:vAlign w:val="bottom"/>
            <w:gridSpan w:val="2"/>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Sq. Ft.</w:t>
            </w:r>
          </w:p>
        </w:tc>
        <w:tc>
          <w:tcPr>
            <w:tcW w:w="940" w:type="dxa"/>
            <w:vAlign w:val="bottom"/>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Leases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 xml:space="preserve">$/psf </w:t>
            </w:r>
            <w:r>
              <w:rPr>
                <w:rFonts w:ascii="Times New Roman" w:cs="Times New Roman" w:eastAsia="Times New Roman" w:hAnsi="Times New Roman"/>
                <w:sz w:val="13"/>
                <w:szCs w:val="13"/>
                <w:b w:val="1"/>
                <w:bCs w:val="1"/>
                <w:color w:val="auto"/>
                <w:vertAlign w:val="superscript"/>
              </w:rPr>
              <w:t>(2)</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 xml:space="preserve">Leases </w:t>
            </w:r>
            <w:r>
              <w:rPr>
                <w:rFonts w:ascii="Times New Roman" w:cs="Times New Roman" w:eastAsia="Times New Roman" w:hAnsi="Times New Roman"/>
                <w:sz w:val="13"/>
                <w:szCs w:val="13"/>
                <w:b w:val="1"/>
                <w:bCs w:val="1"/>
                <w:color w:val="auto"/>
                <w:vertAlign w:val="superscript"/>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Leases</w:t>
            </w:r>
          </w:p>
        </w:tc>
        <w:tc>
          <w:tcPr>
            <w:tcW w:w="1160" w:type="dxa"/>
            <w:vAlign w:val="bottom"/>
            <w:gridSpan w:val="2"/>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Sq. Ft.</w:t>
            </w: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Leases</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xml:space="preserve">$/psf </w:t>
            </w:r>
            <w:r>
              <w:rPr>
                <w:rFonts w:ascii="Times New Roman" w:cs="Times New Roman" w:eastAsia="Times New Roman" w:hAnsi="Times New Roman"/>
                <w:sz w:val="13"/>
                <w:szCs w:val="13"/>
                <w:b w:val="1"/>
                <w:bCs w:val="1"/>
                <w:color w:val="auto"/>
                <w:vertAlign w:val="superscript"/>
              </w:rPr>
              <w:t>(2)</w:t>
            </w:r>
          </w:p>
        </w:tc>
        <w:tc>
          <w:tcPr>
            <w:tcW w:w="0" w:type="dxa"/>
            <w:vAlign w:val="bottom"/>
          </w:tcPr>
          <w:p>
            <w:pPr>
              <w:spacing w:after="0"/>
              <w:rPr>
                <w:sz w:val="1"/>
                <w:szCs w:val="1"/>
                <w:color w:val="auto"/>
              </w:rPr>
            </w:pPr>
          </w:p>
        </w:tc>
      </w:tr>
      <w:tr>
        <w:trPr>
          <w:trHeight w:val="124"/>
        </w:trPr>
        <w:tc>
          <w:tcPr>
            <w:tcW w:w="10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xml:space="preserve">2024 </w:t>
            </w:r>
            <w:r>
              <w:rPr>
                <w:rFonts w:ascii="Times New Roman" w:cs="Times New Roman" w:eastAsia="Times New Roman" w:hAnsi="Times New Roman"/>
                <w:sz w:val="13"/>
                <w:szCs w:val="13"/>
                <w:color w:val="auto"/>
                <w:vertAlign w:val="superscript"/>
              </w:rPr>
              <w:t>(3)</w:t>
            </w:r>
          </w:p>
        </w:tc>
        <w:tc>
          <w:tcPr>
            <w:tcW w:w="160" w:type="dxa"/>
            <w:vAlign w:val="bottom"/>
          </w:tcPr>
          <w:p>
            <w:pPr>
              <w:spacing w:after="0"/>
              <w:rPr>
                <w:sz w:val="13"/>
                <w:szCs w:val="13"/>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9</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126,384</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95"/>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7,390,300</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$58.47</w:t>
            </w:r>
          </w:p>
        </w:tc>
        <w:tc>
          <w:tcPr>
            <w:tcW w:w="120" w:type="dxa"/>
            <w:vAlign w:val="bottom"/>
          </w:tcPr>
          <w:p>
            <w:pPr>
              <w:spacing w:after="0"/>
              <w:rPr>
                <w:sz w:val="13"/>
                <w:szCs w:val="13"/>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1</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1,423</w:t>
            </w:r>
          </w:p>
        </w:tc>
        <w:tc>
          <w:tcPr>
            <w:tcW w:w="1160" w:type="dxa"/>
            <w:vAlign w:val="bottom"/>
            <w:gridSpan w:val="2"/>
          </w:tcPr>
          <w:p>
            <w:pPr>
              <w:jc w:val="right"/>
              <w:ind w:right="88"/>
              <w:spacing w:after="0"/>
              <w:rPr>
                <w:sz w:val="20"/>
                <w:szCs w:val="20"/>
                <w:color w:val="auto"/>
              </w:rPr>
            </w:pPr>
            <w:r>
              <w:rPr>
                <w:rFonts w:ascii="Times New Roman" w:cs="Times New Roman" w:eastAsia="Times New Roman" w:hAnsi="Times New Roman"/>
                <w:sz w:val="10"/>
                <w:szCs w:val="10"/>
                <w:color w:val="auto"/>
              </w:rPr>
              <w:t>— %</w:t>
            </w:r>
          </w:p>
        </w:tc>
        <w:tc>
          <w:tcPr>
            <w:tcW w:w="9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$24,000</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$16.87</w:t>
            </w:r>
          </w:p>
        </w:tc>
        <w:tc>
          <w:tcPr>
            <w:tcW w:w="0" w:type="dxa"/>
            <w:vAlign w:val="bottom"/>
          </w:tcPr>
          <w:p>
            <w:pPr>
              <w:spacing w:after="0"/>
              <w:rPr>
                <w:sz w:val="1"/>
                <w:szCs w:val="1"/>
                <w:color w:val="auto"/>
              </w:rPr>
            </w:pPr>
          </w:p>
        </w:tc>
      </w:tr>
      <w:tr>
        <w:trPr>
          <w:trHeight w:val="157"/>
        </w:trPr>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1st Quarter 2025</w:t>
            </w: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13</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235,307</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2.80</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95"/>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14,979,840</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$63.66</w:t>
            </w:r>
          </w:p>
        </w:tc>
        <w:tc>
          <w:tcPr>
            <w:tcW w:w="120" w:type="dxa"/>
            <w:vAlign w:val="bottom"/>
          </w:tcPr>
          <w:p>
            <w:pPr>
              <w:spacing w:after="0"/>
              <w:rPr>
                <w:sz w:val="12"/>
                <w:szCs w:val="12"/>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6</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33,399</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0.30</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$2,762,921</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$82.72</w:t>
            </w:r>
          </w:p>
        </w:tc>
        <w:tc>
          <w:tcPr>
            <w:tcW w:w="0" w:type="dxa"/>
            <w:vAlign w:val="bottom"/>
          </w:tcPr>
          <w:p>
            <w:pPr>
              <w:spacing w:after="0"/>
              <w:rPr>
                <w:sz w:val="1"/>
                <w:szCs w:val="1"/>
                <w:color w:val="auto"/>
              </w:rPr>
            </w:pPr>
          </w:p>
        </w:tc>
      </w:tr>
      <w:tr>
        <w:trPr>
          <w:trHeight w:val="167"/>
        </w:trPr>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2nd Quarter 2025</w:t>
            </w: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16</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99,894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95"/>
              </w:rPr>
              <w:t>%</w:t>
            </w: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8,184,444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81.93</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3</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196,196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20,404,766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104.00</w:t>
            </w:r>
          </w:p>
        </w:tc>
        <w:tc>
          <w:tcPr>
            <w:tcW w:w="0" w:type="dxa"/>
            <w:vAlign w:val="bottom"/>
          </w:tcPr>
          <w:p>
            <w:pPr>
              <w:spacing w:after="0"/>
              <w:rPr>
                <w:sz w:val="1"/>
                <w:szCs w:val="1"/>
                <w:color w:val="auto"/>
              </w:rPr>
            </w:pPr>
          </w:p>
        </w:tc>
      </w:tr>
      <w:tr>
        <w:trPr>
          <w:trHeight w:val="147"/>
        </w:trPr>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3rd Quarter 2025</w:t>
            </w: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19</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60,714</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0.70</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95"/>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4,544,320</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74.85</w:t>
            </w:r>
          </w:p>
        </w:tc>
        <w:tc>
          <w:tcPr>
            <w:tcW w:w="120" w:type="dxa"/>
            <w:vAlign w:val="bottom"/>
          </w:tcPr>
          <w:p>
            <w:pPr>
              <w:spacing w:after="0"/>
              <w:rPr>
                <w:sz w:val="12"/>
                <w:szCs w:val="12"/>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1</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4,576</w:t>
            </w:r>
          </w:p>
        </w:tc>
        <w:tc>
          <w:tcPr>
            <w:tcW w:w="1160" w:type="dxa"/>
            <w:vAlign w:val="bottom"/>
            <w:gridSpan w:val="2"/>
          </w:tcPr>
          <w:p>
            <w:pPr>
              <w:jc w:val="right"/>
              <w:ind w:right="88"/>
              <w:spacing w:after="0"/>
              <w:rPr>
                <w:sz w:val="20"/>
                <w:szCs w:val="20"/>
                <w:color w:val="auto"/>
              </w:rPr>
            </w:pPr>
            <w:r>
              <w:rPr>
                <w:rFonts w:ascii="Times New Roman" w:cs="Times New Roman" w:eastAsia="Times New Roman" w:hAnsi="Times New Roman"/>
                <w:sz w:val="10"/>
                <w:szCs w:val="10"/>
                <w:color w:val="auto"/>
              </w:rPr>
              <w:t>— %</w:t>
            </w:r>
          </w:p>
        </w:tc>
        <w:tc>
          <w:tcPr>
            <w:tcW w:w="9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302,623</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66.13</w:t>
            </w:r>
          </w:p>
        </w:tc>
        <w:tc>
          <w:tcPr>
            <w:tcW w:w="0" w:type="dxa"/>
            <w:vAlign w:val="bottom"/>
          </w:tcPr>
          <w:p>
            <w:pPr>
              <w:spacing w:after="0"/>
              <w:rPr>
                <w:sz w:val="1"/>
                <w:szCs w:val="1"/>
                <w:color w:val="auto"/>
              </w:rPr>
            </w:pPr>
          </w:p>
        </w:tc>
      </w:tr>
      <w:tr>
        <w:trPr>
          <w:trHeight w:val="160"/>
        </w:trPr>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4th Quarter 2025</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34</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359,429</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4.20</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95"/>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33,001,617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91.82</w:t>
            </w:r>
          </w:p>
        </w:tc>
        <w:tc>
          <w:tcPr>
            <w:tcW w:w="12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7</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78,808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0.70</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6,982,782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88.60</w:t>
            </w:r>
          </w:p>
        </w:tc>
        <w:tc>
          <w:tcPr>
            <w:tcW w:w="0" w:type="dxa"/>
            <w:vAlign w:val="bottom"/>
          </w:tcPr>
          <w:p>
            <w:pPr>
              <w:spacing w:after="0"/>
              <w:rPr>
                <w:sz w:val="1"/>
                <w:szCs w:val="1"/>
                <w:color w:val="auto"/>
              </w:rPr>
            </w:pPr>
          </w:p>
        </w:tc>
      </w:tr>
      <w:tr>
        <w:trPr>
          <w:trHeight w:val="144"/>
        </w:trPr>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Total 2025</w:t>
            </w: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82</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755,344</w:t>
            </w:r>
          </w:p>
        </w:tc>
        <w:tc>
          <w:tcPr>
            <w:tcW w:w="11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8.90 %</w:t>
            </w: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$60,710,221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$80.37</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17</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312,979</w:t>
            </w:r>
          </w:p>
        </w:tc>
        <w:tc>
          <w:tcPr>
            <w:tcW w:w="11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2.80 %</w:t>
            </w:r>
          </w:p>
        </w:tc>
        <w:tc>
          <w:tcPr>
            <w:tcW w:w="9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rPr>
              <w:t>$30,453,092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$97.30</w:t>
            </w:r>
          </w:p>
        </w:tc>
        <w:tc>
          <w:tcPr>
            <w:tcW w:w="0" w:type="dxa"/>
            <w:vAlign w:val="bottom"/>
          </w:tcPr>
          <w:p>
            <w:pPr>
              <w:spacing w:after="0"/>
              <w:rPr>
                <w:sz w:val="1"/>
                <w:szCs w:val="1"/>
                <w:color w:val="auto"/>
              </w:rPr>
            </w:pPr>
          </w:p>
        </w:tc>
      </w:tr>
      <w:tr>
        <w:trPr>
          <w:trHeight w:val="157"/>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2026</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78</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847,874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95"/>
              </w:rPr>
              <w:t>%</w:t>
            </w:r>
          </w:p>
        </w:tc>
        <w:tc>
          <w:tcPr>
            <w:tcW w:w="9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$58,604,929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$69.12</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21</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350,768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$47,036,241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$134.10</w:t>
            </w:r>
          </w:p>
        </w:tc>
        <w:tc>
          <w:tcPr>
            <w:tcW w:w="0" w:type="dxa"/>
            <w:vAlign w:val="bottom"/>
          </w:tcPr>
          <w:p>
            <w:pPr>
              <w:spacing w:after="0"/>
              <w:rPr>
                <w:sz w:val="1"/>
                <w:szCs w:val="1"/>
                <w:color w:val="auto"/>
              </w:rPr>
            </w:pPr>
          </w:p>
        </w:tc>
      </w:tr>
      <w:tr>
        <w:trPr>
          <w:trHeight w:val="147"/>
        </w:trPr>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2027</w:t>
            </w:r>
          </w:p>
        </w:tc>
        <w:tc>
          <w:tcPr>
            <w:tcW w:w="160" w:type="dxa"/>
            <w:vAlign w:val="bottom"/>
          </w:tcPr>
          <w:p>
            <w:pPr>
              <w:spacing w:after="0"/>
              <w:rPr>
                <w:sz w:val="12"/>
                <w:szCs w:val="12"/>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80</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808,055</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9.50</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95"/>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65,504,055</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81.06</w:t>
            </w:r>
          </w:p>
        </w:tc>
        <w:tc>
          <w:tcPr>
            <w:tcW w:w="120" w:type="dxa"/>
            <w:vAlign w:val="bottom"/>
          </w:tcPr>
          <w:p>
            <w:pPr>
              <w:spacing w:after="0"/>
              <w:rPr>
                <w:sz w:val="12"/>
                <w:szCs w:val="12"/>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17</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222,604</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2.00</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31,852,679</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143.09</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2028</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64</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675,774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95"/>
              </w:rPr>
              <w:t>%</w:t>
            </w: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49,898,756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73.84</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21</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250,810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2.20</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30,428,097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121.32</w:t>
            </w:r>
          </w:p>
        </w:tc>
        <w:tc>
          <w:tcPr>
            <w:tcW w:w="0" w:type="dxa"/>
            <w:vAlign w:val="bottom"/>
          </w:tcPr>
          <w:p>
            <w:pPr>
              <w:spacing w:after="0"/>
              <w:rPr>
                <w:sz w:val="1"/>
                <w:szCs w:val="1"/>
                <w:color w:val="auto"/>
              </w:rPr>
            </w:pPr>
          </w:p>
        </w:tc>
      </w:tr>
      <w:tr>
        <w:trPr>
          <w:trHeight w:val="147"/>
        </w:trPr>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2029</w:t>
            </w:r>
          </w:p>
        </w:tc>
        <w:tc>
          <w:tcPr>
            <w:tcW w:w="160" w:type="dxa"/>
            <w:vAlign w:val="bottom"/>
          </w:tcPr>
          <w:p>
            <w:pPr>
              <w:spacing w:after="0"/>
              <w:rPr>
                <w:sz w:val="12"/>
                <w:szCs w:val="12"/>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57</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705,732</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8.30</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95"/>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48,572,940</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68.83</w:t>
            </w:r>
          </w:p>
        </w:tc>
        <w:tc>
          <w:tcPr>
            <w:tcW w:w="120" w:type="dxa"/>
            <w:vAlign w:val="bottom"/>
          </w:tcPr>
          <w:p>
            <w:pPr>
              <w:spacing w:after="0"/>
              <w:rPr>
                <w:sz w:val="12"/>
                <w:szCs w:val="12"/>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18</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147,621</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15,378,083</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104.17</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2030</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45</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848,373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95"/>
              </w:rPr>
              <w:t>%</w:t>
            </w: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59,570,712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70.22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15</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329,755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38,410,279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116.48</w:t>
            </w:r>
          </w:p>
        </w:tc>
        <w:tc>
          <w:tcPr>
            <w:tcW w:w="0" w:type="dxa"/>
            <w:vAlign w:val="bottom"/>
          </w:tcPr>
          <w:p>
            <w:pPr>
              <w:spacing w:after="0"/>
              <w:rPr>
                <w:sz w:val="1"/>
                <w:szCs w:val="1"/>
                <w:color w:val="auto"/>
              </w:rPr>
            </w:pPr>
          </w:p>
        </w:tc>
      </w:tr>
      <w:tr>
        <w:trPr>
          <w:trHeight w:val="147"/>
        </w:trPr>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2031</w:t>
            </w:r>
          </w:p>
        </w:tc>
        <w:tc>
          <w:tcPr>
            <w:tcW w:w="160" w:type="dxa"/>
            <w:vAlign w:val="bottom"/>
          </w:tcPr>
          <w:p>
            <w:pPr>
              <w:spacing w:after="0"/>
              <w:rPr>
                <w:sz w:val="12"/>
                <w:szCs w:val="12"/>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26</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423,086</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95"/>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31,467,856</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74.38</w:t>
            </w:r>
          </w:p>
        </w:tc>
        <w:tc>
          <w:tcPr>
            <w:tcW w:w="120" w:type="dxa"/>
            <w:vAlign w:val="bottom"/>
          </w:tcPr>
          <w:p>
            <w:pPr>
              <w:spacing w:after="0"/>
              <w:rPr>
                <w:sz w:val="12"/>
                <w:szCs w:val="12"/>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15</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2,688,738</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23.80</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205,643,360</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76.48</w:t>
            </w: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2032</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20</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731,991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8.60</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95"/>
              </w:rPr>
              <w:t>%</w:t>
            </w:r>
          </w:p>
        </w:tc>
        <w:tc>
          <w:tcPr>
            <w:tcW w:w="9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45,177,103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61.72</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14</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992,725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8.80</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89,598,105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90.25</w:t>
            </w:r>
          </w:p>
        </w:tc>
        <w:tc>
          <w:tcPr>
            <w:tcW w:w="0" w:type="dxa"/>
            <w:vAlign w:val="bottom"/>
          </w:tcPr>
          <w:p>
            <w:pPr>
              <w:spacing w:after="0"/>
              <w:rPr>
                <w:sz w:val="1"/>
                <w:szCs w:val="1"/>
                <w:color w:val="auto"/>
              </w:rPr>
            </w:pPr>
          </w:p>
        </w:tc>
      </w:tr>
      <w:tr>
        <w:trPr>
          <w:trHeight w:val="147"/>
        </w:trPr>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2033</w:t>
            </w:r>
          </w:p>
        </w:tc>
        <w:tc>
          <w:tcPr>
            <w:tcW w:w="160" w:type="dxa"/>
            <w:vAlign w:val="bottom"/>
          </w:tcPr>
          <w:p>
            <w:pPr>
              <w:spacing w:after="0"/>
              <w:rPr>
                <w:sz w:val="12"/>
                <w:szCs w:val="12"/>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20</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348,403</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4.10</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0"/>
                <w:szCs w:val="10"/>
                <w:color w:val="auto"/>
                <w:w w:val="95"/>
              </w:rPr>
              <w:t>%</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auto"/>
              </w:rPr>
              <w:t>27,643,595</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79.34</w:t>
            </w:r>
          </w:p>
        </w:tc>
        <w:tc>
          <w:tcPr>
            <w:tcW w:w="120" w:type="dxa"/>
            <w:vAlign w:val="bottom"/>
          </w:tcPr>
          <w:p>
            <w:pPr>
              <w:spacing w:after="0"/>
              <w:rPr>
                <w:sz w:val="12"/>
                <w:szCs w:val="12"/>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11</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0"/>
                <w:szCs w:val="10"/>
                <w:color w:val="auto"/>
              </w:rPr>
              <w:t>250,685</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auto"/>
              </w:rPr>
              <w:t>28,051,255</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111.90</w:t>
            </w:r>
          </w:p>
        </w:tc>
        <w:tc>
          <w:tcPr>
            <w:tcW w:w="0" w:type="dxa"/>
            <w:vAlign w:val="bottom"/>
          </w:tcPr>
          <w:p>
            <w:pPr>
              <w:spacing w:after="0"/>
              <w:rPr>
                <w:sz w:val="1"/>
                <w:szCs w:val="1"/>
                <w:color w:val="auto"/>
              </w:rPr>
            </w:pPr>
          </w:p>
        </w:tc>
      </w:tr>
      <w:tr>
        <w:trPr>
          <w:trHeight w:val="160"/>
        </w:trPr>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Thereafter</w:t>
            </w: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76</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2,225,853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26.10</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95"/>
              </w:rPr>
              <w:t>%</w:t>
            </w:r>
          </w:p>
        </w:tc>
        <w:tc>
          <w:tcPr>
            <w:tcW w:w="9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139,472,015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62.66</w:t>
            </w:r>
          </w:p>
        </w:tc>
        <w:tc>
          <w:tcPr>
            <w:tcW w:w="120" w:type="dxa"/>
            <w:vAlign w:val="bottom"/>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65</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5,740,480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50.90</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583,552,330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101.66</w:t>
            </w:r>
          </w:p>
        </w:tc>
        <w:tc>
          <w:tcPr>
            <w:tcW w:w="0" w:type="dxa"/>
            <w:vAlign w:val="bottom"/>
          </w:tcPr>
          <w:p>
            <w:pPr>
              <w:spacing w:after="0"/>
              <w:rPr>
                <w:sz w:val="1"/>
                <w:szCs w:val="1"/>
                <w:color w:val="auto"/>
              </w:rPr>
            </w:pPr>
          </w:p>
        </w:tc>
      </w:tr>
      <w:tr>
        <w:trPr>
          <w:trHeight w:val="150"/>
        </w:trPr>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557</w:t>
            </w: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8,496,869</w:t>
            </w:r>
          </w:p>
        </w:tc>
        <w:tc>
          <w:tcPr>
            <w:tcW w:w="116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100.00 %</w:t>
            </w: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$594,012,482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$69.91</w:t>
            </w:r>
          </w:p>
        </w:tc>
        <w:tc>
          <w:tcPr>
            <w:tcW w:w="120" w:type="dxa"/>
            <w:vAlign w:val="bottom"/>
          </w:tcPr>
          <w:p>
            <w:pPr>
              <w:spacing w:after="0"/>
              <w:rPr>
                <w:sz w:val="13"/>
                <w:szCs w:val="13"/>
                <w:color w:val="auto"/>
              </w:rPr>
            </w:pPr>
          </w:p>
        </w:tc>
        <w:tc>
          <w:tcPr>
            <w:tcW w:w="10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215</w:t>
            </w:r>
          </w:p>
        </w:tc>
        <w:tc>
          <w:tcPr>
            <w:tcW w:w="8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11,288,588</w:t>
            </w:r>
          </w:p>
        </w:tc>
        <w:tc>
          <w:tcPr>
            <w:tcW w:w="116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100.00 %</w:t>
            </w:r>
          </w:p>
        </w:tc>
        <w:tc>
          <w:tcPr>
            <w:tcW w:w="9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rPr>
              <w:t>$1,100,427,521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$97.48</w:t>
            </w:r>
          </w:p>
        </w:tc>
        <w:tc>
          <w:tcPr>
            <w:tcW w:w="0" w:type="dxa"/>
            <w:vAlign w:val="bottom"/>
          </w:tcPr>
          <w:p>
            <w:pPr>
              <w:spacing w:after="0"/>
              <w:rPr>
                <w:sz w:val="1"/>
                <w:szCs w:val="1"/>
                <w:color w:val="auto"/>
              </w:rPr>
            </w:pPr>
          </w:p>
        </w:tc>
      </w:tr>
      <w:tr>
        <w:trPr>
          <w:trHeight w:val="26"/>
        </w:trPr>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Data excludes space currently occupied by SL Green's corporate offices</w:t>
      </w:r>
    </w:p>
    <w:p>
      <w:pPr>
        <w:spacing w:after="0" w:line="22" w:lineRule="exact"/>
        <w:rPr>
          <w:sz w:val="20"/>
          <w:szCs w:val="20"/>
          <w:color w:val="auto"/>
        </w:rPr>
      </w:pPr>
    </w:p>
    <w:p>
      <w:pPr>
        <w:ind w:left="400" w:hanging="395"/>
        <w:spacing w:after="0"/>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Tenants may have multiple leases.</w:t>
      </w:r>
    </w:p>
    <w:p>
      <w:pPr>
        <w:ind w:left="400" w:hanging="395"/>
        <w:spacing w:after="0"/>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 place annualized rent allocated by year of expiration.</w:t>
      </w:r>
    </w:p>
    <w:p>
      <w:pPr>
        <w:spacing w:after="0" w:line="5"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month to month holdover tenants that expired prior to December 31, 2024.</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Segments</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The Company is a REIT that is engaged in the ownership, management, operation, acquisition, development, redevelopment, repositioning and financing of commercial properties, principally office properties, located in the New York metropolitan area, principally Manhattan, and has three reportable segments: real estate, debt and preferred equity investments, and SUMMIT. Our industry segments are discussed in Note 21, "Segment Information," in the accompanying consolidated financial statements.</w:t>
      </w:r>
    </w:p>
    <w:p>
      <w:pPr>
        <w:spacing w:after="0" w:line="64"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As of December 31, 2024, our real estate portfolio was principally located in one geographical market, Manhattan, a borough of New York City. The Company's primary sources of real estate revenue are tenant rents, escalations and reimbursement revenue. Real estate property operating expenses consist primarily of cleaning, security, maintenance, utility costs, real estate taxes and, at certain properties, ground rent expense. As of December 31, 2024, one tenant in our office portfolio, Paramount Global, contributed 5.5% of our share of annualized cash rent. No other tenant contributed more than 5.0% of our share of annualized cash rent. No property contributed in excess of 10.0% of our consolidated total revenue for 2024.</w:t>
      </w:r>
    </w:p>
    <w:p>
      <w:pPr>
        <w:spacing w:after="0" w:line="67"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As of December 31, 2024, we held debt and preferred equity investments with a book value of $303.7 million, excluding debt and preferred equity investments and other financing receivables totaling $9.7 million that are included in balance sheet line items other than the Debt and preferred equity investments line item. As of December 31, 2024, all of the assets underlying our debt and preferred equity investments were located in New York City. The primary sources of debt and preferred equity revenue are interest and fee income.</w:t>
      </w:r>
    </w:p>
    <w:p>
      <w:pPr>
        <w:spacing w:after="0" w:line="64"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As of December 31, 2024, SUMMIT operates one location at One Vanderbilt Avenue in midtown Manhattan with the primary source of revenue generated from ticket sales.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121"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Our employees are our most important asset. We are focused on fostering an inclusive workforce that attracts and retains highly talented and diverse individuals. We are dedicated to creating a diverse workplace where employees feel valued and accepted regardless of race, color, religion, national origin, gender, sexual orientation, age, disability, or veteran status. We have a dual-track performance management program, which includes both ongoing goal setting and annual performance reviews for all employees. Communication, teamwork, and collaboration are the fundamental attributes that are the foundation of our company culture. We promote the professional development of our employees by offering opportunities to participate in trainings and continuing education programs. We also offer a leading benefits package that includes extensive medical coverage, mental health and wellness services, paternal benefits, and financial resources. We earned our first certification as a Great Place to Work in 2019 and in 2024, 80% of our employees have said the Company is a great place to work as compared to 57% at a typical U.S. based company.</w:t>
      </w:r>
    </w:p>
    <w:p>
      <w:pPr>
        <w:spacing w:after="0" w:line="70"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Our compensation program is designed to incentivize employees by offering competitive compensation comprised of fixed and variable pay including base salaries and cash bonuses. Many of our employees also receive equity awards that are subject to vesting over a multi-year period based on continued service. We believe these equity awards serve as an additional retention tool for our employees and align our employees with our shareholders. By cultivating a work culture that prioritizes our people through training, diversity, education, and volunteerism, we have been able to retain a long-tenured staff with 46% of current employees having a tenure of five years or more and an executive management team that has an average tenure of 21.9 years.</w:t>
      </w:r>
    </w:p>
    <w:p>
      <w:pPr>
        <w:spacing w:after="0" w:line="67"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As of December 31, 2024, we employed 1,221 employees, 313 of whom were employed in our corporate offices. There are currently five collective bargaining agreements which cover the union workforce that services substantially all of our properties.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Sustainability</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believe our sustained focus on Environmental, Social and Governance ("ESG") issues has led to effective risk-management practices that influence strategic decisions. This includes a comprehensive assessment of climate-related physical and transition risks, as well as the opportunities they present. The Board of Directors' Nominating and Corporate Governance Committee (NCGC) oversees the Company's ESG program, which includes assessing climate-related issues such as physical risks, transition risks, and associated opportunities.</w:t>
      </w:r>
    </w:p>
    <w:p>
      <w:pPr>
        <w:spacing w:after="0" w:line="64"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Climate regulation in New York City is among the most stringent and requires building owners to comply with ambitious emissions limits. New York City enacted Local Law 97 (LL97) in 2019 under the Climate Mobilization Act, setting carbon caps for large buildings starting in 2024 as part of a broader commitment to reducing greenhouse gas emissions by 40% by 2030, and by 80% by 2050. We expect to be compliant in the first compliance period through 2029, with no material financial impact on our portfolio.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The Company has demonstrated a commitment to transparency on climate issues via annual public reporting informed by widely adopted frameworks, including Global Reporting Initiative ("GRI") since 2013, GRESB (formerly known as the Global Real Estate Sustainability Benchmark) since 2019, Sustainability Accounting Standards Board ("SASB") since 2021, and the CDP (formerly the Carbon Disclosure Project) since 2018. In 2023, the Company released its second Task Force on Climate related Financial Disclosures ("TCFD") report, which expanded the physical and transition risks and opportunities and progress related to TCFD disclosure originally released in 2021. This report, along with the Company's current ESG Report, is available under "Reports &amp; Resources" in the "Sustainability" section on our website. The Company has approved near-term Scope 1 and Scope 2 science-based emissions reduction targets with the SBTi. Our goal is to reduce emissions for our operationally controlled portfolio to align it with the 1.5 degree Celsius climate scenario.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Highlights from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significant achievements from 2024 included: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Leasing</w:t>
      </w:r>
    </w:p>
    <w:p>
      <w:pPr>
        <w:spacing w:after="0" w:line="121" w:lineRule="exact"/>
        <w:rPr>
          <w:sz w:val="20"/>
          <w:szCs w:val="20"/>
          <w:color w:val="auto"/>
        </w:rPr>
      </w:pPr>
    </w:p>
    <w:p>
      <w:pPr>
        <w:ind w:left="780" w:hanging="303"/>
        <w:spacing w:after="0"/>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Signed 188 Manhattan office leases covering 3,607,924 square feet.</w:t>
      </w:r>
    </w:p>
    <w:p>
      <w:pPr>
        <w:spacing w:after="0" w:line="119" w:lineRule="exact"/>
        <w:rPr>
          <w:rFonts w:ascii="Times New Roman" w:cs="Times New Roman" w:eastAsia="Times New Roman" w:hAnsi="Times New Roman"/>
          <w:sz w:val="17"/>
          <w:szCs w:val="17"/>
          <w:color w:val="auto"/>
        </w:rPr>
      </w:pPr>
    </w:p>
    <w:p>
      <w:pPr>
        <w:ind w:left="780" w:hanging="303"/>
        <w:spacing w:after="0"/>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same-store Manhattan office occupancy to 92.5%.</w:t>
      </w:r>
    </w:p>
    <w:p>
      <w:pPr>
        <w:spacing w:after="0" w:line="119" w:lineRule="exact"/>
        <w:rPr>
          <w:rFonts w:ascii="Times New Roman" w:cs="Times New Roman" w:eastAsia="Times New Roman" w:hAnsi="Times New Roman"/>
          <w:sz w:val="17"/>
          <w:szCs w:val="17"/>
          <w:color w:val="auto"/>
        </w:rPr>
      </w:pPr>
    </w:p>
    <w:p>
      <w:pPr>
        <w:ind w:left="780" w:hanging="303"/>
        <w:spacing w:after="0"/>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renewal and expansion with Bloomberg, L.P. for 924,876 square feet at 919 Third Avenue.</w:t>
      </w:r>
    </w:p>
    <w:p>
      <w:pPr>
        <w:spacing w:after="0" w:line="119" w:lineRule="exact"/>
        <w:rPr>
          <w:rFonts w:ascii="Times New Roman" w:cs="Times New Roman" w:eastAsia="Times New Roman" w:hAnsi="Times New Roman"/>
          <w:sz w:val="17"/>
          <w:szCs w:val="17"/>
          <w:color w:val="auto"/>
        </w:rPr>
      </w:pPr>
    </w:p>
    <w:p>
      <w:pPr>
        <w:ind w:left="780" w:hanging="303"/>
        <w:spacing w:after="0"/>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renewal and expansion with Ares Management LLC for 307,336 square feet at 245 Park Avenue.</w:t>
      </w:r>
    </w:p>
    <w:p>
      <w:pPr>
        <w:spacing w:after="0" w:line="119" w:lineRule="exact"/>
        <w:rPr>
          <w:rFonts w:ascii="Times New Roman" w:cs="Times New Roman" w:eastAsia="Times New Roman" w:hAnsi="Times New Roman"/>
          <w:sz w:val="17"/>
          <w:szCs w:val="17"/>
          <w:color w:val="auto"/>
        </w:rPr>
      </w:pPr>
    </w:p>
    <w:p>
      <w:pPr>
        <w:ind w:left="780" w:hanging="303"/>
        <w:spacing w:after="0"/>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lease with Alvarez &amp; Marsal Holdings, LLC for 220,221 square feet at 100 Park Avenue.</w:t>
      </w:r>
    </w:p>
    <w:p>
      <w:pPr>
        <w:spacing w:after="0" w:line="119" w:lineRule="exact"/>
        <w:rPr>
          <w:rFonts w:ascii="Times New Roman" w:cs="Times New Roman" w:eastAsia="Times New Roman" w:hAnsi="Times New Roman"/>
          <w:sz w:val="17"/>
          <w:szCs w:val="17"/>
          <w:color w:val="auto"/>
        </w:rPr>
      </w:pPr>
    </w:p>
    <w:p>
      <w:pPr>
        <w:ind w:left="780" w:hanging="303"/>
        <w:spacing w:after="0"/>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lease with Elliot Management Corporation for 149,437 square feet at 280 Park Avenue.</w:t>
      </w:r>
    </w:p>
    <w:p>
      <w:pPr>
        <w:spacing w:after="0" w:line="119" w:lineRule="exact"/>
        <w:rPr>
          <w:rFonts w:ascii="Times New Roman" w:cs="Times New Roman" w:eastAsia="Times New Roman" w:hAnsi="Times New Roman"/>
          <w:sz w:val="17"/>
          <w:szCs w:val="17"/>
          <w:color w:val="auto"/>
        </w:rPr>
      </w:pPr>
    </w:p>
    <w:p>
      <w:pPr>
        <w:ind w:left="800" w:hanging="323"/>
        <w:spacing w:after="0" w:line="297" w:lineRule="auto"/>
        <w:tabs>
          <w:tab w:leader="none" w:pos="79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renewal and expansion with Industrial and Commercial Bank of China Limited, New York Branch for 132,938 square feet at 1185 Avenue of the Americas.</w:t>
      </w:r>
    </w:p>
    <w:p>
      <w:pPr>
        <w:spacing w:after="0" w:line="40" w:lineRule="exact"/>
        <w:rPr>
          <w:rFonts w:ascii="Times New Roman" w:cs="Times New Roman" w:eastAsia="Times New Roman" w:hAnsi="Times New Roman"/>
          <w:sz w:val="17"/>
          <w:szCs w:val="17"/>
          <w:color w:val="auto"/>
        </w:rPr>
      </w:pPr>
    </w:p>
    <w:p>
      <w:pPr>
        <w:ind w:left="780" w:hanging="303"/>
        <w:spacing w:after="0"/>
        <w:tabs>
          <w:tab w:leader="none" w:pos="7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Early renewal and expansion with The Travelers Indemnity Company for 122,788 square feet at 485 Lexington Avenue.</w:t>
      </w:r>
    </w:p>
    <w:p>
      <w:pPr>
        <w:spacing w:after="0" w:line="119" w:lineRule="exact"/>
        <w:rPr>
          <w:rFonts w:ascii="Times New Roman" w:cs="Times New Roman" w:eastAsia="Times New Roman" w:hAnsi="Times New Roman"/>
          <w:sz w:val="17"/>
          <w:szCs w:val="17"/>
          <w:color w:val="auto"/>
        </w:rPr>
      </w:pPr>
    </w:p>
    <w:p>
      <w:pPr>
        <w:ind w:left="800" w:hanging="323"/>
        <w:spacing w:after="0" w:line="297" w:lineRule="auto"/>
        <w:tabs>
          <w:tab w:leader="none" w:pos="79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leases of 67,208 square feet and 35,898 square feet with a publicly traded financial services firm and a subsidiary of Flutter Entertainment, respectively, at One Madison Avenue.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Acquisitions</w:t>
      </w:r>
    </w:p>
    <w:p>
      <w:pPr>
        <w:spacing w:after="0" w:line="121" w:lineRule="exact"/>
        <w:rPr>
          <w:sz w:val="20"/>
          <w:szCs w:val="20"/>
          <w:color w:val="auto"/>
        </w:rPr>
      </w:pPr>
    </w:p>
    <w:p>
      <w:pPr>
        <w:ind w:left="800" w:hanging="323"/>
        <w:spacing w:after="0" w:line="297" w:lineRule="auto"/>
        <w:tabs>
          <w:tab w:leader="none" w:pos="7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Closed on the acquisition of our partner's 45.0% interest in 10 East 53rd Street for cash consideration of $7.2 million, net of all outstanding debt obligations.</w:t>
      </w:r>
    </w:p>
    <w:p>
      <w:pPr>
        <w:spacing w:after="0" w:line="40" w:lineRule="exact"/>
        <w:rPr>
          <w:rFonts w:ascii="Times New Roman" w:cs="Times New Roman" w:eastAsia="Times New Roman" w:hAnsi="Times New Roman"/>
          <w:sz w:val="17"/>
          <w:szCs w:val="17"/>
          <w:color w:val="auto"/>
        </w:rPr>
      </w:pPr>
    </w:p>
    <w:p>
      <w:pPr>
        <w:ind w:left="800" w:hanging="323"/>
        <w:spacing w:after="0" w:line="297" w:lineRule="auto"/>
        <w:tabs>
          <w:tab w:leader="none" w:pos="7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 equity interests in the joint venture that owns the leasehold at 2 Herald Square for no consideration, increasing the Company's interest in the joint venture to 95%.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Dispositions</w:t>
      </w:r>
    </w:p>
    <w:p>
      <w:pPr>
        <w:spacing w:after="0" w:line="121" w:lineRule="exact"/>
        <w:rPr>
          <w:sz w:val="20"/>
          <w:szCs w:val="20"/>
          <w:color w:val="auto"/>
        </w:rPr>
      </w:pPr>
    </w:p>
    <w:p>
      <w:pPr>
        <w:ind w:left="800" w:hanging="323"/>
        <w:spacing w:after="0" w:line="297" w:lineRule="auto"/>
        <w:tabs>
          <w:tab w:leader="none" w:pos="7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Closed on the sale of an 11.0% interest in One Vanderbilt Avenue for a gross asset valuation of $4.7 billion. The transaction generated net proceeds to the Company of $189.5 million.</w:t>
      </w:r>
    </w:p>
    <w:p>
      <w:pPr>
        <w:spacing w:after="0" w:line="40" w:lineRule="exact"/>
        <w:rPr>
          <w:rFonts w:ascii="Times New Roman" w:cs="Times New Roman" w:eastAsia="Times New Roman" w:hAnsi="Times New Roman"/>
          <w:sz w:val="17"/>
          <w:szCs w:val="17"/>
          <w:color w:val="auto"/>
        </w:rPr>
      </w:pPr>
    </w:p>
    <w:p>
      <w:pPr>
        <w:ind w:left="800" w:hanging="323"/>
        <w:spacing w:after="0" w:line="297" w:lineRule="auto"/>
        <w:tabs>
          <w:tab w:leader="none" w:pos="7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Closed on the sale of three of the Giorgio Armani Residences at 760 Madison Avenue. The transactions generated net proceeds to the Company of $61.5 million. Sales of the remaining units, which are all under contract, are expected to close in the first quarter of 2025.</w:t>
      </w:r>
    </w:p>
    <w:p>
      <w:pPr>
        <w:spacing w:after="0" w:line="40" w:lineRule="exact"/>
        <w:rPr>
          <w:rFonts w:ascii="Times New Roman" w:cs="Times New Roman" w:eastAsia="Times New Roman" w:hAnsi="Times New Roman"/>
          <w:sz w:val="17"/>
          <w:szCs w:val="17"/>
          <w:color w:val="auto"/>
        </w:rPr>
      </w:pPr>
    </w:p>
    <w:p>
      <w:pPr>
        <w:jc w:val="both"/>
        <w:ind w:left="800" w:hanging="323"/>
        <w:spacing w:after="0" w:line="289" w:lineRule="auto"/>
        <w:tabs>
          <w:tab w:leader="none" w:pos="7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Closed on the sale of the Palisades Premier Conference Center for $26.3 million plus certain fees payable to the Company. The Company took control of the property in July 2023 in partial satisfaction of a legal judgment. The transaction generated net proceeds to the Company of $19.8 million.</w:t>
      </w:r>
    </w:p>
    <w:p>
      <w:pPr>
        <w:spacing w:after="0" w:line="263" w:lineRule="exact"/>
        <w:rPr>
          <w:rFonts w:ascii="Times New Roman" w:cs="Times New Roman" w:eastAsia="Times New Roman" w:hAnsi="Times New Roman"/>
          <w:sz w:val="17"/>
          <w:szCs w:val="17"/>
          <w:color w:val="auto"/>
        </w:rPr>
      </w:pPr>
    </w:p>
    <w:p>
      <w:pPr>
        <w:jc w:val="both"/>
        <w:ind w:left="800" w:hanging="323"/>
        <w:spacing w:after="0" w:line="277" w:lineRule="auto"/>
        <w:tabs>
          <w:tab w:leader="none" w:pos="7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Closed on the sale of 719 Seventh Avenue in Times Square for $30.5 million plus certain fees payable to the Company. The transaction generated net proceeds to the Company of $3.6 million after repayment of the mortgage loan. In connection with the closing of the sale, the Company repaid the existing $50.0 million mortgage for $32.0 million.</w:t>
      </w:r>
    </w:p>
    <w:p>
      <w:pPr>
        <w:spacing w:after="0" w:line="57" w:lineRule="exact"/>
        <w:rPr>
          <w:rFonts w:ascii="Times New Roman" w:cs="Times New Roman" w:eastAsia="Times New Roman" w:hAnsi="Times New Roman"/>
          <w:sz w:val="17"/>
          <w:szCs w:val="17"/>
          <w:color w:val="auto"/>
        </w:rPr>
      </w:pPr>
    </w:p>
    <w:p>
      <w:pPr>
        <w:jc w:val="both"/>
        <w:ind w:left="800" w:hanging="323"/>
        <w:spacing w:after="0" w:line="277" w:lineRule="auto"/>
        <w:tabs>
          <w:tab w:leader="none" w:pos="7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our joint venture partner, closed on the sale of the fee ownership interest in 625 Madison Avenue for a gross sales price of $634.6 million plus certain fees payable to the Company. In connection with the sale, the Company, together with its joint venture partner, originated a $235.5 million preferred equity investment in the property. The transaction generated net proceeds to the Company of $199.3 million.</w:t>
      </w:r>
    </w:p>
    <w:p>
      <w:pPr>
        <w:spacing w:after="0" w:line="57" w:lineRule="exact"/>
        <w:rPr>
          <w:rFonts w:ascii="Times New Roman" w:cs="Times New Roman" w:eastAsia="Times New Roman" w:hAnsi="Times New Roman"/>
          <w:sz w:val="17"/>
          <w:szCs w:val="17"/>
          <w:color w:val="auto"/>
        </w:rPr>
      </w:pPr>
    </w:p>
    <w:p>
      <w:pPr>
        <w:ind w:left="800" w:hanging="323"/>
        <w:spacing w:after="0" w:line="297" w:lineRule="auto"/>
        <w:tabs>
          <w:tab w:leader="none" w:pos="7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our joint venture partner, closed on the sale of the retail condominium at 717 Fifth Avenue for total consideration of $963.0 million. The transaction generated net proceeds to the Company of $27.0 million.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Finance</w:t>
      </w:r>
    </w:p>
    <w:p>
      <w:pPr>
        <w:spacing w:after="0" w:line="121" w:lineRule="exact"/>
        <w:rPr>
          <w:sz w:val="20"/>
          <w:szCs w:val="20"/>
          <w:color w:val="auto"/>
        </w:rPr>
      </w:pPr>
    </w:p>
    <w:p>
      <w:pPr>
        <w:ind w:left="780" w:hanging="303"/>
        <w:spacing w:after="0"/>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repaid the previous $60.9 million mortgage on 690 Madison Avenue for a net payment of $32.1 million.</w:t>
      </w:r>
    </w:p>
    <w:p>
      <w:pPr>
        <w:spacing w:after="0" w:line="119" w:lineRule="exact"/>
        <w:rPr>
          <w:rFonts w:ascii="Times New Roman" w:cs="Times New Roman" w:eastAsia="Times New Roman" w:hAnsi="Times New Roman"/>
          <w:sz w:val="17"/>
          <w:szCs w:val="17"/>
          <w:color w:val="auto"/>
        </w:rPr>
      </w:pPr>
    </w:p>
    <w:p>
      <w:pPr>
        <w:ind w:left="780" w:hanging="303"/>
        <w:spacing w:after="0"/>
        <w:tabs>
          <w:tab w:leader="none" w:pos="7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our joint venture partner, repaid the previous $182.5 million mortgage on 2 Herald Square for a net payment of $7.0 million.</w:t>
      </w:r>
    </w:p>
    <w:p>
      <w:pPr>
        <w:spacing w:after="0" w:line="119" w:lineRule="exact"/>
        <w:rPr>
          <w:rFonts w:ascii="Times New Roman" w:cs="Times New Roman" w:eastAsia="Times New Roman" w:hAnsi="Times New Roman"/>
          <w:sz w:val="17"/>
          <w:szCs w:val="17"/>
          <w:color w:val="auto"/>
        </w:rPr>
      </w:pPr>
    </w:p>
    <w:p>
      <w:pPr>
        <w:jc w:val="both"/>
        <w:ind w:left="800" w:hanging="323"/>
        <w:spacing w:after="0" w:line="277" w:lineRule="auto"/>
        <w:tabs>
          <w:tab w:leader="none" w:pos="7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our joint venture partner, closed on a modification, extension and upsize of the $360.0 million mortgage on 100 Park Avenue. The modification extended the maturity date to December 2027, as fully extended, while maintaining the interest rate at 2.25% over Term SOFR. The lenders also provided a new $70.0 million future funding facility for leasing costs at the property.</w:t>
      </w:r>
    </w:p>
    <w:p>
      <w:pPr>
        <w:spacing w:after="0" w:line="57" w:lineRule="exact"/>
        <w:rPr>
          <w:rFonts w:ascii="Times New Roman" w:cs="Times New Roman" w:eastAsia="Times New Roman" w:hAnsi="Times New Roman"/>
          <w:sz w:val="17"/>
          <w:szCs w:val="17"/>
          <w:color w:val="auto"/>
        </w:rPr>
      </w:pPr>
    </w:p>
    <w:p>
      <w:pPr>
        <w:ind w:left="800" w:hanging="323"/>
        <w:spacing w:after="0" w:line="297" w:lineRule="auto"/>
        <w:tabs>
          <w:tab w:leader="none" w:pos="7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our joint venture partners, closed on a modification and extension of the $1.3 billion mortgage facility on One Madison Avenue. The modification extended the final maturity date to November 2027, while maintaining the interest rate at 3.10% over Term SOFR.</w:t>
      </w:r>
    </w:p>
    <w:p>
      <w:pPr>
        <w:spacing w:after="0" w:line="40" w:lineRule="exact"/>
        <w:rPr>
          <w:rFonts w:ascii="Times New Roman" w:cs="Times New Roman" w:eastAsia="Times New Roman" w:hAnsi="Times New Roman"/>
          <w:sz w:val="17"/>
          <w:szCs w:val="17"/>
          <w:color w:val="auto"/>
        </w:rPr>
      </w:pPr>
    </w:p>
    <w:p>
      <w:pPr>
        <w:ind w:left="800" w:hanging="323"/>
        <w:spacing w:after="0" w:line="297" w:lineRule="auto"/>
        <w:tabs>
          <w:tab w:leader="none" w:pos="7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our joint venture partner, closed on a modification and extension of the $742.8 million mortgage on 1515 Broadway. The modification extended the maturity date to March 2028, as fully extended, while maintaining the interest rate at 3.93%.</w:t>
      </w:r>
    </w:p>
    <w:p>
      <w:pPr>
        <w:spacing w:after="0" w:line="40" w:lineRule="exact"/>
        <w:rPr>
          <w:rFonts w:ascii="Times New Roman" w:cs="Times New Roman" w:eastAsia="Times New Roman" w:hAnsi="Times New Roman"/>
          <w:sz w:val="17"/>
          <w:szCs w:val="17"/>
          <w:color w:val="auto"/>
        </w:rPr>
      </w:pPr>
    </w:p>
    <w:p>
      <w:pPr>
        <w:ind w:left="800" w:hanging="323"/>
        <w:spacing w:after="0" w:line="297" w:lineRule="auto"/>
        <w:tabs>
          <w:tab w:leader="none" w:pos="7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Closed on a modification and extension of a $100.0 million funded term loan component of the Company's unsecured corporate credit facility. The modification extended the maturity date to November 2026, as fully extended, at a rate of 1.80% over Term SOFR.</w:t>
      </w:r>
    </w:p>
    <w:p>
      <w:pPr>
        <w:spacing w:after="0" w:line="40" w:lineRule="exact"/>
        <w:rPr>
          <w:rFonts w:ascii="Times New Roman" w:cs="Times New Roman" w:eastAsia="Times New Roman" w:hAnsi="Times New Roman"/>
          <w:sz w:val="17"/>
          <w:szCs w:val="17"/>
          <w:color w:val="auto"/>
        </w:rPr>
      </w:pPr>
    </w:p>
    <w:p>
      <w:pPr>
        <w:jc w:val="both"/>
        <w:ind w:left="800" w:hanging="323"/>
        <w:spacing w:after="0" w:line="277" w:lineRule="auto"/>
        <w:tabs>
          <w:tab w:leader="none" w:pos="7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our joint venture partner, closed on a modification and extension of the mortgage on 220 East 42nd Street. The modification included a paydown of the principal balance by $9.0 million to $496.4 million and extended the maturity date to December 2027. The interest rate was maintained at 2.75% over Term SOFR, which the joint venture fixed at 6.77% through the extended maturity date.</w:t>
      </w:r>
    </w:p>
    <w:p>
      <w:pPr>
        <w:spacing w:after="0" w:line="57" w:lineRule="exact"/>
        <w:rPr>
          <w:rFonts w:ascii="Times New Roman" w:cs="Times New Roman" w:eastAsia="Times New Roman" w:hAnsi="Times New Roman"/>
          <w:sz w:val="17"/>
          <w:szCs w:val="17"/>
          <w:color w:val="auto"/>
        </w:rPr>
      </w:pPr>
    </w:p>
    <w:p>
      <w:pPr>
        <w:jc w:val="both"/>
        <w:ind w:left="800" w:hanging="323"/>
        <w:spacing w:after="0" w:line="267" w:lineRule="auto"/>
        <w:tabs>
          <w:tab w:leader="none" w:pos="7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our joint venture partner, closed on a modification and extension of the $1.075 billion securitized mortgage on 280 Park Avenue. The modification extended the maturity date to September 2026, with the partnership's option to extend to a fully extended maturity date of September 2028. The interest rate was maintained at 1.78% over Term SOFR, which the partnership subsequently fixed at 5.84% through the fully extended maturity date. The partnership separately modified and extended the $125.0 million mezzanine loan on 280 Park Avenue and subsequently repaid the loan for $62.5 million.</w:t>
      </w:r>
    </w:p>
    <w:p>
      <w:pPr>
        <w:spacing w:after="0" w:line="66" w:lineRule="exact"/>
        <w:rPr>
          <w:rFonts w:ascii="Times New Roman" w:cs="Times New Roman" w:eastAsia="Times New Roman" w:hAnsi="Times New Roman"/>
          <w:sz w:val="17"/>
          <w:szCs w:val="17"/>
          <w:color w:val="auto"/>
        </w:rPr>
      </w:pPr>
    </w:p>
    <w:p>
      <w:pPr>
        <w:jc w:val="both"/>
        <w:ind w:left="800" w:hanging="323"/>
        <w:spacing w:after="0" w:line="277" w:lineRule="auto"/>
        <w:tabs>
          <w:tab w:leader="none" w:pos="7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our joint venture partner, closed on a modification and extension of the mortgage on 10 East 53rd Street, which included a paydown of the principal balance by $15.0 million to $205.0 million. The modification extended the maturity date by three years to May 2028, as fully extended, and the interest rate was maintained at 1.45% over Term SOFR, which the joint venture fixed at 5.36% from May 2025 to May 2028.</w:t>
      </w:r>
    </w:p>
    <w:p>
      <w:pPr>
        <w:spacing w:after="0" w:line="57" w:lineRule="exact"/>
        <w:rPr>
          <w:rFonts w:ascii="Times New Roman" w:cs="Times New Roman" w:eastAsia="Times New Roman" w:hAnsi="Times New Roman"/>
          <w:sz w:val="17"/>
          <w:szCs w:val="17"/>
          <w:color w:val="auto"/>
        </w:rPr>
      </w:pPr>
    </w:p>
    <w:p>
      <w:pPr>
        <w:jc w:val="both"/>
        <w:ind w:left="800" w:hanging="323"/>
        <w:spacing w:after="0" w:line="277" w:lineRule="auto"/>
        <w:tabs>
          <w:tab w:leader="none" w:pos="7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Together with our joint venture partner, closed on a modification and extension of the mortgage on 15 Beekman Street. The modification included a paydown of the principal balance by $4.6 million to $120.0 million, extended the mortgage by four years to January 2028, as fully extended, and the interest rate was maintained at 1.50% over Term SOFR, which the joint venture fixed at 5.99% through January 2026.</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and Preferred Equity Investments</w:t>
      </w:r>
    </w:p>
    <w:p>
      <w:pPr>
        <w:spacing w:after="0" w:line="121" w:lineRule="exact"/>
        <w:rPr>
          <w:sz w:val="20"/>
          <w:szCs w:val="20"/>
          <w:color w:val="auto"/>
        </w:rPr>
      </w:pPr>
    </w:p>
    <w:p>
      <w:pPr>
        <w:jc w:val="both"/>
        <w:ind w:left="800" w:hanging="323"/>
        <w:spacing w:after="0" w:line="277" w:lineRule="auto"/>
        <w:tabs>
          <w:tab w:leader="none" w:pos="79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launched its SLG Opportunistic Debt Fund (the "Fund"). The Fund intends to capitalize on current capital markets dislocation through a strategy focused on opportunistically investing in the New York City credit market. The Company continues to close commitments for the Fund, following the $250.0 million closing with a Canadian institutional investor to anchor the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1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color w:val="auto"/>
        </w:rPr>
        <w:t>Declines in the demand for office space in the New York metropolitan area, and in particular midtown Manhattan, could adversely affect the value of our real estate portfolio and our results of operations and, consequently, our ability to service current debt and to pay dividends and distributions to security holders.</w:t>
      </w:r>
    </w:p>
    <w:p>
      <w:pPr>
        <w:spacing w:after="0" w:line="57"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A significant majority of our property holdings are comprised of commercial office properties located in midtown Manhattan. Our property holdings also include some retail properties. As a result of the concentration of our holdings, our business is dependent on the condition of the New York metropolitan area economy in general and the market for office space in midtown Manhattan in particular. Continued weakness and uncertainty in the New York metropolitan area economy could materially reduce the value of our real estate portfolio and our rental revenues, and thus adversely affect our cash flow and our ability to service our debt obligations and to pay dividends and distributions to security holders.</w:t>
      </w:r>
    </w:p>
    <w:p>
      <w:pPr>
        <w:spacing w:after="0" w:line="67"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Following the COVID-19 pandemic, office companies continue to be affected by the increased acceptance of flexible or hybrid work schedules, allowing employees to work remotely and collaborate through video or teleconferencing instead of in-office attendance. Remote work policies and flexible work arrangements could cause office tenants to reassess their long-term physical needs, which could have an adverse effect on our business, results of operations, liquidity, cash flows, prospects, and our ability to achieve forward-looking targets and expectations.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be unable to renew leases or relet space as leases expire.</w:t>
      </w:r>
    </w:p>
    <w:p>
      <w:pPr>
        <w:spacing w:after="0" w:line="121"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If tenants decide not to renew their leases upon expiration, we may not be able to relet the space. Even if tenants do renew or we can relet the space, the terms of a renewal or new lease, taking into account among other things, the cost of improvements to the property and leasing commissions, may be less favorable than the terms in the expired leases. As of December 31, 2024, approximately 44.8% of the rentable square feet at our consolidated properties and approximately 11.8% of the rentable square feet at our unconsolidated joint venture properties are scheduled to expire by December 31, 2029. As of December 31, 2024, these leases had annualized escalated rent totaling $308.4 million and $191.7 million, respectively. In addition, changes in space utilization by tenants may cause us to incur substantial costs in renovating or redesigning the internal configuration of the relevant property in order to renew or relet space. If we are unable to promptly renew the leases or relet the space at similar rates or if we incur substantial costs in renewing or reletting the space, our cash flow and ability to service our debt obligations and pay dividends and distributions to security holders could be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face significant competition for tenants.</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leasing of real estate is highly competitive. The principal competitive factors are rent, location, lease term, lease concessions, services provided and the nature and condition of the property to be leased. We directly compete with all owners, developers and operators of similar space in the areas in which our properties are located.</w:t>
      </w:r>
    </w:p>
    <w:p>
      <w:pPr>
        <w:spacing w:after="0" w:line="5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Our commercial office properties are concentrated in highly developed areas of the New York metropolitan area. Manhattan is the largest office market in the United States. The number of competitive office properties in the New York metropolitan area, which may be newer or better located than our properties, could have a material adverse effect on our ability to lease office space at our properties, and on the effective rents we are able to charge.</w:t>
      </w:r>
    </w:p>
    <w:p>
      <w:pPr>
        <w:spacing w:after="0" w:line="5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The expiration of long term leases or operating sublease interests where we do not own a fee interest in the land could adversely affect our results of operations.</w:t>
      </w:r>
    </w:p>
    <w:p>
      <w:pPr>
        <w:spacing w:after="0" w:line="39"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Our interests in certain properties are entirely or partially comprised of either long-term leasehold or operating sublease interests in the land and the improvements, rather than by ownership of fee interest in the land. As of December 31, 2024, the expiration dates of these long-term leases range from 2043 to 2119, including the effect of our unilateral extension rights at each of these properties. Pursuant to the leasehold arrangements, we, as tenant under the long-term leasehold or the operating sublease, perform the functions traditionally performed by landlords with respect to our subtenants. We are responsible for collecting rent from our subtenants, as well as maintaining the property and paying expenses relating to the property. Annualized cash rents, including our share of joint venture annualized cash rents, from properties held through long-term leases or operating sublease interests as of December 31, 2024 totaled $236.0 million, or 17.8%, of our share of total Portfolio annualized cash rent. Unless we purchase a fee interest in the underlying land or extend the terms of these leases prior to expiration, we will no longer operate these properties upon expiration of the leases, which could adversely affect our financial condition and results of operations. Rent payments under leasehold or operating sublease interests are adjusted, within the parameters of the contractual arrangements, at certain intervals. Rent adjustments typically result in higher rents that could adversely affect our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rely on five large properties for a significant portion of our revenue.</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Five of our properties, One Vanderbilt Avenue, 11 Madison Avenue, 420 Lexington Avenue, 1515 Broadway and 245 Park Avenue accounted for 38.9% of our Portfolio annualized cash rent, which includes our share of joint venture annualized cash rent, as of December 31, 2024.</w:t>
      </w:r>
    </w:p>
    <w:p>
      <w:pPr>
        <w:spacing w:after="0" w:line="4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Our revenue and cash available to service debt obligations and for distribution to our stockholders would be materially adversely affected if any of these properties were materially damaged or destroyed. Additionally, our revenue and cash available to service debt obligations and for distribution to our stockholders would be materially adversely affected if tenants at these properties fail to timely make rental payments due to adverse financial conditions or otherwise, default under their leases or file for bankruptcy or become insolvent.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results of operations rely on major tenants and insolvency or bankruptcy of these or other tenants could adversely affect our results of operations.</w:t>
      </w:r>
    </w:p>
    <w:p>
      <w:pPr>
        <w:spacing w:after="0" w:line="12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Giving effect to leases in effect as of December 31, 2024, for consolidated properties and unconsolidated joint venture properties, as of that date, our five largest tenants, based on annualized cash rent, accounted for 15.1% of our share of Portfolio annualized cash rent, with one tenant, Paramount Global, accounting for 5.5% of our share of Portfolio annualized cash rent. Our business and results of operations would be adversely affected if any of our major tenants become insolvent, file for bankruptcy, or otherwise fail to timely make rental payments or at all. In addition, if business conditions in the industries in which our tenants are concentrated deteriorate, or economic volatility has a disproportionate impact on our tenants, we may experience increases in past due accounts, defaults, lower occupancy and reduced effective rents across tenants in such industries, which could in turn have an adverse effect on our business and 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Construction is in progress at our development projects.</w:t>
      </w:r>
    </w:p>
    <w:p>
      <w:pPr>
        <w:spacing w:after="0" w:line="121" w:lineRule="exact"/>
        <w:rPr>
          <w:sz w:val="20"/>
          <w:szCs w:val="20"/>
          <w:color w:val="auto"/>
        </w:rPr>
      </w:pPr>
    </w:p>
    <w:p>
      <w:pPr>
        <w:jc w:val="both"/>
        <w:ind w:firstLine="433"/>
        <w:spacing w:after="0" w:line="274" w:lineRule="auto"/>
        <w:rPr>
          <w:sz w:val="20"/>
          <w:szCs w:val="20"/>
          <w:color w:val="auto"/>
        </w:rPr>
      </w:pPr>
      <w:r>
        <w:rPr>
          <w:rFonts w:ascii="Times New Roman" w:cs="Times New Roman" w:eastAsia="Times New Roman" w:hAnsi="Times New Roman"/>
          <w:sz w:val="17"/>
          <w:szCs w:val="17"/>
          <w:color w:val="auto"/>
        </w:rPr>
        <w:t>The Company's development projects are subject to internal and external factors which may affect construction progress. Unforeseen matters could delay completion, result in increased costs or otherwise have a material effect on our results of operations. In addition, the extended time frame to complete these projects could cause them to be subject to shifts and trends in the real estate market which may not be consistent with our current business plans for the properties.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are subject to risks that affect the retail environment.</w:t>
      </w:r>
    </w:p>
    <w:p>
      <w:pPr>
        <w:spacing w:after="0" w:line="12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While only 1.5% of our Portfolio annualized cash rent was generated by retail properties as of December 31, 2024, principally in Manhattan, we are subject to risks that affect the retail environment generally, including the level of consumer spending and preferences, consumer confidence, electronic retail competition and levels of tourism in Manhattan. These factors could adversely affect the financial condition of our retail tenants and the willingness of retailers to lease space in our retail properties, which could in turn have an adverse effect on our business and results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are subject to the risk of adverse changes in economic and geopolitical conditions in general and the commercial office markets in particular.</w:t>
      </w:r>
    </w:p>
    <w:p>
      <w:pPr>
        <w:spacing w:after="0" w:line="12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Our business has been and may continue to be affected by the ongoing volatility in the U.S. financial and credit markets and higher interest rate environments and other market, economic or political challenges experienced by the U.S. economy or the real estate industry as a whole, including changes in law and policy and uncertainty in connection with any such changes. Periods of economic weakness or volatility result in reduced access to credit and/or wider credit spreads. Economic or political uncertainty, including concern about growth and the stability of the markets generally and changes in interest rates, have led lenders and institutional investors to reduce and, in some cases, cease to provide funding to borrowers, which adversely affects our liquidity and financial condition, and the liquidity and financial condition of our tenants. Specifically, our business, like other real estate businesses, has been and may continue to be affected by the following conditions:</w:t>
      </w:r>
    </w:p>
    <w:p>
      <w:pPr>
        <w:spacing w:after="0" w:line="68" w:lineRule="exact"/>
        <w:rPr>
          <w:sz w:val="20"/>
          <w:szCs w:val="20"/>
          <w:color w:val="auto"/>
        </w:rPr>
      </w:pPr>
    </w:p>
    <w:p>
      <w:pPr>
        <w:ind w:left="640" w:hanging="320"/>
        <w:spacing w:after="0" w:line="297" w:lineRule="auto"/>
        <w:tabs>
          <w:tab w:leader="none" w:pos="6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job losses or declining rates of job creation, which decrease demand for office space, causing market rental rates and property values to be negatively impacted;</w:t>
      </w:r>
    </w:p>
    <w:p>
      <w:pPr>
        <w:spacing w:after="0" w:line="40" w:lineRule="exact"/>
        <w:rPr>
          <w:rFonts w:ascii="Times New Roman" w:cs="Times New Roman" w:eastAsia="Times New Roman" w:hAnsi="Times New Roman"/>
          <w:sz w:val="17"/>
          <w:szCs w:val="17"/>
          <w:color w:val="auto"/>
        </w:rPr>
      </w:pPr>
    </w:p>
    <w:p>
      <w:pPr>
        <w:jc w:val="both"/>
        <w:ind w:left="640" w:hanging="320"/>
        <w:spacing w:after="0" w:line="277" w:lineRule="auto"/>
        <w:tabs>
          <w:tab w:leader="none" w:pos="6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borrow on terms and conditions that we find acceptable, which reduces our ability to pursue acquisition and development opportunities and refinance existing debt, reducing our returns from both our existing operations and our acquisition and development activities and increasing our future interest expense; and</w:t>
      </w:r>
    </w:p>
    <w:p>
      <w:pPr>
        <w:spacing w:after="0" w:line="57" w:lineRule="exact"/>
        <w:rPr>
          <w:rFonts w:ascii="Times New Roman" w:cs="Times New Roman" w:eastAsia="Times New Roman" w:hAnsi="Times New Roman"/>
          <w:sz w:val="17"/>
          <w:szCs w:val="17"/>
          <w:color w:val="auto"/>
        </w:rPr>
      </w:pPr>
    </w:p>
    <w:p>
      <w:pPr>
        <w:ind w:left="640" w:hanging="320"/>
        <w:spacing w:after="0" w:line="268" w:lineRule="auto"/>
        <w:tabs>
          <w:tab w:leader="none" w:pos="6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values of our properties, which limits our ability to dispose of assets at acceptable prices and to obtain debt financing secured by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Leasing office space to smaller and growth-oriented businesses could adversely affect our cash flow and results of operations.</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Some of the tenants in our properties are smaller, growth-oriented businesses that may not have the financial strength of larger corporate tenants. Smaller companies generally experience a higher rate of failure than larger businesses. Growth-oriented firms may also seek other office space as they develop. Leasing office space to these companies creates a higher risk of tenant defaults, turnover and bankruptcies, which could adversely affect our cash flow and results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suffer adverse consequences if our revenues decline since our operating costs do not decline in proportion to our revenue.</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earn a significant portion of our income from renting our properties. Our operating costs, however, do not fluctuate in proportion to changes in our rental revenue. If revenues decline more than expenses, we may be forced to borrow to cover our costs, we may incur losses or we may not have cash available to service our debt obligations and to pay dividends and distributions to security holders.</w:t>
      </w:r>
    </w:p>
    <w:p>
      <w:pPr>
        <w:spacing w:after="0" w:line="5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Competition for acquisitions and other investments may reduce the number of opportunities available to us and increase the costs of those acquisitions or other investments.</w:t>
      </w:r>
    </w:p>
    <w:p>
      <w:pPr>
        <w:spacing w:after="0" w:line="39"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may acquire properties or make other debt and preferred equity investments when we are presented with attractive opportunities. We may face competition for acquisition or other investment opportunities from other investors, particularly those investors who are willing to incur more leverage, and this competition may adversely affect us by subjecting us to the following risks:</w:t>
      </w:r>
    </w:p>
    <w:p>
      <w:pPr>
        <w:spacing w:after="0" w:line="57" w:lineRule="exact"/>
        <w:rPr>
          <w:sz w:val="20"/>
          <w:szCs w:val="20"/>
          <w:color w:val="auto"/>
        </w:rPr>
      </w:pPr>
    </w:p>
    <w:p>
      <w:pPr>
        <w:jc w:val="both"/>
        <w:ind w:left="640" w:hanging="320"/>
        <w:spacing w:after="0" w:line="277" w:lineRule="auto"/>
        <w:tabs>
          <w:tab w:leader="none" w:pos="6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inability to acquire or otherwise make an investment in a desired property or asset because of competition from other well-capitalized real estate investors, including publicly traded and privately held REITs, private real estate funds, domestic and foreign financial institutions, life insurance companies, sovereign wealth funds, pension trusts, partnerships and individual investors; and</w:t>
      </w:r>
    </w:p>
    <w:p>
      <w:pPr>
        <w:spacing w:after="0" w:line="57"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the purchase price for such acquisition property.</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If we are unable to successfully acquire or make investments in additional properties, our ability to grow our business could be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face risks associated with property acquisitions and other investments.</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Our acquisition and investment activities may not be successful if we are unable to meet required closing conditions or unable to finance acquisitions and developments of properties (or make other investments) on favorable terms or at all. Additionally, we have less visibility into the future performance of acquired properties (or properties in which we may seek to make other future investments) than properties that we have owned for a period of time, and therefore, recently acquired properties (or properties in which we have recently made other investments) may not be as profitable as our existing portfolio.</w:t>
      </w:r>
    </w:p>
    <w:p>
      <w:pPr>
        <w:spacing w:after="0" w:line="6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Further, we may acquire properties subject to both known and unknown liabilities and without any recourse, or with only limited recourse to the seller. As a result, if a liability were asserted against us arising from our ownership of those properties, we might have to pay substantial sums to settle it, which could adversely affect our cash flow. Unknown liabilities with respect to properties acquired might include:</w:t>
      </w:r>
    </w:p>
    <w:p>
      <w:pPr>
        <w:spacing w:after="0" w:line="57" w:lineRule="exact"/>
        <w:rPr>
          <w:sz w:val="20"/>
          <w:szCs w:val="20"/>
          <w:color w:val="auto"/>
        </w:rPr>
      </w:pPr>
    </w:p>
    <w:p>
      <w:pPr>
        <w:ind w:left="620" w:hanging="30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by tenants, vendors or other persons arising from dealing with the former owners of the properties;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liabilities incurred in the ordinary course of business;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for indemnification by general partners, directors, officers and others indemnified by the former owners of the properties; and</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liabilities for clean-up of undisclosed environmental contamination.</w:t>
      </w:r>
    </w:p>
    <w:p>
      <w:pPr>
        <w:spacing w:after="0" w:line="119"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Similarly, the due diligence process that we undertake in connection with investments may not reveal all facts that may be relevant in connection with making such an investment, including unknown liabilities, that may impact the value of our investment. Such investments may also be in relatively high-risk, illiquid assets, including structured products, and may fail to realize any profits for a considerable period of time or lose some or all of the principal investments.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on our ability to sell or reduce the indebtedness on specific properties could adversely affect the value of our common stock.</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In connection with past and future acquisitions of interests in properties, we have or may agree to restrictions on our ability to sell or refinance the acquired properties for certain periods. These limitations could result in us holding properties which we would otherwise sell, or prevent us from paying down or refinancing existing indebtedness, any of which may have adverse consequences on our business and result in a material adverse effect on our financial condition and results of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losses may not be covered by insurance.</w:t>
      </w:r>
    </w:p>
    <w:p>
      <w:pPr>
        <w:spacing w:after="0" w:line="12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We maintain "all-risk" property and rental value coverage (including coverage regarding the perils of flood, earthquake and terrorism, excluding nuclear, biological, chemical, and radiological terrorism ("NBCR")) within two property insurance programs and liability insurance. Separate property and liability coverage may be purchased on a stand-alone basis for certain assets, such as development projects. Additionally, one of our captive insurance companies, Belmont Insurance Company ("Belmont"), provides coverage for NBCR terrorist acts above a specified trigger. Belmont's retention is reinsured by our other captive insurance company, Ticonderoga Insurance Company ("Ticonderoga"). If Belmont or Ticonderoga are required to pay a claim under our insurance policies, we would ultimately record the loss to the extent of required payments.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in whole or in part, by the Company or its affiliates.</w:t>
      </w:r>
    </w:p>
    <w:p>
      <w:pPr>
        <w:spacing w:after="0" w:line="28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Furthermore, with respect to certain of our properties, including certain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occurrence of a terrorist attack may adversely affect the value of our properties and our ability to generate cash flow.</w:t>
      </w:r>
    </w:p>
    <w:p>
      <w:pPr>
        <w:spacing w:after="0" w:line="121" w:lineRule="exact"/>
        <w:rPr>
          <w:sz w:val="20"/>
          <w:szCs w:val="20"/>
          <w:color w:val="auto"/>
        </w:rPr>
      </w:pPr>
    </w:p>
    <w:p>
      <w:pPr>
        <w:jc w:val="both"/>
        <w:ind w:firstLine="433"/>
        <w:spacing w:after="0" w:line="262" w:lineRule="auto"/>
        <w:rPr>
          <w:sz w:val="20"/>
          <w:szCs w:val="20"/>
          <w:color w:val="auto"/>
        </w:rPr>
      </w:pPr>
      <w:r>
        <w:rPr>
          <w:rFonts w:ascii="Times New Roman" w:cs="Times New Roman" w:eastAsia="Times New Roman" w:hAnsi="Times New Roman"/>
          <w:sz w:val="17"/>
          <w:szCs w:val="17"/>
          <w:color w:val="auto"/>
        </w:rPr>
        <w:t>Our operations are primarily concentrated in the New York metropolitan area. In the aftermath of a terrorist attack or other acts of terrorism or war, tenants in the New York metropolitan area may choose to relocate their business to less populated, lower-profile areas of the United States that those tenants believe are not as likely to be targets of future terrorist activity. In addition, economic activity could decline as a result of terrorist attacks or other acts of terrorism or war, or the perceived threat of such acts. Each of these impacts could in turn trigger a decrease in the demand for space in the New York metropolitan area, which could increase vacancies in our properties and force us to lease our properties on less favorable terms. While under the Terrorism Risk Insurance Program Reauthorization Act of 2019, insurers must make terrorism insurance available under their property and casualty insurance policies, this legislation does not regulate the pricing of such insurance. The absence of affordable terrorism insurance coverage may adversely affect the general real estate lending market, lending volume and the market's overall liquidity and, in the event of an uninsured loss, we could lose all or a portion of our assets. Furthermore, we may also experience increased costs in relation to security equipment and personnel. As a result, the value of our properties and our results of operations could materially decline.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face possible risks associated with natural disasters and the effects of climate change.</w:t>
      </w:r>
    </w:p>
    <w:p>
      <w:pPr>
        <w:spacing w:after="0" w:line="121" w:lineRule="exact"/>
        <w:rPr>
          <w:sz w:val="20"/>
          <w:szCs w:val="20"/>
          <w:color w:val="auto"/>
        </w:rPr>
      </w:pPr>
    </w:p>
    <w:p>
      <w:pPr>
        <w:ind w:right="80" w:firstLine="433"/>
        <w:spacing w:after="0" w:line="261" w:lineRule="auto"/>
        <w:rPr>
          <w:sz w:val="20"/>
          <w:szCs w:val="20"/>
          <w:color w:val="auto"/>
        </w:rPr>
      </w:pPr>
      <w:r>
        <w:rPr>
          <w:rFonts w:ascii="Times New Roman" w:cs="Times New Roman" w:eastAsia="Times New Roman" w:hAnsi="Times New Roman"/>
          <w:sz w:val="17"/>
          <w:szCs w:val="17"/>
          <w:color w:val="auto"/>
        </w:rPr>
        <w:t>We are committed to enhancing the resilience of our properties and we have established comprehensive procedures intended to effectively manage and respond to climate-related risks. Our procedures encompass a range of potential impacts, including those stemming from natural disasters such as storms, heatwaves, hurricanes, flooding and other severe weather. We recognize, however, that the intensity of weather events and the rise in sea levels have the potential to impact our properties, operations and overall business. Since Hurricane Sandy in 2012, New York City has experienced several severe storms that have had significant impacts on the area, and we are actively tracking the risks these storms pose to the city's real estate market and physical landscape. Over time, and in an extreme scenario, these conditions could result in declining demand for office space, specifically in coastal areas of New York City, or potentially an inability to fully operate buildings. Climate change may also have indirect effects on our business by increasing the cost of property insurance on terms we find acceptable or causing a lack of availability of sufficient insurance. There could also be increases in the cost of energy and other natural resources at our properties as we seek to repair and protect our properties against climate risks. We proactively review every building through both a financial and environmental lens to ensure that building systems and operations align with our climate-related risk assessments. However, any of these direct or indirect effects of climate change may have a material adverse effect on our properties, operations or business.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incur significant costs to comply with climate change initiatives, and in particular those implemented in New York City.</w:t>
      </w:r>
    </w:p>
    <w:p>
      <w:pPr>
        <w:spacing w:after="0" w:line="121" w:lineRule="exact"/>
        <w:rPr>
          <w:sz w:val="20"/>
          <w:szCs w:val="20"/>
          <w:color w:val="auto"/>
        </w:rPr>
      </w:pPr>
    </w:p>
    <w:p>
      <w:pPr>
        <w:jc w:val="both"/>
        <w:ind w:firstLine="433"/>
        <w:spacing w:after="0" w:line="262" w:lineRule="auto"/>
        <w:rPr>
          <w:sz w:val="20"/>
          <w:szCs w:val="20"/>
          <w:color w:val="auto"/>
        </w:rPr>
      </w:pPr>
      <w:r>
        <w:rPr>
          <w:rFonts w:ascii="Times New Roman" w:cs="Times New Roman" w:eastAsia="Times New Roman" w:hAnsi="Times New Roman"/>
          <w:sz w:val="17"/>
          <w:szCs w:val="17"/>
          <w:color w:val="auto"/>
        </w:rPr>
        <w:t>Numerous states and municipalities have adopted laws and policies on climate change and emission reduction targets. In particular, New York State passed the Climate Leadership and Community Protection Act in 2019, mandating the adoption of a net-zero carbon economy statewide by 2050, with a zero-carbon electricity grid by 2040. New York City enacted Local Law 97 (LL97) in 2019 under the Climate Mobilization Act, setting carbon caps for large buildings starting in 2024 as part of a broader commitment to reducing greenhouse gas emissions by 40% by 2030, and by 80% by 2050. As our portfolio is principally located in Manhattan, our business is subject to transition risks related to these climate change policies. Costs of compliance or penalties in later compliance periods have the potential to be significant. If we are unable to meet the required emissions reductions, we may be subject to material fines that will continue to be assessed each year we fail to comply. Based on current emissions data available from 2023, our portfolio is expected to be compliant through 2029, with no material financial impact to our properties. Additionally, even if we can achieve compliance under LL97 in a given year, it is not a certainty that we will remain in compliance in subsequent years.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management of the Fund involves certain risks, which could adversely affect our business, financial condition and results of operations.</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In addition to the risks generally described in this report, our management of the Fund, as well as our investment in the Fund, may be subject to market and performance risks and risks related to the regulatory environment, which include, but are not limited to:</w:t>
      </w:r>
    </w:p>
    <w:p>
      <w:pPr>
        <w:spacing w:after="0" w:line="39" w:lineRule="exact"/>
        <w:rPr>
          <w:sz w:val="20"/>
          <w:szCs w:val="20"/>
          <w:color w:val="auto"/>
        </w:rPr>
      </w:pPr>
    </w:p>
    <w:p>
      <w:pPr>
        <w:jc w:val="both"/>
        <w:ind w:left="640" w:hanging="320"/>
        <w:spacing w:after="0" w:line="278" w:lineRule="auto"/>
        <w:tabs>
          <w:tab w:leader="none" w:pos="6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Market Risk: </w:t>
      </w:r>
      <w:r>
        <w:rPr>
          <w:rFonts w:ascii="Times New Roman" w:cs="Times New Roman" w:eastAsia="Times New Roman" w:hAnsi="Times New Roman"/>
          <w:sz w:val="17"/>
          <w:szCs w:val="17"/>
          <w:color w:val="auto"/>
        </w:rPr>
        <w:t>Difficult market conditions can adversely affect the Fund in many ways, including by negatively impacting Fund performance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reducing the Fund’s ability to raise or deploy capital, reducing our assets under management, which we refer to as our assets under management ("AUM"), and lowering management fee income and incentive income, increasing the cost of financial instruments and executing transactions.</w:t>
      </w:r>
    </w:p>
    <w:p>
      <w:pPr>
        <w:spacing w:after="0" w:line="55" w:lineRule="exact"/>
        <w:rPr>
          <w:rFonts w:ascii="Times New Roman" w:cs="Times New Roman" w:eastAsia="Times New Roman" w:hAnsi="Times New Roman"/>
          <w:sz w:val="17"/>
          <w:szCs w:val="17"/>
          <w:color w:val="auto"/>
        </w:rPr>
      </w:pPr>
    </w:p>
    <w:p>
      <w:pPr>
        <w:ind w:left="640" w:hanging="320"/>
        <w:spacing w:after="0" w:line="299" w:lineRule="auto"/>
        <w:tabs>
          <w:tab w:leader="none" w:pos="6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Historical Returns: </w:t>
      </w:r>
      <w:r>
        <w:rPr>
          <w:rFonts w:ascii="Times New Roman" w:cs="Times New Roman" w:eastAsia="Times New Roman" w:hAnsi="Times New Roman"/>
          <w:sz w:val="17"/>
          <w:szCs w:val="17"/>
          <w:color w:val="auto"/>
        </w:rPr>
        <w:t>Any historical returns attributable to the Fund should not be considered as indicative of the future results of the Fund or any future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funds we may raise.</w:t>
      </w:r>
    </w:p>
    <w:p>
      <w:pPr>
        <w:spacing w:after="0" w:line="37" w:lineRule="exact"/>
        <w:rPr>
          <w:rFonts w:ascii="Times New Roman" w:cs="Times New Roman" w:eastAsia="Times New Roman" w:hAnsi="Times New Roman"/>
          <w:sz w:val="17"/>
          <w:szCs w:val="17"/>
          <w:color w:val="auto"/>
        </w:rPr>
      </w:pPr>
    </w:p>
    <w:p>
      <w:pPr>
        <w:jc w:val="both"/>
        <w:ind w:left="640" w:hanging="320"/>
        <w:spacing w:after="0" w:line="278" w:lineRule="auto"/>
        <w:tabs>
          <w:tab w:leader="none" w:pos="6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Regulatory Risk: </w:t>
      </w:r>
      <w:r>
        <w:rPr>
          <w:rFonts w:ascii="Times New Roman" w:cs="Times New Roman" w:eastAsia="Times New Roman" w:hAnsi="Times New Roman"/>
          <w:sz w:val="17"/>
          <w:szCs w:val="17"/>
          <w:color w:val="auto"/>
        </w:rPr>
        <w:t>Our investment management subsidiary is regulated by the Securities and Exchange Commission under the Investment Advisers 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1940, which we sometimes refer to as the Advisers Act. Regulatory investigations, sanctions or penalties may harm our reputation and adversely impact our ability to attract investors to our funds and the amount of our AUM.</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Any expansion of our Fund business may affect our business, financial condition and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LIQUIDITY AND CAPITAL RESOURCES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financing, financial covenants, degree of leverage and increases in interest rates could adversely affect our economic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Scheduled debt payments could adversely affect our results of operations.</w:t>
      </w:r>
    </w:p>
    <w:p>
      <w:pPr>
        <w:spacing w:after="0" w:line="123"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Cash flow could be insufficient to meet the payments of principal and interest required under our current mortgages, our 2021 credit facility, our senior unsecured notes, our debentures and indebtedness outstanding at our joint venture properties. The total principal amount of our outstanding consolidated indebtedness was $3.6 billion as of December 31, 2024, consisting of $1.2 billion in unsecured bank term loans, $100.0 million under our senior unsecured notes, $100.0 million of junior subordinated deferrable interest debentures, $1.9 billion of non-recourse mortgages and loans payable on certain of our properties and debt and preferred equity investments and $320.0 million drawn under our revolving credit facility. In addition, we could increase the amount of our outstanding consolidated indebtedness in the future, in part by borrowing under the revolving credit facility. As of December 31, 2024, the total principal amount of indebtedness outstanding at the joint venture properties was $12.3 billion, of which our proportionate share was $6.0 billion.</w:t>
      </w:r>
    </w:p>
    <w:p>
      <w:pPr>
        <w:spacing w:after="0" w:line="68"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If we are unable to make payments under our 2021 credit facility, all amounts due and owing at such time shall accrue interest at a per annum rate equal to 2% higher than the rate applicable immediately prior to the default. If we are unable to make payments under our senior unsecured notes, the principal and unpaid interest will become immediately payable. If a property is mortgaged to secure payment of indebtedness and we are unable to meet mortgage payments, the mortgagee could foreclose on the property, resulting in loss of income and asset value. Foreclosure on mortgaged properties or an inability to make payments under our 2021 credit facility or our senior unsecured notes could trigger defaults under the terms of our other financings, making such financings at risk of being declared immediately payable, and would have a negative impact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We may not be able to refinance existing indebtedness, which may require substantial principal payments at maturity. $373.6 million of consolidated mortgage debt and $1.2 billion of unconsolidated joint venture debt is scheduled to mature in 2025 after giving effect to our as-of-right extension options and repayments and refinancing of consolidated and joint venture debt between December 31, 2024 and February 13, 2025 as discussed in the "Financial Statements and Supplementary Data" section. At the present time, we intend to repay, refinance or exercise extension options on the debt associated with our properties on or prior to their respective maturity dates. At the time of refinancing, prevailing interest rates or other factors, such as the possible reluctance of lenders to make commercial real estate loans, may result in higher interest rates. Increased interest expense on the extended or refinanced debt would adversely affect cash flow and our ability to service debt obligations and pay dividends and distributions to security holders. If any principal payments due at maturity cannot be repaid, refinanced or extended, our cash flow will not be sufficient to repay maturing or accelerated debt.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covenants could adversely affect our ability to conduct our business.</w:t>
      </w:r>
    </w:p>
    <w:p>
      <w:pPr>
        <w:spacing w:after="0" w:line="123"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The mortgages and mezzanine loans on our properties generally contain customary negative covenants that limit our ability to further mortgage the properties, to enter into material leases without lender consent or materially modify existing leases, among other things. In addition, our 2021 credit facility and senior unsecured notes contain restrictions and requirements on our method of operations. Our 2021 credit facility and our unsecured notes also require us to maintain designated ratios, including, but not limited to, total debt-to-assets, debt service coverage and unencumbered assets-to-unsecured debt. These restrictions could adversely affect operations (including reducing our flexibility and our ability to incur additional debt), our ability to pay debt obligations and our ability to pay dividends and distributions to security holders.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High interest rates could adversely affect our cash flow.</w:t>
      </w:r>
    </w:p>
    <w:p>
      <w:pPr>
        <w:spacing w:after="0" w:line="123"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Advances under our 2021 credit facility and certain property-level mortgage debt bear interest at a variable rate. After giving effect to derivatives, our consolidated variable rate borrowings totaled just $0.4 billion as of December 31, 2024. In addition, we could increase the amount of our outstanding variable rate debt in the future, in part by borrowing additional amounts under our 2021 credit facility. Borrowings under our revolving credit facility and two term loans bore interest at the adjusted term Secured Overnight Financing Rate ("SOFR") plus 10 basis points, and the applicable spreads of 140 basis points, 160 basis points, and 180 basis points, respectively, as of December 31, 2024. As of December 31, 2024, borrowings under our term loans and junior subordinated deferrable interest debentures totaled $1.2 billion and $100.0 million, respectively. We may incur indebtedness in the future that also bears interest at a variable rate or may be required to refinance our debt at higher rates. If we were to incur variable rate indebtedness in the future, we may seek to enter into derivative instruments to mitigate the effect of such variable rate debt. However, such derivative instruments may not be available on favorable terms or at all. As of December 31, 2024, a hypothetical 100 basis point increase in interest rates across each of our variable interest rate instruments, including our variable rate debt and preferred equity investments which mitigate our exposure to interest rate changes, would increase our net annual interest costs by $2.3 million and would increase our share of joint venture annual interest costs by $1.9 million. Our joint ventures may also incur variable rate debt and face similar risks. Accordingly, increases in interest rates could adversely affect our results of operations and financial conditions and our ability to continue to pay dividends and distributions to security holders.</w:t>
      </w:r>
    </w:p>
    <w:p>
      <w:pPr>
        <w:spacing w:after="0" w:line="281"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In addition, borrowings under our existing term loan and revolving credit facilities bear interest at a rate based on term SOFR, which is a relatively new reference rate that replaced U.S. dollar London Interbank Offered Rate ("LIBOR"). As a result of SOFR's limited performance history, the future performance of SOFR cannot be reliably predicted. The level of SOFR during the term of our existing term loan and revolving credit facilities may bear little or no relation to the historical level of SOFR. The future performance of SOFR is impossible to reliably predict, and, therefore, no future performance under our existing term loan and revolving credit facilities as it relates to SOFR may be inferred from historical performance. Since the initial publication of SOFR, daily changes in SOFR have, on occasion, been more volatile than daily changes in comparable benchmark or market rates, and SOFR over the term of our existing term loan and revolving credit facilities may bear little or no relation to the historical actual or historical indicative data. Changes in the levels of SOFR will affect the amount of interest we pay on our existing credit facilities.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hedging strategies may not effectively limit exposure against interest rate changes, which may adversely affect results of operations.</w:t>
      </w:r>
    </w:p>
    <w:p>
      <w:pPr>
        <w:spacing w:after="0" w:line="123"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The interest rate hedge instruments we use to manage some of our exposure to interest rate volatility involve risk and counterparties may fail to perform under these arrangements. In addition, these arrangements may not be effective in reducing our exposure to interest rate changes. When existing interest rate hedges terminate, we may incur increased costs in putting in place further interest rate hedges. Failure to hedge effectively against interest rate changes may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Increases in our leverage could adversely affect our results of operations and the trading price of our stock.</w:t>
      </w:r>
    </w:p>
    <w:p>
      <w:pPr>
        <w:spacing w:after="0" w:line="123"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Our organizational documents do not contain any limitation on the amount of indebtedness we may incur. We consider many factors when making decisions regarding the incurrence of indebtedness, such as the purchase price of properties to be acquired with debt financing, the estimated market value of our properties and the ability of particular properties and our business as a whole to generate cash flow to cover expected debt service. Any changes that increase our leverage could be viewed negatively by investors and could have a material effect on our financial condition, results of operations, cash flows, the trading price of our securities and our ability to pay dividends and distributions to security holders.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and preferred equity investments could cause us to incur expenses, which could adversely affect our results of operations.</w:t>
      </w:r>
    </w:p>
    <w:p>
      <w:pPr>
        <w:spacing w:after="0" w:line="12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We held consolidated first mortgages, mezzanine loans, junior participations and preferred equity interests with an aggregate net book value of $303.7 million as of December 31, 2024. Some of these instruments may have some recourse to their sponsors, while others are limited to the collateral securing the loan. In the event of a default under these obligations, we may take possession of the collateral securing these interests. Borrowers may contest enforcement of foreclosure or other remedies, seek bankruptcy protection against such enforcement and/or bring claims for lender liability in response to actions to enforce their obligations to us. Declines in the value of the property may prevent us from realizing an amount equal to our investment upon foreclosure or realization even if we make substantial improvements or repairs to the underlying real estate in order to maximize such property's investment potential. In addition, we may invest in mortgage-backed securities and other marketable securities.</w:t>
      </w:r>
    </w:p>
    <w:p>
      <w:pPr>
        <w:spacing w:after="0" w:line="68"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Our debt and preferred equity investments are carried at the net amounts expected to be collected. We maintain and regularly evaluate the need for reserves to protect against potential future credit losses. Our reserves reflect management's judgment of the probability and severity of losses and the value of the underlying collateral. We cannot be certain that our judgment will prove to be correct and that our reserves will be adequate over time to protect against future credit losses because of unanticipated adverse changes in the economy or events adversely affecting specific properties, assets, tenants, borrowers, industries in which our tenants and borrowers operate or markets in which our tenants and borrowers or their properties are located. The ultimate resolutions may differ from our expectation, and we could suffer losses which would have a material adverse effect on our financial performance, the trading price of our securities and our ability to pay dividends and distributions to security holders.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Joint investments could be adversely affected by our lack of sole decision-making authority and reliance upon a co-venturer's financial condition.</w:t>
      </w:r>
    </w:p>
    <w:p>
      <w:pPr>
        <w:spacing w:after="0" w:line="121" w:lineRule="exact"/>
        <w:rPr>
          <w:sz w:val="20"/>
          <w:szCs w:val="20"/>
          <w:color w:val="auto"/>
        </w:rPr>
      </w:pPr>
    </w:p>
    <w:p>
      <w:pPr>
        <w:jc w:val="both"/>
        <w:ind w:firstLine="433"/>
        <w:spacing w:after="0" w:line="262" w:lineRule="auto"/>
        <w:rPr>
          <w:sz w:val="20"/>
          <w:szCs w:val="20"/>
          <w:color w:val="auto"/>
        </w:rPr>
      </w:pPr>
      <w:r>
        <w:rPr>
          <w:rFonts w:ascii="Times New Roman" w:cs="Times New Roman" w:eastAsia="Times New Roman" w:hAnsi="Times New Roman"/>
          <w:sz w:val="17"/>
          <w:szCs w:val="17"/>
          <w:color w:val="auto"/>
        </w:rPr>
        <w:t>We co-invest with third parties through partnerships, joint ventures, co-tenancies or other structures, and by acquiring non-controlling interests in, or sharing responsibility for managing the affairs of, a property, partnership, joint venture, co-tenancy or other entity. Therefore, we may not be in a position to exercise sole decision-making authority regarding such property, partnership, joint venture or other entity. Investments in partnerships, joint ventures or other entities may involve risks not present were a third party not involved, including the possibility that our partners, co-tenants or co-venturers might file for bankruptcy protection or otherwise fail to fund their share of required capital contributions. Additionally, our partners or co-venturers might at any time have economic or other business interests or goals which are competitive or inconsistent with our business interests or goals. These investments may also have the potential risk of impasses on decisions such as a sale, because neither we, nor the partner, co-tenant or co-venturer would have full control over the partnership or joint venture. In addition, we may in specific circumstances be liable for the actions of our third-party partners, co-tenants or co-venturers. As of December 31, 2024, we had an aggregate carrying value in joint ventures totaling $2.7 billion.</w:t>
      </w:r>
    </w:p>
    <w:p>
      <w:pPr>
        <w:spacing w:after="0" w:line="7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Certain of our joint venture agreements contain terms in favor of our partners that could have an adverse effect on the value of our investments in the joint ventures.</w:t>
      </w:r>
    </w:p>
    <w:p>
      <w:pPr>
        <w:spacing w:after="0" w:line="39"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Each of our joint venture agreements has been individually negotiated with our partner in the joint venture and, in some cases, we have agreed to terms that are more favorable to our partner in the joint venture than to us. For example, our partner may be entitled to a specified portion of the profits of the joint venture before we are entitled to any portion of such profits. We may also enter into similar arrangements in the future.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are dependent on external sources of capital.</w:t>
      </w:r>
    </w:p>
    <w:p>
      <w:pPr>
        <w:spacing w:after="0" w:line="121"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We need a substantial amount of capital to operate and grow our business. This need is exacerbated by the distribution requirements imposed on us for SL Green to qualify as a REIT. We therefore rely on third-party sources of capital, which may not be available on favorable terms or at all. Our access to third-party sources of capital depends on a number of things, including the market's perception of our growth potential and our current and potential future earnings. In addition, we may raise money in the public equity and debt markets and our ability to do so will depend upon the general conditions prevailing in these markets. At any time, conditions may exist which effectively prevent us, or REITs in general, from accessing these markets. Moreover, additional equity offerings may result in substantial dilution of our stockholders' interests, and additional debt financing may substantially increase our leverage.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ORGANIZATION AND STRUCTURE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depend on dividends and distributions from our direct and indirect subsidiaries.</w:t>
      </w:r>
    </w:p>
    <w:p>
      <w:pPr>
        <w:spacing w:after="0" w:line="121"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Substantially all of our assets are held through subsidiaries of our Operating Partnership. We are, therefore, dependent on the results of operations of our subsidiaries and their ability to provide us with cash, whether in the form of dividends paid through our Operating Partnership, loans or otherwise, to meet our obligations and to pay any dividends to our equity holders. Any distributions to us from those subsidiaries may be subject to contractual and other restrictions, including such subsidiaries' obligations to their creditors, and could be subject to other business and operational considerations. Additionally, our Operating Partnership's ability to distribute to us any cash that it receives from our subsidiaries will also depend on its ability to first satisfy its obligations to its creditors and make distributions payable to holders of its outstanding preferred units and any additional preferred units it may issue from time to time.</w:t>
      </w:r>
    </w:p>
    <w:p>
      <w:pPr>
        <w:spacing w:after="0" w:line="69"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In addition, our participation in any distribution of the assets of any of our direct or indirect subsidiaries upon any liquidation, reorganization or insolvency is only after the claims of the creditors, including trade creditors and preferred security holders, are satisfied.</w:t>
      </w:r>
    </w:p>
    <w:p>
      <w:pPr>
        <w:spacing w:after="0" w:line="3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Our charter documents, debt instruments and applicable law may hinder any attempt to acquire us, which could discourage takeover attempts and prevent our stockholders from receiving a premium over the market price of our stock.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Provisions of our charter and bylaws could inhibit changes in control.</w:t>
      </w:r>
    </w:p>
    <w:p>
      <w:pPr>
        <w:spacing w:after="0" w:line="123"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 change of control of our company could benefit stockholders by providing them with a premium over the then-prevailing market price of our stock. However, provisions contained in our charter and bylaws may delay or prevent a change in control of our company. These provisions, discussed more fully below, are:</w:t>
      </w:r>
    </w:p>
    <w:p>
      <w:pPr>
        <w:spacing w:after="0" w:line="57" w:lineRule="exact"/>
        <w:rPr>
          <w:sz w:val="20"/>
          <w:szCs w:val="20"/>
          <w:color w:val="auto"/>
        </w:rPr>
      </w:pPr>
    </w:p>
    <w:p>
      <w:pPr>
        <w:ind w:left="620" w:hanging="30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Ownership limitations;</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Maryland takeover statutes that may prevent a change of control of our company; and</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provisions that limit the assumption of certain of our debt.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stock ownership limit.</w:t>
      </w:r>
    </w:p>
    <w:p>
      <w:pPr>
        <w:spacing w:after="0" w:line="123"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To remain qualified as a REIT for federal income tax purposes, not more than 50% in value of our outstanding capital stock may be owned by five or fewer individuals at any time during the last half of any taxable year. For this purpose, stock may be "owned" directly, as well as indirectly under certain constructive ownership rules, including, for example, rules that attribute stock held by one shareholder to another shareholder. In part to avoid violating this rule regarding stock ownership limitations and maintain our REIT qualification, our charter prohibits direct or indirect ownership by any single stockholder of more than 9.0% in value or number of shares of our common stock. Limitations on the ownership of preferred stock may also be imposed by us.</w:t>
      </w:r>
    </w:p>
    <w:p>
      <w:pPr>
        <w:spacing w:after="0" w:line="6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Our board of directors has the discretion to raise or waive this limitation on ownership for any stockholder if deemed to be in our best interest. Our board of directors has granted such waivers from time to time. To obtain a waiver, a stockholder must present the board and our tax counsel with evidence that ownership in excess of this limit will not affect our present or future REIT status.</w:t>
      </w:r>
    </w:p>
    <w:p>
      <w:pPr>
        <w:spacing w:after="0" w:line="57"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Absent any exemption or waiver, stock acquired or held in excess of the limit on ownership will be transferred to a trust for the exclusive benefit of a designated charitable beneficiary, and the stockholder's rights to distributions and to vote would terminate. The stockholder would be entitled to receive, from the proceeds of any subsequent sale of the shares transferred to the charitable trust, the lesser of: the price paid for the stock or, if the owner did not pay for the stock, the market price of the stock on the date of the event causing the stock to be transferred to the charitable trust; and the amount realized from the sale.</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This limitation on ownership of stock could delay or prevent a change in control of our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Maryland takeover statutes may prevent a change of control of our company, which could depress our stock price.</w:t>
      </w:r>
    </w:p>
    <w:p>
      <w:pPr>
        <w:spacing w:after="0" w:line="123"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Under the Maryland General Corporation Law, or the MGCL,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4" w:lineRule="exact"/>
        <w:rPr>
          <w:sz w:val="20"/>
          <w:szCs w:val="20"/>
          <w:color w:val="auto"/>
        </w:rPr>
      </w:pPr>
    </w:p>
    <w:p>
      <w:pPr>
        <w:ind w:left="620" w:hanging="300"/>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beneficially owns 10% or more of the voting power of the corporation's outstanding voting stock; or</w:t>
      </w:r>
    </w:p>
    <w:p>
      <w:pPr>
        <w:spacing w:after="0" w:line="119" w:lineRule="exact"/>
        <w:rPr>
          <w:rFonts w:ascii="Times New Roman" w:cs="Times New Roman" w:eastAsia="Times New Roman" w:hAnsi="Times New Roman"/>
          <w:sz w:val="17"/>
          <w:szCs w:val="17"/>
          <w:color w:val="auto"/>
        </w:rPr>
      </w:pPr>
    </w:p>
    <w:p>
      <w:pPr>
        <w:ind w:left="640" w:hanging="320"/>
        <w:spacing w:after="0" w:line="297" w:lineRule="auto"/>
        <w:tabs>
          <w:tab w:leader="none" w:pos="6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affiliate or associate of the corporation who, at any time within the two year period prior to the date in question, was the beneficial owner of 10% or more of the voting power of the then outstanding voting stock of the corporation.</w:t>
      </w:r>
    </w:p>
    <w:p>
      <w:pPr>
        <w:spacing w:after="0" w:line="41"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A person is not an interested stockholder under the statute if the board of directors approves in advance the transaction by which he otherwise would have become an interested stockholder.</w:t>
      </w:r>
    </w:p>
    <w:p>
      <w:pPr>
        <w:spacing w:after="0" w:line="41"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After the five year prohibition, any business combination between the Maryland corporation and an interested stockholder generally must be recommended by the board of directors of the corporation and approved by the affirmative vote of at least:</w:t>
      </w:r>
    </w:p>
    <w:p>
      <w:pPr>
        <w:spacing w:after="0" w:line="41" w:lineRule="exact"/>
        <w:rPr>
          <w:sz w:val="20"/>
          <w:szCs w:val="20"/>
          <w:color w:val="auto"/>
        </w:rPr>
      </w:pPr>
    </w:p>
    <w:p>
      <w:pPr>
        <w:ind w:left="620" w:hanging="300"/>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 of the votes entitled to be cast by holders of outstanding shares of voting stock of the corporation, voting together as a single group; and</w:t>
      </w:r>
    </w:p>
    <w:p>
      <w:pPr>
        <w:spacing w:after="0" w:line="119" w:lineRule="exact"/>
        <w:rPr>
          <w:rFonts w:ascii="Times New Roman" w:cs="Times New Roman" w:eastAsia="Times New Roman" w:hAnsi="Times New Roman"/>
          <w:sz w:val="17"/>
          <w:szCs w:val="17"/>
          <w:color w:val="auto"/>
        </w:rPr>
      </w:pPr>
    </w:p>
    <w:p>
      <w:pPr>
        <w:ind w:left="640" w:hanging="320"/>
        <w:spacing w:after="0" w:line="297" w:lineRule="auto"/>
        <w:tabs>
          <w:tab w:leader="none" w:pos="6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4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business combination statute may discourage others from trying to acquire control of us and increase the difficulty of consummating any offer, including potential acquisitions that might involve a premium price for our common stock or otherwise be in the best interest of our stockholders.</w:t>
      </w:r>
    </w:p>
    <w:p>
      <w:pPr>
        <w:spacing w:after="0" w:line="41"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In addition, the MGCL provides that holders of "control shares" of a Maryland corporation acquired in a "control share acquisition" will not have voting rights with respect to the control shares except to the extent approved by a vote of two-thirds of the votes entitled to be cast on the matter, excluding shares of stock owned by the acquiror, by officers of the corporation or by directors who are employees of the corporation. "Control shares" means voting shares of stock that,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(i) one-tenth or more but less than one-third; (ii) one-third or more but less than a majority; or (iii) a majority or more of all voting power. A "control share acquisition" means the acquisition of ownership of, or the power to direct the exercise of voting power with respect to, issued and outstanding control shares, subject to certain exceptions.</w:t>
      </w:r>
    </w:p>
    <w:p>
      <w:pPr>
        <w:spacing w:after="0" w:line="70"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have opted out of the "business combinations" and "control shares" provisions of the MGCL by resolution of our board of directors and a provision in our bylaws, respectively. However, in the future, our board of directors may reverse its decision by resolution and elect to opt in to the MGCL's business combination provisions, or amend our bylaws and elect to opt in to the MGCL's control share provisions.</w:t>
      </w:r>
    </w:p>
    <w:p>
      <w:pPr>
        <w:spacing w:after="0" w:line="57"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Additionally, other provisions of the MGCL permit our board of directors, without stockholder approval and regardless of what is provided in our charter or bylaws, to implement certain other takeover defenses, some of which have been implemented through provisions in our charter or bylaws unrelated to the provisions of the MGCL. Such takeover defenses, to the extent implemented now or in the future, may have the effect of inhibiting a third party from making us an acquisition proposal or of delaying, deferring or preventing a change in our control under circumstances that otherwise could provide our stockholders with an opportunity to realize a premium over the then-current market price.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Contractual provisions that limit the assumption of certain of our debt may prevent a change in control.</w:t>
      </w:r>
    </w:p>
    <w:p>
      <w:pPr>
        <w:spacing w:after="0" w:line="123"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Certain of our consolidated debt is not assumable and may be subject to significant prepayment penalties. These limitations could deter a change in control of our company.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SL Green's failure to qualify as a REIT would be costly and would have a significant effect on the value of our securities.</w:t>
      </w:r>
    </w:p>
    <w:p>
      <w:pPr>
        <w:spacing w:after="0" w:line="121"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We believe we have operated in a manner for SL Green to qualify as a REIT for federal income tax purposes and intend to continue to so operate. Many of the REIT compliance requirements, however, are highly technical and complex. The determination that SL Green is a REIT requires an analysis of factual matters and circumstances. These matters, some of which are not totally within our control, can affect SL Green's qualification as a REIT. For example, to qualify as a REIT, at least 95% of our gross income must come from designated sources that are listed in the applicable tax laws. We are also required to distribute to stockholders at least 90% of our REIT taxable income excluding capital gains. The fact that we hold our assets through the Operating Partnership and its subsidiaries further complicates the application of the REIT requirements. Even a technical or inadvertent mistake could jeopardize our REIT status. Furthermore, Congress and the Internal Revenue Service, or the IRS, might make changes to the tax laws and regulations that make it more difficult, or impossible, for us to remain qualified as a REIT.</w:t>
      </w:r>
    </w:p>
    <w:p>
      <w:pPr>
        <w:spacing w:after="0" w:line="284"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If SL Green fails to qualify as a REIT, the funds available for distribution to our stockholders would be substantially reduced as we would not be allowed a deduction for dividends paid to our stockholders in computing our taxable income and would be subject to federal income tax at regular corporate rates and possibly increased state and local taxes.</w:t>
      </w:r>
    </w:p>
    <w:p>
      <w:pPr>
        <w:spacing w:after="0" w:line="57"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Also, unless the IRS grants us relief under specific statutory provisions, SL Green would remain disqualified as a REIT for four years following the year in which SL Green first failed to qualify. If SL Green failed to qualify as a REIT, SL Green would have to pay significant income taxes and would therefore have less money available for investments, to service debt obligations or to pay dividends and distributions to security holders. This would have a significant adverse effect on the value of our securities. In addition, the REIT tax laws would no longer obligate us to make any distributions to stockholders. As a result of all these factors, if SL Green fails to qualify as a REIT, this could impair our ability to expand our business and raise capital.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in the future pay taxable dividends on our common stock in common stock and cash.</w:t>
      </w:r>
    </w:p>
    <w:p>
      <w:pPr>
        <w:spacing w:after="0" w:line="12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In order to qualify as a REIT, we are required to annually distribute to our stockholders at least 90% of our REIT taxable income, excluding net capital gains. In order to avoid taxation of our income, we are required to annually distribute to our stockholders all of our taxable income, including net capital gains. In order to satisfy these requirements, we have, and in the future may make distributions that are payable partly in cash and partly in shares of our common stock. If we pay such a dividend, taxable stockholders would be required to include the entire amount of the dividend, including the portion paid with shares of common stock, as income to the extent of our current and accumulated earnings and profits, and may be required to pay income taxes with respect to such dividends in excess of the cash dividends received.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LEGAL AND REGULATORY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incur costs to comply with governmental laws and regulations.</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are subject to various federal, state and local environmental and health and safety laws that can impose liability on current and former property owners or operators for the clean-up of certain hazardous substances released on a property or of contamination at any facility (e.g., a landfill) to which we have sent hazardous substances for treatment or disposal, without regard to fault or whether the release or disposal was in compliance with law. Being held responsible for such a clean-up could result in significant cost to us and have a material adverse effect on our financial condition and results of operations.</w:t>
      </w:r>
    </w:p>
    <w:p>
      <w:pPr>
        <w:spacing w:after="0" w:line="6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Our properties may be subject to risks relating to current or future laws, including laws benefiting disabled persons, such as the Americans with Disabilities Act, and state or local zoning, construction or other regulations. Compliance with such laws may require significant property modifications in the future, which could be costly. Non-compliance could result in fines being levied against us in the future.</w:t>
      </w:r>
    </w:p>
    <w:p>
      <w:pPr>
        <w:spacing w:after="0" w:line="5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Compliance with changing or new regulations applicable to corporate governance and public disclosure may result in additional expenses, or affect our operations.</w:t>
      </w:r>
    </w:p>
    <w:p>
      <w:pPr>
        <w:spacing w:after="0" w:line="39"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Changing or new laws, regulations and standards relating to corporate governance and public disclosure, including SEC regulations and NYSE rules, can create uncertainty for public companies. These changed or new laws, regulations and standards are subject to varying interpretations in many cases due to their lack of specificity.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We are committed to maintaining high standards of corporate governance and public disclosure. If our efforts to comply with new or changed laws, regulations and standards differ from the activities intended by regulatory or governing bodies due to ambiguities related to practice, our reputation may be harmed.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Our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our continued efforts to comply with Section 404 of the Sarbanes-Oxley Act of 2002 and the related regulations regarding our required assessment of our internal controls over financial reporting and our external auditors' audit of that assessment have required the commitment of significant financial and managerial resources. We expect these efforts to require the continued commitment of significant resources. Further, our directors, chief executive officer and chief financial officer could face an increased risk of personal liability in connection with the performance of their duties. As a result, we may have difficulty attracting and retaining qualified directors and executive officers, which could harm our business.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property taxes could increase due to reassessment or property tax rate changes.</w:t>
      </w:r>
    </w:p>
    <w:p>
      <w:pPr>
        <w:spacing w:after="0" w:line="121" w:lineRule="exact"/>
        <w:rPr>
          <w:sz w:val="20"/>
          <w:szCs w:val="20"/>
          <w:color w:val="auto"/>
        </w:rPr>
      </w:pPr>
    </w:p>
    <w:p>
      <w:pPr>
        <w:jc w:val="both"/>
        <w:ind w:firstLine="433"/>
        <w:spacing w:after="0" w:line="274" w:lineRule="auto"/>
        <w:rPr>
          <w:sz w:val="20"/>
          <w:szCs w:val="20"/>
          <w:color w:val="auto"/>
        </w:rPr>
      </w:pPr>
      <w:r>
        <w:rPr>
          <w:rFonts w:ascii="Times New Roman" w:cs="Times New Roman" w:eastAsia="Times New Roman" w:hAnsi="Times New Roman"/>
          <w:sz w:val="17"/>
          <w:szCs w:val="17"/>
          <w:color w:val="auto"/>
        </w:rPr>
        <w:t>We are required to pay real property taxes or payments in lieu of taxes in respect of our properties and such taxes may increase as our properties are reassessed by taxing authorities or as property tax rates change. An increase in the assessed value of our properties or our property tax rates could adversely impact our financial condition, results of operations and our ability to satisfy our debt service obligations and to pay dividends and distributions to our security holders.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trading price of our common stock has been and may continue to be subject to wide fluctuations.</w:t>
      </w:r>
    </w:p>
    <w:p>
      <w:pPr>
        <w:spacing w:after="0" w:line="121" w:lineRule="exact"/>
        <w:rPr>
          <w:sz w:val="20"/>
          <w:szCs w:val="20"/>
          <w:color w:val="auto"/>
        </w:rPr>
      </w:pPr>
    </w:p>
    <w:p>
      <w:pPr>
        <w:jc w:val="both"/>
        <w:ind w:firstLine="433"/>
        <w:spacing w:after="0" w:line="274" w:lineRule="auto"/>
        <w:rPr>
          <w:sz w:val="20"/>
          <w:szCs w:val="20"/>
          <w:color w:val="auto"/>
        </w:rPr>
      </w:pPr>
      <w:r>
        <w:rPr>
          <w:rFonts w:ascii="Times New Roman" w:cs="Times New Roman" w:eastAsia="Times New Roman" w:hAnsi="Times New Roman"/>
          <w:sz w:val="17"/>
          <w:szCs w:val="17"/>
          <w:color w:val="auto"/>
        </w:rPr>
        <w:t>Between January 1, 2024 and December 31, 2024, the closing sale price of our common stock on the New York Stock Exchange, or the NYSE, ranged from $42.45 to $81.13 per share. Our stock price may fluctuate in response to a number of events and factors, such as those described elsewhere in this "Risk Factors" section. Equity issuances or buybacks by us or the perception that such issuances or buybacks may occur may also affect the market price of our common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Future issuances of common stock, preferred stock or convertible debt could dilute existing stockholders' interests.</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Our charter authorizes our Board of Directors to issue additional shares of common stock, preferred stock and convertible equity or debt without stockholder approval and without the requirement to offer rights of pre-emption to existing stockholders. Any such issuance could dilute our existing stockholders' interests. Also, any future series of preferred stock may have voting provisions that could delay or prevent a change of control of our company.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market conditions could adversely affect the market price of our common stock.</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As with other publicly traded equity securities, the value of our common stock depends on various market conditions, which may change from time to time. In addition to the current economic environment and future volatility in the securities and credit markets, the following market conditions may affect the value of our common stock:</w:t>
      </w:r>
    </w:p>
    <w:p>
      <w:pPr>
        <w:spacing w:after="0" w:line="57" w:lineRule="exact"/>
        <w:rPr>
          <w:sz w:val="20"/>
          <w:szCs w:val="20"/>
          <w:color w:val="auto"/>
        </w:rPr>
      </w:pPr>
    </w:p>
    <w:p>
      <w:pPr>
        <w:ind w:left="640" w:hanging="320"/>
        <w:spacing w:after="0" w:line="297"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general reputation of REITs and the attractiveness of our equity securities in comparison to other equity securities, including securities issued by other real estate-based companies;</w:t>
      </w:r>
    </w:p>
    <w:p>
      <w:pPr>
        <w:spacing w:after="0" w:line="40"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 and</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stock and bond market conditions.</w:t>
      </w:r>
    </w:p>
    <w:p>
      <w:pPr>
        <w:spacing w:after="0" w:line="119"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market value of our common stock is based on a number of factors including, but not limited to, the market's perception of the current and future value of our assets, our growth potential and our current and potential future earnings and cash dividends. Consequently, our common stock may trade at prices that are higher or lower than our net asset value per share of common stock.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to U.S. federal income tax laws could materially and adversely affect us and our stockholders.</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U.S. federal income tax laws and the rules dealing with U.S. federal income taxation are continually under review by Congress, the IRS, and the U.S. Department of the Treasury. Any such changes could have an adverse effect on an investment in our shares or on the market value or the resale potential of our assets.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Loss of key personnel could harm our operations and our stock price.</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are dependent on the efforts of Marc Holliday, our chairman, chief executive officer and interim president. Mr. Holliday entered into a new employment agreement in December 2024, which expires in July 2028. A loss of Mr. Holliday's services could adversely affect our operations and could be negatively perceived by the market resulting in a decrease in our stock price.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and operations would suffer in the event of system failures or cyber security attacks.</w:t>
      </w:r>
    </w:p>
    <w:p>
      <w:pPr>
        <w:spacing w:after="0" w:line="121" w:lineRule="exact"/>
        <w:rPr>
          <w:sz w:val="20"/>
          <w:szCs w:val="20"/>
          <w:color w:val="auto"/>
        </w:rPr>
      </w:pPr>
    </w:p>
    <w:p>
      <w:pPr>
        <w:jc w:val="both"/>
        <w:ind w:firstLine="433"/>
        <w:spacing w:after="0" w:line="260" w:lineRule="auto"/>
        <w:rPr>
          <w:sz w:val="20"/>
          <w:szCs w:val="20"/>
          <w:color w:val="auto"/>
        </w:rPr>
      </w:pPr>
      <w:r>
        <w:rPr>
          <w:rFonts w:ascii="Times New Roman" w:cs="Times New Roman" w:eastAsia="Times New Roman" w:hAnsi="Times New Roman"/>
          <w:sz w:val="17"/>
          <w:szCs w:val="17"/>
          <w:color w:val="auto"/>
        </w:rPr>
        <w:t>Despite system redundancy, the implementation of security measures and the preparation of a disaster data recovery plan, our internal information technology (“IT”) networks and third-party systems on which we rely are vulnerable to a number of risks including energy blackouts, natural disasters, terrorism, war, telecommunication failures and cyber attacks and intrusions, such as phishing attacks, ransomware, data breaches and unauthorized access, including from persons inside our organization or from persons outside our organization with access to our systems. The risk of a security breach or disruption, particularly through cyber attacks and intrusions, including by hackers, foreign governments and cyber terrorists, has generally increased as the number, intensity and sophistication of attempted attacks and intrusions from around the world have increased. Like other businesses, we have experienced cyber incidents in the past, which were not individually, or in the aggregate, material, and we may be subject to cyber attacks in the future. Our systems are critical to the operation of our business, as well as certain of our tenants, and a system failure, accident or security breach could result in a material disruption to our business and operations. We have and may also incur additional costs to remedy damages caused by such disruptions. Although we make efforts to maintain the security and integrity of our systems and have implemented various measures designed to manage the risk of a security breach or disruption, there can be no assurance that our security efforts and measures will be effective or that attempted security breaches or disruptions would not be successful or damaging. Any compromise of our security could also result in a violation of applicable privacy and other laws, significant legal and financial exposure, damage to our reputation and relationships with tenants and vendors, loss or misappropriation of data (which may be confidential, proprietary and/or commercially sensitive in nature) and a loss of confidence in our security measures, which could harm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 may prove inaccurate.</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See Item 7, "Management's Discussion and Analysis of Financial Condition and Results of Operations—Forward-looking Information," for additional disclosure regarding forward-looking statements.</w:t>
      </w:r>
    </w:p>
    <w:p>
      <w:pPr>
        <w:spacing w:after="0" w:line="3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2024, we did not have any unresolved comments with the staff of the SEC.</w:t>
      </w:r>
    </w:p>
    <w:p>
      <w:pPr>
        <w:spacing w:after="0" w:line="1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14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Company's business and proprietary information, information technology and operational technology assets are important to its success. The Company's cybersecurity program is designed to protect its information assets and operations from external and internal cyber threats by seeking to mitigate and manage risks while helping to ensure business resilience. The program is applied across all levels of the Company.</w:t>
      </w:r>
    </w:p>
    <w:p>
      <w:pPr>
        <w:spacing w:after="0" w:line="57"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The Company takes a risk-based approach to cybersecurity and has implemented policies that are designed to address cybersecurity threats and incidents, including those related to third-party service providers. The Company assesses risks from cybersecurity threats, monitors its information systems for potential vulnerabilities and tests those systems pursuant to the Company's cybersecurity standards, processes and practices, as part of the Company's overall risk management system. The Company also leverages external resources and advisors as needed to reinforce its cybersecurity capacity. External consultants perform testing exercises to further assess the Company's cybersecurity program on an annual basis, or more frequently if circumstances warrant such testing.</w:t>
      </w:r>
    </w:p>
    <w:p>
      <w:pPr>
        <w:spacing w:after="0" w:line="6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Company's cybersecurity strategy is guided by prioritized risk, the National Institute for Standards and Technology (NIST) Cybersecurity Framework, and emerging business needs. The Company maintains a cybersecurity incident response plan, as well as a monitoring program, to support senior leadership and the Board.</w:t>
      </w:r>
    </w:p>
    <w:p>
      <w:pPr>
        <w:spacing w:after="0" w:line="5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Company's cybersecurity team manages its incident response plan and monitoring program. Company employees are provided cybersecurity awareness training, which includes topics on the Company's policies and procedures for reporting potential incidents. The Company's cybersecurity team is focused on evaluating emerging risks, regulations, and compliance matters and updating the policies and procedures accordingly.</w:t>
      </w:r>
    </w:p>
    <w:p>
      <w:pPr>
        <w:spacing w:after="0" w:line="57"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To date, cybersecurity risks, including as a result of any previous cybersecurity incidents, have not materially affected and we believe are not reasonably likely to affect the Company, including its business strategy, results of operations or financial condition. Refer to the risk factor captioned “Our business and operations would suffer in the event of system failures or cyber security attacks” in Part I, Item 1A. “Risk Factors” for additional description of cybersecurity risks and potential related impacts on the Company.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Board oversees the Company's risk management process directly and through its committees. Pursuant to the Audit Committee Charter, the Audit Committee of the Board provides compliance oversight to the Company's risk assessment and risk management policies and the steps management has taken to monitor and mitigate such exposures and risks.</w:t>
      </w:r>
    </w:p>
    <w:p>
      <w:pPr>
        <w:spacing w:after="0" w:line="57"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The Company's Senior Director, Information Security &amp; Network Systems, in coordination with the Senior Vice President, Information Technology, is responsible for leading the assessment and management of cybersecurity risks. The Senior Director, Information Security &amp; Network Systems and Senior Vice President, Information Technology regularly review and assess cybersecurity initiatives and are informed about and monitor the prevention, detection, mitigation, and remediation of cybersecurity incidents through briefings with internal and external personnel as well as alerts from security measures deployed in the Company's IT environment. These individuals collectively have over 30 years of experience in information security. The Senior Vice President, Information Technology reports to the Board, the Audit Committee and management on cybersecurity risk assessment, policies, incident prevention, detection, mitigation, and remediation of cybersecurity incidents on an as needed basis.</w:t>
      </w:r>
    </w:p>
    <w:p>
      <w:pPr>
        <w:spacing w:after="0" w:line="9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Portfolio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149"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As of December 31, 2024, we owned or held interests in 15 consolidated commercial office buildings encompassing approximately 9.6 million rentable square feet and 9 unconsolidated commercial office buildings encompassing approximately 12.2 million rentable square feet located primarily in midtown Manhattan. Many of these buildings include some amount of retail space on the lower floors, as well as basement/storage space. As of December 31, 2024, our portfolio also included ownership interests in one consolidated property, encompassing seven commercial office buildings totaling approximately 0.9 million rentable square feet, in Stamford Connecticut, which we refer to as our Suburban property. Some of these buildings also include a small amount of retail space on the lower floors, as well as basement/storage space.</w:t>
      </w:r>
    </w:p>
    <w:p>
      <w:pPr>
        <w:spacing w:after="0" w:line="108"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As of December 31, 2024, we also owned or held interests in three prime retail properties encompassing approximately 43.4 thousand square feet, three buildings in differing stages of development or redevelopment encompassing approximately 2.3 million square feet, and two residential building encompassing 209 residential units and 484 dormitory beds, respectively, encompassing approximately 0.4 million square feet. In addition, we manage one office building and one retail building owned by a third party encompassing approximately 0.4 million square feet and held debt and preferred equity investments with a book value of $303.7 million, excluding $9.7 million of investments recorded in balance sheet line items other than the Debt and preferred equity investments line item.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tables set forth certain information with respect to each of the Manhattan and Suburban office, prime retail, residential, development and redevelopment properties in the portfolio as of December 31, 2024 (dollars in thousands):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Annualized</w:t>
            </w:r>
          </w:p>
        </w:tc>
        <w:tc>
          <w:tcPr>
            <w:tcW w:w="10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Annualized</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2"/>
                <w:szCs w:val="12"/>
                <w:b w:val="1"/>
                <w:bCs w:val="1"/>
                <w:color w:val="auto"/>
                <w:w w:val="99"/>
              </w:rPr>
              <w:t>Contractual</w:t>
            </w: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2"/>
                <w:szCs w:val="12"/>
                <w:b w:val="1"/>
                <w:bCs w:val="1"/>
                <w:color w:val="auto"/>
              </w:rPr>
              <w:t>Contractual</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61"/>
        </w:trPr>
        <w:tc>
          <w:tcPr>
            <w:tcW w:w="220" w:type="dxa"/>
            <w:vAlign w:val="bottom"/>
          </w:tcPr>
          <w:p>
            <w:pPr>
              <w:spacing w:after="0"/>
              <w:rPr>
                <w:sz w:val="14"/>
                <w:szCs w:val="14"/>
                <w:color w:val="auto"/>
              </w:rPr>
            </w:pPr>
          </w:p>
        </w:tc>
        <w:tc>
          <w:tcPr>
            <w:tcW w:w="2580" w:type="dxa"/>
            <w:vAlign w:val="bottom"/>
            <w:vMerge w:val="restart"/>
          </w:tcPr>
          <w:p>
            <w:pPr>
              <w:ind w:left="860"/>
              <w:spacing w:after="0"/>
              <w:rPr>
                <w:sz w:val="20"/>
                <w:szCs w:val="20"/>
                <w:color w:val="auto"/>
              </w:rPr>
            </w:pPr>
            <w:r>
              <w:rPr>
                <w:rFonts w:ascii="Times New Roman" w:cs="Times New Roman" w:eastAsia="Times New Roman" w:hAnsi="Times New Roman"/>
                <w:sz w:val="12"/>
                <w:szCs w:val="12"/>
                <w:b w:val="1"/>
                <w:bCs w:val="1"/>
                <w:color w:val="auto"/>
              </w:rPr>
              <w:t>Properties</w:t>
            </w:r>
          </w:p>
        </w:tc>
        <w:tc>
          <w:tcPr>
            <w:tcW w:w="940" w:type="dxa"/>
            <w:vAlign w:val="bottom"/>
            <w:vMerge w:val="continue"/>
          </w:tcPr>
          <w:p>
            <w:pPr>
              <w:spacing w:after="0"/>
              <w:rPr>
                <w:sz w:val="14"/>
                <w:szCs w:val="14"/>
                <w:color w:val="auto"/>
              </w:rPr>
            </w:pPr>
          </w:p>
        </w:tc>
        <w:tc>
          <w:tcPr>
            <w:tcW w:w="1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2"/>
                <w:szCs w:val="12"/>
                <w:b w:val="1"/>
                <w:bCs w:val="1"/>
                <w:color w:val="auto"/>
              </w:rPr>
              <w:t>SubMarket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Square Feet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Occupied</w:t>
            </w:r>
          </w:p>
        </w:tc>
        <w:tc>
          <w:tcPr>
            <w:tcW w:w="78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Leased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Cash</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Cash Rent SLG</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2580" w:type="dxa"/>
            <w:vAlign w:val="bottom"/>
            <w:vMerge w:val="continue"/>
          </w:tcPr>
          <w:p>
            <w:pPr>
              <w:spacing w:after="0"/>
              <w:rPr>
                <w:sz w:val="11"/>
                <w:szCs w:val="11"/>
                <w:color w:val="auto"/>
              </w:rPr>
            </w:pPr>
          </w:p>
        </w:tc>
        <w:tc>
          <w:tcPr>
            <w:tcW w:w="9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Interest (%)</w:t>
            </w:r>
          </w:p>
        </w:tc>
        <w:tc>
          <w:tcPr>
            <w:tcW w:w="1920" w:type="dxa"/>
            <w:vAlign w:val="bottom"/>
            <w:gridSpan w:val="2"/>
            <w:vMerge w:val="continue"/>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1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(2)</w:t>
            </w:r>
          </w:p>
        </w:tc>
        <w:tc>
          <w:tcPr>
            <w:tcW w:w="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rPr>
              <w:t>Rent ($'s)</w:t>
            </w: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rPr>
              <w:t>Share ($'s)</w:t>
            </w: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6"/>
              </w:rPr>
              <w:t>Tenants</w:t>
            </w:r>
          </w:p>
        </w:tc>
        <w:tc>
          <w:tcPr>
            <w:tcW w:w="0" w:type="dxa"/>
            <w:vAlign w:val="bottom"/>
          </w:tcPr>
          <w:p>
            <w:pPr>
              <w:spacing w:after="0"/>
              <w:rPr>
                <w:sz w:val="1"/>
                <w:szCs w:val="1"/>
                <w:color w:val="auto"/>
              </w:rPr>
            </w:pPr>
          </w:p>
        </w:tc>
      </w:tr>
      <w:tr>
        <w:trPr>
          <w:trHeight w:val="164"/>
        </w:trPr>
        <w:tc>
          <w:tcPr>
            <w:tcW w:w="37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MANHATTAN CONSOLIDATED OFFICE PROPERTIES</w:t>
            </w:r>
          </w:p>
        </w:tc>
        <w:tc>
          <w:tcPr>
            <w:tcW w:w="1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"Same Store"</w:t>
            </w:r>
          </w:p>
        </w:tc>
        <w:tc>
          <w:tcPr>
            <w:tcW w:w="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 East 53rd Street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Plaza District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354,300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97.6</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98.1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33,872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33,872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39</w:t>
            </w: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100</w:t>
            </w:r>
          </w:p>
        </w:tc>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Church Street</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Downtown</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1,047,500</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86.9</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46,125</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19</w:t>
            </w:r>
          </w:p>
        </w:tc>
        <w:tc>
          <w:tcPr>
            <w:tcW w:w="0" w:type="dxa"/>
            <w:vAlign w:val="bottom"/>
          </w:tcPr>
          <w:p>
            <w:pPr>
              <w:spacing w:after="0"/>
              <w:rPr>
                <w:sz w:val="1"/>
                <w:szCs w:val="1"/>
                <w:color w:val="auto"/>
              </w:rPr>
            </w:pPr>
          </w:p>
        </w:tc>
      </w:tr>
      <w:tr>
        <w:trPr>
          <w:trHeight w:val="176"/>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100</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Park Avenue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50.0</w:t>
            </w:r>
          </w:p>
        </w:tc>
        <w:tc>
          <w:tcPr>
            <w:tcW w:w="1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Grand Central South</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834,000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60.8</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20,147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33</w:t>
            </w:r>
          </w:p>
        </w:tc>
        <w:tc>
          <w:tcPr>
            <w:tcW w:w="0" w:type="dxa"/>
            <w:vAlign w:val="bottom"/>
          </w:tcPr>
          <w:p>
            <w:pPr>
              <w:spacing w:after="0"/>
              <w:rPr>
                <w:sz w:val="1"/>
                <w:szCs w:val="1"/>
                <w:color w:val="auto"/>
              </w:rPr>
            </w:pPr>
          </w:p>
        </w:tc>
      </w:tr>
      <w:tr>
        <w:trPr>
          <w:trHeight w:val="165"/>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110 Greene Street</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Soho</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223,600</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89.3</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18,145</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55</w:t>
            </w:r>
          </w:p>
        </w:tc>
        <w:tc>
          <w:tcPr>
            <w:tcW w:w="0" w:type="dxa"/>
            <w:vAlign w:val="bottom"/>
          </w:tcPr>
          <w:p>
            <w:pPr>
              <w:spacing w:after="0"/>
              <w:rPr>
                <w:sz w:val="1"/>
                <w:szCs w:val="1"/>
                <w:color w:val="auto"/>
              </w:rPr>
            </w:pPr>
          </w:p>
        </w:tc>
      </w:tr>
      <w:tr>
        <w:trPr>
          <w:trHeight w:val="176"/>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125</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Park Avenue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Grand Central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604,245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95.7</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46,465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23</w:t>
            </w: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304</w:t>
            </w:r>
          </w:p>
        </w:tc>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Park Avenue South</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Midtown South</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215,000</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18,741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18,741</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0" w:type="dxa"/>
            <w:vAlign w:val="bottom"/>
          </w:tcPr>
          <w:p>
            <w:pPr>
              <w:spacing w:after="0"/>
              <w:rPr>
                <w:sz w:val="1"/>
                <w:szCs w:val="1"/>
                <w:color w:val="auto"/>
              </w:rPr>
            </w:pPr>
          </w:p>
        </w:tc>
      </w:tr>
      <w:tr>
        <w:trPr>
          <w:trHeight w:val="176"/>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420</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Lexington Ave (Graybar)</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Grand Central North</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1,188,000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86.9</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82,350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170</w:t>
            </w: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461</w:t>
            </w:r>
          </w:p>
        </w:tc>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Fifth Avenue</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Midtown</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200,000</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98.2</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17,673</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18</w:t>
            </w:r>
          </w:p>
        </w:tc>
        <w:tc>
          <w:tcPr>
            <w:tcW w:w="0" w:type="dxa"/>
            <w:vAlign w:val="bottom"/>
          </w:tcPr>
          <w:p>
            <w:pPr>
              <w:spacing w:after="0"/>
              <w:rPr>
                <w:sz w:val="1"/>
                <w:szCs w:val="1"/>
                <w:color w:val="auto"/>
              </w:rPr>
            </w:pPr>
          </w:p>
        </w:tc>
      </w:tr>
      <w:tr>
        <w:trPr>
          <w:trHeight w:val="176"/>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485</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Lexington Avenue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Grand Central North</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921,000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78.9</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48,211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48,211</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33</w:t>
            </w: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555</w:t>
            </w:r>
          </w:p>
        </w:tc>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West 57th Street</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Midtown West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941,000</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88.1</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51,890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51,890</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0" w:type="dxa"/>
            <w:vAlign w:val="bottom"/>
          </w:tcPr>
          <w:p>
            <w:pPr>
              <w:spacing w:after="0"/>
              <w:rPr>
                <w:sz w:val="1"/>
                <w:szCs w:val="1"/>
                <w:color w:val="auto"/>
              </w:rPr>
            </w:pPr>
          </w:p>
        </w:tc>
      </w:tr>
      <w:tr>
        <w:trPr>
          <w:trHeight w:val="17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711 Third Avenue</w:t>
            </w:r>
          </w:p>
        </w:tc>
        <w:tc>
          <w:tcPr>
            <w:tcW w:w="9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100.0 (4)</w:t>
            </w:r>
          </w:p>
        </w:tc>
        <w:tc>
          <w:tcPr>
            <w:tcW w:w="1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Grand Central North</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93.7</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33,735</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w:t>
            </w: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810</w:t>
            </w:r>
          </w:p>
        </w:tc>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Seventh Avenue</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Times Square</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692,000</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80.6</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41,795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41,795</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44</w:t>
            </w:r>
          </w:p>
        </w:tc>
        <w:tc>
          <w:tcPr>
            <w:tcW w:w="0" w:type="dxa"/>
            <w:vAlign w:val="bottom"/>
          </w:tcPr>
          <w:p>
            <w:pPr>
              <w:spacing w:after="0"/>
              <w:rPr>
                <w:sz w:val="1"/>
                <w:szCs w:val="1"/>
                <w:color w:val="auto"/>
              </w:rPr>
            </w:pPr>
          </w:p>
        </w:tc>
      </w:tr>
      <w:tr>
        <w:trPr>
          <w:trHeight w:val="17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1185 Avenue of the Americas</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Rockefeller Center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75.0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68,903</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0" w:type="dxa"/>
            <w:vAlign w:val="bottom"/>
          </w:tcPr>
          <w:p>
            <w:pPr>
              <w:spacing w:after="0"/>
              <w:rPr>
                <w:sz w:val="1"/>
                <w:szCs w:val="1"/>
                <w:color w:val="auto"/>
              </w:rPr>
            </w:pPr>
          </w:p>
        </w:tc>
      </w:tr>
      <w:tr>
        <w:trPr>
          <w:trHeight w:val="165"/>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1350 Avenue of the Americas</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Rockefeller Center</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562,000</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78.5</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35,732</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45</w:t>
            </w:r>
          </w:p>
        </w:tc>
        <w:tc>
          <w:tcPr>
            <w:tcW w:w="0" w:type="dxa"/>
            <w:vAlign w:val="bottom"/>
          </w:tcPr>
          <w:p>
            <w:pPr>
              <w:spacing w:after="0"/>
              <w:rPr>
                <w:sz w:val="1"/>
                <w:szCs w:val="1"/>
                <w:color w:val="auto"/>
              </w:rPr>
            </w:pPr>
          </w:p>
        </w:tc>
      </w:tr>
      <w:tr>
        <w:trPr>
          <w:trHeight w:val="17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Added to Same Store in 2024</w:t>
            </w:r>
          </w:p>
        </w:tc>
        <w:tc>
          <w:tcPr>
            <w:tcW w:w="9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885</w:t>
            </w:r>
          </w:p>
        </w:tc>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Third Avenue</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Midtown/Plaza District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218,796</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74.5</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74.5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10,081</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10,081</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0" w:type="dxa"/>
            <w:vAlign w:val="bottom"/>
          </w:tcPr>
          <w:p>
            <w:pPr>
              <w:spacing w:after="0"/>
              <w:rPr>
                <w:sz w:val="1"/>
                <w:szCs w:val="1"/>
                <w:color w:val="auto"/>
              </w:rPr>
            </w:pPr>
          </w:p>
        </w:tc>
      </w:tr>
      <w:tr>
        <w:trPr>
          <w:trHeight w:val="169"/>
        </w:trPr>
        <w:tc>
          <w:tcPr>
            <w:tcW w:w="280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Subtotal / Weighted Average</w:t>
            </w:r>
          </w:p>
        </w:tc>
        <w:tc>
          <w:tcPr>
            <w:tcW w:w="94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9,587,441</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83.3%</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89.2%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594,012</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573,865</w:t>
            </w: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544</w:t>
            </w:r>
          </w:p>
        </w:tc>
        <w:tc>
          <w:tcPr>
            <w:tcW w:w="0" w:type="dxa"/>
            <w:vAlign w:val="bottom"/>
          </w:tcPr>
          <w:p>
            <w:pPr>
              <w:spacing w:after="0"/>
              <w:rPr>
                <w:sz w:val="1"/>
                <w:szCs w:val="1"/>
                <w:color w:val="auto"/>
              </w:rPr>
            </w:pPr>
          </w:p>
        </w:tc>
      </w:tr>
      <w:tr>
        <w:trPr>
          <w:trHeight w:val="105"/>
        </w:trPr>
        <w:tc>
          <w:tcPr>
            <w:tcW w:w="3740" w:type="dxa"/>
            <w:vAlign w:val="bottom"/>
            <w:tcBorders>
              <w:bottom w:val="single" w:sz="8" w:color="CCEEFF"/>
            </w:tcBorders>
            <w:gridSpan w:val="3"/>
          </w:tcPr>
          <w:p>
            <w:pPr>
              <w:spacing w:after="0"/>
              <w:rPr>
                <w:sz w:val="9"/>
                <w:szCs w:val="9"/>
                <w:color w:val="auto"/>
              </w:rPr>
            </w:pPr>
          </w:p>
        </w:tc>
        <w:tc>
          <w:tcPr>
            <w:tcW w:w="18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7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Total / Weighted Average Manhattan Consolidated Office Properties</w:t>
            </w:r>
          </w:p>
        </w:tc>
        <w:tc>
          <w:tcPr>
            <w:tcW w:w="1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9,587,441</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83.3%</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89.2%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594,012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573,865</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544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gridSpan w:val="3"/>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MANHATTAN UNCONSOLIDATED OFFICE PROPERTIES</w:t>
            </w: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"Same Store"</w:t>
            </w:r>
          </w:p>
        </w:tc>
        <w:tc>
          <w:tcPr>
            <w:tcW w:w="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One Vanderbilt Avenue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60.0</w:t>
            </w:r>
          </w:p>
        </w:tc>
        <w:tc>
          <w:tcPr>
            <w:tcW w:w="1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Grand Central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1,657,198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99.4</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287,129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172,277</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40</w:t>
            </w:r>
          </w:p>
        </w:tc>
        <w:tc>
          <w:tcPr>
            <w:tcW w:w="0" w:type="dxa"/>
            <w:vAlign w:val="bottom"/>
          </w:tcPr>
          <w:p>
            <w:pPr>
              <w:spacing w:after="0"/>
              <w:rPr>
                <w:sz w:val="1"/>
                <w:szCs w:val="1"/>
                <w:color w:val="auto"/>
              </w:rPr>
            </w:pPr>
          </w:p>
        </w:tc>
      </w:tr>
      <w:tr>
        <w:trPr>
          <w:trHeight w:val="165"/>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11 Madison Avenue</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60.0</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Park Avenue South</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2,314,000</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96.1</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172,839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103,704</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0" w:type="dxa"/>
            <w:vAlign w:val="bottom"/>
          </w:tcPr>
          <w:p>
            <w:pPr>
              <w:spacing w:after="0"/>
              <w:rPr>
                <w:sz w:val="1"/>
                <w:szCs w:val="1"/>
                <w:color w:val="auto"/>
              </w:rPr>
            </w:pPr>
          </w:p>
        </w:tc>
      </w:tr>
      <w:tr>
        <w:trPr>
          <w:trHeight w:val="176"/>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220</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East 42nd Street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51.0</w:t>
            </w:r>
          </w:p>
        </w:tc>
        <w:tc>
          <w:tcPr>
            <w:tcW w:w="1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Grand Central</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1,135,000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89.0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69,332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35,359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31</w:t>
            </w: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280</w:t>
            </w:r>
          </w:p>
        </w:tc>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Park Avenue</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50.0</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Park Avenue</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1,219,158</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89.0</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121,544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60,772</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33</w:t>
            </w:r>
          </w:p>
        </w:tc>
        <w:tc>
          <w:tcPr>
            <w:tcW w:w="0" w:type="dxa"/>
            <w:vAlign w:val="bottom"/>
          </w:tcPr>
          <w:p>
            <w:pPr>
              <w:spacing w:after="0"/>
              <w:rPr>
                <w:sz w:val="1"/>
                <w:szCs w:val="1"/>
                <w:color w:val="auto"/>
              </w:rPr>
            </w:pPr>
          </w:p>
        </w:tc>
      </w:tr>
      <w:tr>
        <w:trPr>
          <w:trHeight w:val="176"/>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800</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Third Avenue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60.5</w:t>
            </w:r>
          </w:p>
        </w:tc>
        <w:tc>
          <w:tcPr>
            <w:tcW w:w="1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Grand Central North</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526,000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84.6</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32,995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19,962</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43</w:t>
            </w: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919</w:t>
            </w:r>
          </w:p>
        </w:tc>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Third Avenue</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51.0</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Grand Central North</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1,454,000</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80.9</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82,200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41,922</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0" w:type="dxa"/>
            <w:vAlign w:val="bottom"/>
          </w:tcPr>
          <w:p>
            <w:pPr>
              <w:spacing w:after="0"/>
              <w:rPr>
                <w:sz w:val="1"/>
                <w:szCs w:val="1"/>
                <w:color w:val="auto"/>
              </w:rPr>
            </w:pPr>
          </w:p>
        </w:tc>
      </w:tr>
      <w:tr>
        <w:trPr>
          <w:trHeight w:val="17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1515 Broadway</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56.9</w:t>
            </w:r>
          </w:p>
        </w:tc>
        <w:tc>
          <w:tcPr>
            <w:tcW w:w="1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Times Square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1,750,000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99.7</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139,119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79,159</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0" w:type="dxa"/>
            <w:vAlign w:val="bottom"/>
          </w:tcPr>
          <w:p>
            <w:pPr>
              <w:spacing w:after="0"/>
              <w:rPr>
                <w:sz w:val="1"/>
                <w:szCs w:val="1"/>
                <w:color w:val="auto"/>
              </w:rPr>
            </w:pPr>
          </w:p>
        </w:tc>
      </w:tr>
      <w:tr>
        <w:trPr>
          <w:trHeight w:val="16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Added to Same Store in 2024</w:t>
            </w:r>
          </w:p>
        </w:tc>
        <w:tc>
          <w:tcPr>
            <w:tcW w:w="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450</w:t>
            </w: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Park Avenue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25.1</w:t>
            </w:r>
          </w:p>
        </w:tc>
        <w:tc>
          <w:tcPr>
            <w:tcW w:w="1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Park Avenue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337,000</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89.3</w:t>
            </w:r>
          </w:p>
        </w:tc>
        <w:tc>
          <w:tcPr>
            <w:tcW w:w="8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89.3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37,886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9,509</w:t>
            </w:r>
          </w:p>
        </w:tc>
        <w:tc>
          <w:tcPr>
            <w:tcW w:w="8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23</w:t>
            </w:r>
          </w:p>
        </w:tc>
        <w:tc>
          <w:tcPr>
            <w:tcW w:w="0" w:type="dxa"/>
            <w:vAlign w:val="bottom"/>
          </w:tcPr>
          <w:p>
            <w:pPr>
              <w:spacing w:after="0"/>
              <w:rPr>
                <w:sz w:val="1"/>
                <w:szCs w:val="1"/>
                <w:color w:val="auto"/>
              </w:rPr>
            </w:pPr>
          </w:p>
        </w:tc>
      </w:tr>
      <w:tr>
        <w:trPr>
          <w:trHeight w:val="159"/>
        </w:trPr>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Subtotal / Weighted Average</w:t>
            </w:r>
          </w:p>
        </w:tc>
        <w:tc>
          <w:tcPr>
            <w:tcW w:w="9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10,392,356</w:t>
            </w: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92.7%</w:t>
            </w:r>
          </w:p>
        </w:tc>
        <w:tc>
          <w:tcPr>
            <w:tcW w:w="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95.6%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943,044</w:t>
            </w:r>
          </w:p>
        </w:tc>
        <w:tc>
          <w:tcPr>
            <w:tcW w:w="8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522,664</w:t>
            </w:r>
          </w:p>
        </w:tc>
        <w:tc>
          <w:tcPr>
            <w:tcW w:w="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194</w:t>
            </w:r>
          </w:p>
        </w:tc>
        <w:tc>
          <w:tcPr>
            <w:tcW w:w="0" w:type="dxa"/>
            <w:vAlign w:val="bottom"/>
          </w:tcPr>
          <w:p>
            <w:pPr>
              <w:spacing w:after="0"/>
              <w:rPr>
                <w:sz w:val="1"/>
                <w:szCs w:val="1"/>
                <w:color w:val="auto"/>
              </w:rPr>
            </w:pPr>
          </w:p>
        </w:tc>
      </w:tr>
      <w:tr>
        <w:trPr>
          <w:trHeight w:val="175"/>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"Non Same Store"</w:t>
            </w:r>
          </w:p>
        </w:tc>
        <w:tc>
          <w:tcPr>
            <w:tcW w:w="94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2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245</w:t>
            </w:r>
          </w:p>
        </w:tc>
        <w:tc>
          <w:tcPr>
            <w:tcW w:w="2580" w:type="dxa"/>
            <w:vAlign w:val="bottom"/>
          </w:tcPr>
          <w:p>
            <w:pPr>
              <w:spacing w:after="0"/>
              <w:rPr>
                <w:sz w:val="20"/>
                <w:szCs w:val="20"/>
                <w:color w:val="auto"/>
              </w:rPr>
            </w:pPr>
            <w:r>
              <w:rPr>
                <w:rFonts w:ascii="Times New Roman" w:cs="Times New Roman" w:eastAsia="Times New Roman" w:hAnsi="Times New Roman"/>
                <w:sz w:val="12"/>
                <w:szCs w:val="12"/>
                <w:color w:val="auto"/>
              </w:rPr>
              <w:t>Park Avenue</w:t>
            </w:r>
          </w:p>
        </w:tc>
        <w:tc>
          <w:tcPr>
            <w:tcW w:w="9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50.1</w:t>
            </w: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Park Avenue</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1,782,793</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85.4</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157,384</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78,849</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0" w:type="dxa"/>
            <w:vAlign w:val="bottom"/>
          </w:tcPr>
          <w:p>
            <w:pPr>
              <w:spacing w:after="0"/>
              <w:rPr>
                <w:sz w:val="1"/>
                <w:szCs w:val="1"/>
                <w:color w:val="auto"/>
              </w:rPr>
            </w:pPr>
          </w:p>
        </w:tc>
      </w:tr>
      <w:tr>
        <w:trPr>
          <w:trHeight w:val="169"/>
        </w:trPr>
        <w:tc>
          <w:tcPr>
            <w:tcW w:w="280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Subtotal / Weighted Average</w:t>
            </w:r>
          </w:p>
        </w:tc>
        <w:tc>
          <w:tcPr>
            <w:tcW w:w="94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1,782,793</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85.4%</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91.7%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157,384</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78,849</w:t>
            </w: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14</w:t>
            </w:r>
          </w:p>
        </w:tc>
        <w:tc>
          <w:tcPr>
            <w:tcW w:w="0" w:type="dxa"/>
            <w:vAlign w:val="bottom"/>
          </w:tcPr>
          <w:p>
            <w:pPr>
              <w:spacing w:after="0"/>
              <w:rPr>
                <w:sz w:val="1"/>
                <w:szCs w:val="1"/>
                <w:color w:val="auto"/>
              </w:rPr>
            </w:pPr>
          </w:p>
        </w:tc>
      </w:tr>
      <w:tr>
        <w:trPr>
          <w:trHeight w:val="105"/>
        </w:trPr>
        <w:tc>
          <w:tcPr>
            <w:tcW w:w="5580" w:type="dxa"/>
            <w:vAlign w:val="bottom"/>
            <w:tcBorders>
              <w:bottom w:val="single" w:sz="8" w:color="CCEEFF"/>
            </w:tcBorders>
            <w:gridSpan w:val="4"/>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5660" w:type="dxa"/>
            <w:vAlign w:val="bottom"/>
            <w:tcBorders>
              <w:bottom w:val="single" w:sz="8" w:color="CCEEFF"/>
            </w:tcBorders>
            <w:gridSpan w:val="5"/>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Total / Weighted Average Manhattan Unconsolidated Office Properties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12,175,149</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91.6%</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95.0%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1,100,428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601,513</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Manhattan Office Grand Total / Weighted Average</w:t>
            </w:r>
          </w:p>
        </w:tc>
        <w:tc>
          <w:tcPr>
            <w:tcW w:w="9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21,762,590</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88.0%</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92.5%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1,694,440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1,175,378</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752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gridSpan w:val="3"/>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7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Manhattan Office Same Store Occupancy %—Combined</w:t>
            </w:r>
          </w:p>
        </w:tc>
        <w:tc>
          <w:tcPr>
            <w:tcW w:w="1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19,979,797</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88.2%</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92.5%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Annualized</w:t>
            </w: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Annualized</w:t>
            </w: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940" w:type="dxa"/>
            <w:vAlign w:val="bottom"/>
            <w:vMerge w:val="restart"/>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80" w:type="dxa"/>
            <w:vAlign w:val="bottom"/>
          </w:tcPr>
          <w:p>
            <w:pPr>
              <w:spacing w:after="0"/>
              <w:rPr>
                <w:sz w:val="10"/>
                <w:szCs w:val="10"/>
                <w:color w:val="auto"/>
              </w:rPr>
            </w:pPr>
          </w:p>
        </w:tc>
        <w:tc>
          <w:tcPr>
            <w:tcW w:w="780" w:type="dxa"/>
            <w:vAlign w:val="bottom"/>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2"/>
                <w:szCs w:val="12"/>
                <w:b w:val="1"/>
                <w:bCs w:val="1"/>
                <w:color w:val="auto"/>
                <w:w w:val="99"/>
              </w:rPr>
              <w:t>Contractual</w:t>
            </w:r>
          </w:p>
        </w:tc>
        <w:tc>
          <w:tcPr>
            <w:tcW w:w="100" w:type="dxa"/>
            <w:vAlign w:val="bottom"/>
          </w:tcPr>
          <w:p>
            <w:pPr>
              <w:spacing w:after="0"/>
              <w:rPr>
                <w:sz w:val="10"/>
                <w:szCs w:val="10"/>
                <w:color w:val="auto"/>
              </w:rPr>
            </w:pPr>
          </w:p>
        </w:tc>
        <w:tc>
          <w:tcPr>
            <w:tcW w:w="8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rPr>
              <w:t>Contractual</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2580" w:type="dxa"/>
            <w:vAlign w:val="bottom"/>
            <w:vMerge w:val="restart"/>
          </w:tcPr>
          <w:p>
            <w:pPr>
              <w:ind w:left="860"/>
              <w:spacing w:after="0"/>
              <w:rPr>
                <w:sz w:val="20"/>
                <w:szCs w:val="20"/>
                <w:color w:val="auto"/>
              </w:rPr>
            </w:pPr>
            <w:r>
              <w:rPr>
                <w:rFonts w:ascii="Times New Roman" w:cs="Times New Roman" w:eastAsia="Times New Roman" w:hAnsi="Times New Roman"/>
                <w:sz w:val="12"/>
                <w:szCs w:val="12"/>
                <w:b w:val="1"/>
                <w:bCs w:val="1"/>
                <w:color w:val="auto"/>
              </w:rPr>
              <w:t>Properties</w:t>
            </w:r>
          </w:p>
        </w:tc>
        <w:tc>
          <w:tcPr>
            <w:tcW w:w="940" w:type="dxa"/>
            <w:vAlign w:val="bottom"/>
            <w:vMerge w:val="continue"/>
          </w:tcPr>
          <w:p>
            <w:pPr>
              <w:spacing w:after="0"/>
              <w:rPr>
                <w:sz w:val="13"/>
                <w:szCs w:val="13"/>
                <w:color w:val="auto"/>
              </w:rPr>
            </w:pPr>
          </w:p>
        </w:tc>
        <w:tc>
          <w:tcPr>
            <w:tcW w:w="19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2"/>
                <w:szCs w:val="12"/>
                <w:b w:val="1"/>
                <w:bCs w:val="1"/>
                <w:color w:val="auto"/>
              </w:rPr>
              <w:t>SubMarket</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Square Feet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Occupied</w:t>
            </w:r>
          </w:p>
        </w:tc>
        <w:tc>
          <w:tcPr>
            <w:tcW w:w="78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Leased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Cash</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Cash Rent SLG</w:t>
            </w: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20" w:type="dxa"/>
            <w:vAlign w:val="bottom"/>
          </w:tcPr>
          <w:p>
            <w:pPr>
              <w:spacing w:after="0"/>
              <w:rPr>
                <w:sz w:val="11"/>
                <w:szCs w:val="11"/>
                <w:color w:val="auto"/>
              </w:rPr>
            </w:pPr>
          </w:p>
        </w:tc>
        <w:tc>
          <w:tcPr>
            <w:tcW w:w="2580" w:type="dxa"/>
            <w:vAlign w:val="bottom"/>
            <w:vMerge w:val="continue"/>
          </w:tcPr>
          <w:p>
            <w:pPr>
              <w:spacing w:after="0"/>
              <w:rPr>
                <w:sz w:val="11"/>
                <w:szCs w:val="11"/>
                <w:color w:val="auto"/>
              </w:rPr>
            </w:pPr>
          </w:p>
        </w:tc>
        <w:tc>
          <w:tcPr>
            <w:tcW w:w="94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Interest (%)</w:t>
            </w:r>
          </w:p>
        </w:tc>
        <w:tc>
          <w:tcPr>
            <w:tcW w:w="1920" w:type="dxa"/>
            <w:vAlign w:val="bottom"/>
            <w:gridSpan w:val="2"/>
            <w:vMerge w:val="continue"/>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10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(2)</w:t>
            </w:r>
          </w:p>
        </w:tc>
        <w:tc>
          <w:tcPr>
            <w:tcW w:w="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rPr>
              <w:t>Rent ($'s)</w:t>
            </w: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rPr>
              <w:t>Share ($'s)</w:t>
            </w: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w w:val="96"/>
              </w:rPr>
              <w:t>Tenants</w:t>
            </w:r>
          </w:p>
        </w:tc>
        <w:tc>
          <w:tcPr>
            <w:tcW w:w="0" w:type="dxa"/>
            <w:vAlign w:val="bottom"/>
          </w:tcPr>
          <w:p>
            <w:pPr>
              <w:spacing w:after="0"/>
              <w:rPr>
                <w:sz w:val="1"/>
                <w:szCs w:val="1"/>
                <w:color w:val="auto"/>
              </w:rPr>
            </w:pPr>
          </w:p>
        </w:tc>
      </w:tr>
      <w:tr>
        <w:trPr>
          <w:trHeight w:val="164"/>
        </w:trPr>
        <w:tc>
          <w:tcPr>
            <w:tcW w:w="374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SUBURBAN CONSOLIDATED OFFICE PROPERTIES</w:t>
            </w:r>
          </w:p>
        </w:tc>
        <w:tc>
          <w:tcPr>
            <w:tcW w:w="1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"Same Store" Suburban</w:t>
            </w:r>
          </w:p>
        </w:tc>
        <w:tc>
          <w:tcPr>
            <w:tcW w:w="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Landmark Square</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Stamford, Connecticut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862,800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72.6</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18,080</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92</w:t>
            </w:r>
          </w:p>
        </w:tc>
        <w:tc>
          <w:tcPr>
            <w:tcW w:w="0" w:type="dxa"/>
            <w:vAlign w:val="bottom"/>
          </w:tcPr>
          <w:p>
            <w:pPr>
              <w:spacing w:after="0"/>
              <w:rPr>
                <w:sz w:val="1"/>
                <w:szCs w:val="1"/>
                <w:color w:val="auto"/>
              </w:rPr>
            </w:pPr>
          </w:p>
        </w:tc>
      </w:tr>
      <w:tr>
        <w:trPr>
          <w:trHeight w:val="159"/>
        </w:trPr>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Subtotal/Weighted Average</w:t>
            </w:r>
          </w:p>
        </w:tc>
        <w:tc>
          <w:tcPr>
            <w:tcW w:w="9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862,800</w:t>
            </w:r>
          </w:p>
        </w:tc>
        <w:tc>
          <w:tcPr>
            <w:tcW w:w="100" w:type="dxa"/>
            <w:vAlign w:val="bottom"/>
          </w:tcPr>
          <w:p>
            <w:pPr>
              <w:spacing w:after="0"/>
              <w:rPr>
                <w:sz w:val="13"/>
                <w:szCs w:val="13"/>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72.6%</w:t>
            </w:r>
          </w:p>
        </w:tc>
        <w:tc>
          <w:tcPr>
            <w:tcW w:w="80" w:type="dxa"/>
            <w:vAlign w:val="bottom"/>
          </w:tcPr>
          <w:p>
            <w:pPr>
              <w:spacing w:after="0"/>
              <w:rPr>
                <w:sz w:val="13"/>
                <w:szCs w:val="13"/>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73.5%</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18,080</w:t>
            </w:r>
          </w:p>
        </w:tc>
        <w:tc>
          <w:tcPr>
            <w:tcW w:w="80" w:type="dxa"/>
            <w:vAlign w:val="bottom"/>
          </w:tcPr>
          <w:p>
            <w:pPr>
              <w:spacing w:after="0"/>
              <w:rPr>
                <w:sz w:val="13"/>
                <w:szCs w:val="13"/>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18,080</w:t>
            </w:r>
          </w:p>
        </w:tc>
        <w:tc>
          <w:tcPr>
            <w:tcW w:w="80" w:type="dxa"/>
            <w:vAlign w:val="bottom"/>
          </w:tcPr>
          <w:p>
            <w:pPr>
              <w:spacing w:after="0"/>
              <w:rPr>
                <w:sz w:val="13"/>
                <w:szCs w:val="13"/>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92</w:t>
            </w:r>
          </w:p>
        </w:tc>
        <w:tc>
          <w:tcPr>
            <w:tcW w:w="0" w:type="dxa"/>
            <w:vAlign w:val="bottom"/>
          </w:tcPr>
          <w:p>
            <w:pPr>
              <w:spacing w:after="0"/>
              <w:rPr>
                <w:sz w:val="1"/>
                <w:szCs w:val="1"/>
                <w:color w:val="auto"/>
              </w:rPr>
            </w:pPr>
          </w:p>
        </w:tc>
      </w:tr>
      <w:tr>
        <w:trPr>
          <w:trHeight w:val="110"/>
        </w:trPr>
        <w:tc>
          <w:tcPr>
            <w:tcW w:w="3740" w:type="dxa"/>
            <w:vAlign w:val="bottom"/>
            <w:gridSpan w:val="3"/>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gridSpan w:val="2"/>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740" w:type="dxa"/>
            <w:vAlign w:val="bottom"/>
            <w:gridSpan w:val="3"/>
          </w:tcPr>
          <w:p>
            <w:pPr>
              <w:ind w:left="140"/>
              <w:spacing w:after="0"/>
              <w:rPr>
                <w:sz w:val="20"/>
                <w:szCs w:val="20"/>
                <w:color w:val="auto"/>
              </w:rPr>
            </w:pPr>
            <w:r>
              <w:rPr>
                <w:rFonts w:ascii="Times New Roman" w:cs="Times New Roman" w:eastAsia="Times New Roman" w:hAnsi="Times New Roman"/>
                <w:sz w:val="12"/>
                <w:szCs w:val="12"/>
                <w:b w:val="1"/>
                <w:bCs w:val="1"/>
                <w:color w:val="auto"/>
              </w:rPr>
              <w:t>Total / Weighted Average Suburban Consolidated Office Properties</w:t>
            </w: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862,800</w:t>
            </w:r>
          </w:p>
        </w:tc>
        <w:tc>
          <w:tcPr>
            <w:tcW w:w="10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72.6%</w:t>
            </w:r>
          </w:p>
        </w:tc>
        <w:tc>
          <w:tcPr>
            <w:tcW w:w="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73.5%</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18,080</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18,080</w:t>
            </w:r>
          </w:p>
        </w:tc>
        <w:tc>
          <w:tcPr>
            <w:tcW w:w="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92</w:t>
            </w:r>
          </w:p>
        </w:tc>
        <w:tc>
          <w:tcPr>
            <w:tcW w:w="0" w:type="dxa"/>
            <w:vAlign w:val="bottom"/>
          </w:tcPr>
          <w:p>
            <w:pPr>
              <w:spacing w:after="0"/>
              <w:rPr>
                <w:sz w:val="1"/>
                <w:szCs w:val="1"/>
                <w:color w:val="auto"/>
              </w:rPr>
            </w:pPr>
          </w:p>
        </w:tc>
      </w:tr>
      <w:tr>
        <w:trPr>
          <w:trHeight w:val="20"/>
        </w:trPr>
        <w:tc>
          <w:tcPr>
            <w:tcW w:w="2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0" w:type="dxa"/>
            <w:vAlign w:val="bottom"/>
            <w:shd w:val="clear" w:color="auto" w:fill="CCEEFF"/>
          </w:tcPr>
          <w:p>
            <w:pPr>
              <w:spacing w:after="0"/>
              <w:rPr>
                <w:sz w:val="14"/>
                <w:szCs w:val="14"/>
                <w:color w:val="auto"/>
              </w:rPr>
            </w:pPr>
          </w:p>
        </w:tc>
        <w:tc>
          <w:tcPr>
            <w:tcW w:w="2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Suburban Office Grand Total / Weighted Average</w:t>
            </w:r>
          </w:p>
        </w:tc>
        <w:tc>
          <w:tcPr>
            <w:tcW w:w="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862,800</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72.6%</w:t>
            </w: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73.5%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18,080</w:t>
            </w:r>
          </w:p>
        </w:tc>
        <w:tc>
          <w:tcPr>
            <w:tcW w:w="8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18,080</w:t>
            </w: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92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Annualized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Annualized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2"/>
                <w:szCs w:val="12"/>
                <w:b w:val="1"/>
                <w:bCs w:val="1"/>
                <w:color w:val="auto"/>
                <w:w w:val="99"/>
              </w:rPr>
              <w:t>Contractual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2"/>
                <w:szCs w:val="12"/>
                <w:b w:val="1"/>
                <w:bCs w:val="1"/>
                <w:color w:val="auto"/>
              </w:rPr>
              <w:t>Contractual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2"/>
                <w:szCs w:val="12"/>
                <w:b w:val="1"/>
                <w:bCs w:val="1"/>
                <w:color w:val="auto"/>
              </w:rPr>
              <w:t>Properties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2"/>
                <w:szCs w:val="12"/>
                <w:b w:val="1"/>
                <w:bCs w:val="1"/>
                <w:color w:val="auto"/>
              </w:rPr>
              <w:t>SubMarket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Square Feet</w:t>
            </w:r>
          </w:p>
        </w:tc>
        <w:tc>
          <w:tcPr>
            <w:tcW w:w="20" w:type="dxa"/>
            <w:vAlign w:val="bottom"/>
          </w:tcPr>
          <w:p>
            <w:pPr>
              <w:spacing w:after="0"/>
              <w:rPr>
                <w:sz w:val="14"/>
                <w:szCs w:val="14"/>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Occupied</w:t>
            </w:r>
          </w:p>
        </w:tc>
        <w:tc>
          <w:tcPr>
            <w:tcW w:w="20" w:type="dxa"/>
            <w:vAlign w:val="bottom"/>
          </w:tcPr>
          <w:p>
            <w:pPr>
              <w:spacing w:after="0"/>
              <w:rPr>
                <w:sz w:val="14"/>
                <w:szCs w:val="14"/>
                <w:color w:val="auto"/>
              </w:rPr>
            </w:pPr>
          </w:p>
        </w:tc>
        <w:tc>
          <w:tcPr>
            <w:tcW w:w="86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Leased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Cash</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Cash Rent SLG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Interest (%)</w:t>
            </w:r>
          </w:p>
        </w:tc>
        <w:tc>
          <w:tcPr>
            <w:tcW w:w="10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181"/>
              <w:spacing w:after="0"/>
              <w:rPr>
                <w:sz w:val="20"/>
                <w:szCs w:val="20"/>
                <w:color w:val="auto"/>
              </w:rPr>
            </w:pPr>
            <w:r>
              <w:rPr>
                <w:rFonts w:ascii="Times New Roman" w:cs="Times New Roman" w:eastAsia="Times New Roman" w:hAnsi="Times New Roman"/>
                <w:sz w:val="8"/>
                <w:szCs w:val="8"/>
                <w:b w:val="1"/>
                <w:bCs w:val="1"/>
                <w:color w:val="auto"/>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Rent ($'s)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rPr>
              <w:t>Share ($'s)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9"/>
              <w:spacing w:after="0" w:line="132" w:lineRule="exact"/>
              <w:rPr>
                <w:sz w:val="20"/>
                <w:szCs w:val="20"/>
                <w:color w:val="auto"/>
              </w:rPr>
            </w:pPr>
            <w:r>
              <w:rPr>
                <w:rFonts w:ascii="Times New Roman" w:cs="Times New Roman" w:eastAsia="Times New Roman" w:hAnsi="Times New Roman"/>
                <w:sz w:val="12"/>
                <w:szCs w:val="12"/>
                <w:b w:val="1"/>
                <w:bCs w:val="1"/>
                <w:color w:val="auto"/>
                <w:w w:val="96"/>
              </w:rPr>
              <w:t>Tenants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RETAIL PROPERTIES</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"Same Store" Retail</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85 Fifth Avenue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36.3</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Midtown South</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12,946</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1,016</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w w:val="99"/>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Subtotal/Weighted Average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12,946</w:t>
            </w:r>
          </w:p>
        </w:tc>
        <w:tc>
          <w:tcPr>
            <w:tcW w:w="10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100.0%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100.0%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2,800</w:t>
            </w:r>
          </w:p>
        </w:tc>
        <w:tc>
          <w:tcPr>
            <w:tcW w:w="80" w:type="dxa"/>
            <w:vAlign w:val="bottom"/>
          </w:tcPr>
          <w:p>
            <w:pPr>
              <w:spacing w:after="0"/>
              <w:rPr>
                <w:sz w:val="13"/>
                <w:szCs w:val="13"/>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1,016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"Non Same Store" Retail</w:t>
            </w: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690 Madison Avenue</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90.0</w:t>
            </w:r>
          </w:p>
        </w:tc>
        <w:tc>
          <w:tcPr>
            <w:tcW w:w="100" w:type="dxa"/>
            <w:vAlign w:val="bottom"/>
          </w:tcPr>
          <w:p>
            <w:pPr>
              <w:spacing w:after="0"/>
              <w:rPr>
                <w:sz w:val="14"/>
                <w:szCs w:val="14"/>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Plaza District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7,848</w:t>
            </w:r>
          </w:p>
        </w:tc>
        <w:tc>
          <w:tcPr>
            <w:tcW w:w="1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1,505</w:t>
            </w:r>
          </w:p>
        </w:tc>
        <w:tc>
          <w:tcPr>
            <w:tcW w:w="80" w:type="dxa"/>
            <w:vAlign w:val="bottom"/>
          </w:tcPr>
          <w:p>
            <w:pPr>
              <w:spacing w:after="0"/>
              <w:rPr>
                <w:sz w:val="14"/>
                <w:szCs w:val="14"/>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9"/>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760 Madison Avenue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100.0</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Plaza District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22,648</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18,046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18,046</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w w:val="99"/>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Subtotal/Weighted Average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jc w:val="center"/>
              <w:ind w:right="119"/>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30,496</w:t>
            </w:r>
          </w:p>
        </w:tc>
        <w:tc>
          <w:tcPr>
            <w:tcW w:w="10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100.0%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100.0%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19,551</w:t>
            </w:r>
          </w:p>
        </w:tc>
        <w:tc>
          <w:tcPr>
            <w:tcW w:w="80" w:type="dxa"/>
            <w:vAlign w:val="bottom"/>
          </w:tcPr>
          <w:p>
            <w:pPr>
              <w:spacing w:after="0"/>
              <w:rPr>
                <w:sz w:val="13"/>
                <w:szCs w:val="13"/>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19,401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Total / Weighted Average Retail Properties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43,442</w:t>
            </w: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100.0%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100.0%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22,351</w:t>
            </w:r>
          </w:p>
        </w:tc>
        <w:tc>
          <w:tcPr>
            <w:tcW w:w="80" w:type="dxa"/>
            <w:vAlign w:val="bottom"/>
          </w:tcPr>
          <w:p>
            <w:pPr>
              <w:spacing w:after="0"/>
              <w:rPr>
                <w:sz w:val="14"/>
                <w:szCs w:val="14"/>
                <w:color w:val="auto"/>
              </w:rPr>
            </w:pPr>
          </w:p>
        </w:tc>
        <w:tc>
          <w:tcPr>
            <w:tcW w:w="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20,417</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9"/>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2"/>
                <w:szCs w:val="12"/>
                <w:b w:val="1"/>
                <w:bCs w:val="1"/>
                <w:color w:val="auto"/>
              </w:rPr>
              <w:t>Annualized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rPr>
              <w:t>Annualized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9"/>
              <w:spacing w:after="0" w:line="132" w:lineRule="exact"/>
              <w:rPr>
                <w:sz w:val="20"/>
                <w:szCs w:val="20"/>
                <w:color w:val="auto"/>
              </w:rPr>
            </w:pPr>
            <w:r>
              <w:rPr>
                <w:rFonts w:ascii="Times New Roman" w:cs="Times New Roman" w:eastAsia="Times New Roman" w:hAnsi="Times New Roman"/>
                <w:sz w:val="12"/>
                <w:szCs w:val="12"/>
                <w:b w:val="1"/>
                <w:bCs w:val="1"/>
                <w:color w:val="auto"/>
                <w:w w:val="99"/>
              </w:rPr>
              <w:t>Monthly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Square</w:t>
            </w:r>
          </w:p>
        </w:tc>
        <w:tc>
          <w:tcPr>
            <w:tcW w:w="7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Contractual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Contractual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7"/>
              </w:rPr>
              <w:t>Rent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2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2"/>
                <w:szCs w:val="12"/>
                <w:b w:val="1"/>
                <w:bCs w:val="1"/>
                <w:color w:val="auto"/>
              </w:rPr>
              <w:t>Properties</w:t>
            </w: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2"/>
                <w:szCs w:val="12"/>
                <w:b w:val="1"/>
                <w:bCs w:val="1"/>
                <w:color w:val="auto"/>
              </w:rPr>
              <w:t>SubMarket</w:t>
            </w:r>
          </w:p>
        </w:tc>
        <w:tc>
          <w:tcPr>
            <w:tcW w:w="680" w:type="dxa"/>
            <w:vAlign w:val="bottom"/>
            <w:gridSpan w:val="5"/>
          </w:tcPr>
          <w:p>
            <w:pPr>
              <w:jc w:val="center"/>
              <w:ind w:right="100"/>
              <w:spacing w:after="0" w:line="118" w:lineRule="exact"/>
              <w:rPr>
                <w:sz w:val="20"/>
                <w:szCs w:val="20"/>
                <w:color w:val="auto"/>
              </w:rPr>
            </w:pPr>
            <w:r>
              <w:rPr>
                <w:rFonts w:ascii="Times New Roman" w:cs="Times New Roman" w:eastAsia="Times New Roman" w:hAnsi="Times New Roman"/>
                <w:sz w:val="12"/>
                <w:szCs w:val="12"/>
                <w:b w:val="1"/>
                <w:bCs w:val="1"/>
                <w:color w:val="auto"/>
                <w:w w:val="99"/>
              </w:rPr>
              <w:t>Feet</w:t>
            </w:r>
          </w:p>
        </w:tc>
        <w:tc>
          <w:tcPr>
            <w:tcW w:w="7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tcPr>
          <w:p>
            <w:pPr>
              <w:ind w:left="120"/>
              <w:spacing w:after="0" w:line="118" w:lineRule="exact"/>
              <w:rPr>
                <w:sz w:val="20"/>
                <w:szCs w:val="20"/>
                <w:color w:val="auto"/>
              </w:rPr>
            </w:pPr>
            <w:r>
              <w:rPr>
                <w:rFonts w:ascii="Times New Roman" w:cs="Times New Roman" w:eastAsia="Times New Roman" w:hAnsi="Times New Roman"/>
                <w:sz w:val="12"/>
                <w:szCs w:val="12"/>
                <w:b w:val="1"/>
                <w:bCs w:val="1"/>
                <w:color w:val="auto"/>
              </w:rPr>
              <w:t>Occupied</w:t>
            </w:r>
          </w:p>
        </w:tc>
        <w:tc>
          <w:tcPr>
            <w:tcW w:w="20" w:type="dxa"/>
            <w:vAlign w:val="bottom"/>
          </w:tcPr>
          <w:p>
            <w:pPr>
              <w:spacing w:after="0"/>
              <w:rPr>
                <w:sz w:val="10"/>
                <w:szCs w:val="10"/>
                <w:color w:val="auto"/>
              </w:rPr>
            </w:pPr>
          </w:p>
        </w:tc>
        <w:tc>
          <w:tcPr>
            <w:tcW w:w="860" w:type="dxa"/>
            <w:vAlign w:val="bottom"/>
            <w:gridSpan w:val="3"/>
          </w:tcPr>
          <w:p>
            <w:pPr>
              <w:ind w:left="200"/>
              <w:spacing w:after="0" w:line="118" w:lineRule="exact"/>
              <w:rPr>
                <w:sz w:val="20"/>
                <w:szCs w:val="20"/>
                <w:color w:val="auto"/>
              </w:rPr>
            </w:pPr>
            <w:r>
              <w:rPr>
                <w:rFonts w:ascii="Times New Roman" w:cs="Times New Roman" w:eastAsia="Times New Roman" w:hAnsi="Times New Roman"/>
                <w:sz w:val="12"/>
                <w:szCs w:val="12"/>
                <w:b w:val="1"/>
                <w:bCs w:val="1"/>
                <w:color w:val="auto"/>
              </w:rPr>
              <w:t>Leased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w w:val="99"/>
              </w:rPr>
              <w:t>Cash</w:t>
            </w:r>
          </w:p>
        </w:tc>
        <w:tc>
          <w:tcPr>
            <w:tcW w:w="20" w:type="dxa"/>
            <w:vAlign w:val="bottom"/>
          </w:tcPr>
          <w:p>
            <w:pPr>
              <w:spacing w:after="0"/>
              <w:rPr>
                <w:sz w:val="10"/>
                <w:szCs w:val="10"/>
                <w:color w:val="auto"/>
              </w:rPr>
            </w:pPr>
          </w:p>
        </w:tc>
        <w:tc>
          <w:tcPr>
            <w:tcW w:w="940" w:type="dxa"/>
            <w:vAlign w:val="bottom"/>
            <w:gridSpan w:val="3"/>
          </w:tcPr>
          <w:p>
            <w:pPr>
              <w:spacing w:after="0" w:line="118" w:lineRule="exact"/>
              <w:rPr>
                <w:sz w:val="20"/>
                <w:szCs w:val="20"/>
                <w:color w:val="auto"/>
              </w:rPr>
            </w:pPr>
            <w:r>
              <w:rPr>
                <w:rFonts w:ascii="Times New Roman" w:cs="Times New Roman" w:eastAsia="Times New Roman" w:hAnsi="Times New Roman"/>
                <w:sz w:val="12"/>
                <w:szCs w:val="12"/>
                <w:b w:val="1"/>
                <w:bCs w:val="1"/>
                <w:color w:val="auto"/>
              </w:rPr>
              <w:t>Cash Rent SLG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b w:val="1"/>
                <w:bCs w:val="1"/>
                <w:color w:val="auto"/>
              </w:rPr>
              <w:t>Per Unit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20" w:type="dxa"/>
            <w:vAlign w:val="bottom"/>
            <w:gridSpan w:val="2"/>
            <w:vMerge w:val="continue"/>
          </w:tcPr>
          <w:p>
            <w:pPr>
              <w:spacing w:after="0"/>
              <w:rPr>
                <w:sz w:val="12"/>
                <w:szCs w:val="12"/>
                <w:color w:val="auto"/>
              </w:rPr>
            </w:pPr>
          </w:p>
        </w:tc>
        <w:tc>
          <w:tcPr>
            <w:tcW w:w="86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Interest (%)</w:t>
            </w: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580" w:type="dxa"/>
            <w:vAlign w:val="bottom"/>
            <w:gridSpan w:val="4"/>
          </w:tcPr>
          <w:p>
            <w:pPr>
              <w:jc w:val="center"/>
              <w:spacing w:after="0"/>
              <w:rPr>
                <w:sz w:val="20"/>
                <w:szCs w:val="20"/>
                <w:color w:val="auto"/>
              </w:rPr>
            </w:pPr>
            <w:r>
              <w:rPr>
                <w:rFonts w:ascii="Times New Roman" w:cs="Times New Roman" w:eastAsia="Times New Roman" w:hAnsi="Times New Roman"/>
                <w:sz w:val="8"/>
                <w:szCs w:val="8"/>
                <w:b w:val="1"/>
                <w:bCs w:val="1"/>
                <w:color w:val="auto"/>
              </w:rPr>
              <w:t>(1)</w:t>
            </w:r>
          </w:p>
        </w:tc>
        <w:tc>
          <w:tcPr>
            <w:tcW w:w="100" w:type="dxa"/>
            <w:vAlign w:val="bottom"/>
          </w:tcPr>
          <w:p>
            <w:pPr>
              <w:spacing w:after="0"/>
              <w:rPr>
                <w:sz w:val="12"/>
                <w:szCs w:val="12"/>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Rent ($'s)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Share ($'s)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39"/>
              <w:spacing w:after="0" w:line="144" w:lineRule="exact"/>
              <w:rPr>
                <w:sz w:val="20"/>
                <w:szCs w:val="20"/>
                <w:color w:val="auto"/>
              </w:rPr>
            </w:pPr>
            <w:r>
              <w:rPr>
                <w:rFonts w:ascii="Times New Roman" w:cs="Times New Roman" w:eastAsia="Times New Roman" w:hAnsi="Times New Roman"/>
                <w:sz w:val="12"/>
                <w:szCs w:val="12"/>
                <w:b w:val="1"/>
                <w:bCs w:val="1"/>
                <w:color w:val="auto"/>
                <w:w w:val="92"/>
              </w:rPr>
              <w:t xml:space="preserve">($'s) </w:t>
            </w:r>
            <w:r>
              <w:rPr>
                <w:rFonts w:ascii="Times New Roman" w:cs="Times New Roman" w:eastAsia="Times New Roman" w:hAnsi="Times New Roman"/>
                <w:sz w:val="15"/>
                <w:szCs w:val="15"/>
                <w:b w:val="1"/>
                <w:bCs w:val="1"/>
                <w:color w:val="auto"/>
                <w:w w:val="92"/>
                <w:vertAlign w:val="superscript"/>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RESIDENTIAL</w:t>
            </w: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"Non Same Store" Residential</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7 Dey Street</w:t>
            </w:r>
          </w:p>
        </w:tc>
        <w:tc>
          <w:tcPr>
            <w:tcW w:w="8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2"/>
                <w:szCs w:val="12"/>
                <w:color w:val="auto"/>
              </w:rPr>
              <w:t>100.0</w:t>
            </w:r>
          </w:p>
        </w:tc>
        <w:tc>
          <w:tcPr>
            <w:tcW w:w="1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Lower Manhattan</w:t>
            </w:r>
          </w:p>
        </w:tc>
        <w:tc>
          <w:tcPr>
            <w:tcW w:w="580" w:type="dxa"/>
            <w:vAlign w:val="bottom"/>
            <w:gridSpan w:val="4"/>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color w:val="auto"/>
                <w:w w:val="97"/>
              </w:rPr>
              <w:t>140,382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209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94.3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97.1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11,707</w:t>
            </w:r>
          </w:p>
        </w:tc>
        <w:tc>
          <w:tcPr>
            <w:tcW w:w="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11,707</w:t>
            </w:r>
          </w:p>
        </w:tc>
        <w:tc>
          <w:tcPr>
            <w:tcW w:w="8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15 Beekman Street</w:t>
            </w: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2"/>
                <w:szCs w:val="12"/>
                <w:color w:val="auto"/>
              </w:rPr>
              <w:t>20.0</w:t>
            </w: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2"/>
                <w:szCs w:val="12"/>
                <w:color w:val="auto"/>
              </w:rPr>
              <w:t>Downtown</w:t>
            </w:r>
          </w:p>
        </w:tc>
        <w:tc>
          <w:tcPr>
            <w:tcW w:w="580" w:type="dxa"/>
            <w:vAlign w:val="bottom"/>
            <w:gridSpan w:val="4"/>
          </w:tcPr>
          <w:p>
            <w:pPr>
              <w:jc w:val="center"/>
              <w:ind w:left="22"/>
              <w:spacing w:after="0"/>
              <w:rPr>
                <w:sz w:val="20"/>
                <w:szCs w:val="20"/>
                <w:color w:val="auto"/>
              </w:rPr>
            </w:pPr>
            <w:r>
              <w:rPr>
                <w:rFonts w:ascii="Times New Roman" w:cs="Times New Roman" w:eastAsia="Times New Roman" w:hAnsi="Times New Roman"/>
                <w:sz w:val="12"/>
                <w:szCs w:val="12"/>
                <w:color w:val="auto"/>
                <w:w w:val="97"/>
              </w:rPr>
              <w:t>221,884</w:t>
            </w:r>
          </w:p>
        </w:tc>
        <w:tc>
          <w:tcPr>
            <w:tcW w:w="10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 xml:space="preserve">484 </w:t>
            </w:r>
            <w:r>
              <w:rPr>
                <w:rFonts w:ascii="Times New Roman" w:cs="Times New Roman" w:eastAsia="Times New Roman" w:hAnsi="Times New Roman"/>
                <w:sz w:val="8"/>
                <w:szCs w:val="8"/>
                <w:color w:val="auto"/>
              </w:rPr>
              <w:t>(6)</w:t>
            </w:r>
          </w:p>
        </w:tc>
        <w:tc>
          <w:tcPr>
            <w:tcW w:w="1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13,810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Subtotal/Weighted Average</w:t>
            </w:r>
          </w:p>
        </w:tc>
        <w:tc>
          <w:tcPr>
            <w:tcW w:w="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gridSpan w:val="4"/>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w w:val="97"/>
              </w:rPr>
              <w:t>362,266</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2"/>
                <w:szCs w:val="12"/>
                <w:b w:val="1"/>
                <w:bCs w:val="1"/>
                <w:color w:val="auto"/>
              </w:rPr>
              <w:t>693</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98.3%</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99.1%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25,517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14,469</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Borders>
              <w:bottom w:val="single" w:sz="8" w:color="CCEEFF"/>
            </w:tcBorders>
            <w:gridSpan w:val="2"/>
          </w:tcPr>
          <w:p>
            <w:pPr>
              <w:spacing w:after="0"/>
              <w:rPr>
                <w:sz w:val="9"/>
                <w:szCs w:val="9"/>
                <w:color w:val="auto"/>
              </w:rPr>
            </w:pPr>
          </w:p>
        </w:tc>
        <w:tc>
          <w:tcPr>
            <w:tcW w:w="8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5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5"/>
                <w:szCs w:val="15"/>
                <w:color w:val="auto"/>
              </w:rPr>
            </w:pPr>
          </w:p>
        </w:tc>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 Weighted Average Residential Properties</w:t>
            </w: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gridSpan w:val="4"/>
            <w:shd w:val="clear" w:color="auto" w:fill="CCEEFF"/>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w w:val="97"/>
              </w:rPr>
              <w:t>362,266</w:t>
            </w: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2"/>
                <w:szCs w:val="12"/>
                <w:b w:val="1"/>
                <w:bCs w:val="1"/>
                <w:color w:val="auto"/>
              </w:rPr>
              <w:t>693</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98.3%</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rPr>
              <w:t>99.1%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25,517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14,469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Annualized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Annualized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2"/>
                <w:szCs w:val="12"/>
                <w:b w:val="1"/>
                <w:bCs w:val="1"/>
                <w:color w:val="auto"/>
                <w:w w:val="99"/>
              </w:rPr>
              <w:t>Contractual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60"/>
              <w:spacing w:after="0" w:line="125" w:lineRule="exact"/>
              <w:rPr>
                <w:sz w:val="20"/>
                <w:szCs w:val="20"/>
                <w:color w:val="auto"/>
              </w:rPr>
            </w:pPr>
            <w:r>
              <w:rPr>
                <w:rFonts w:ascii="Times New Roman" w:cs="Times New Roman" w:eastAsia="Times New Roman" w:hAnsi="Times New Roman"/>
                <w:sz w:val="12"/>
                <w:szCs w:val="12"/>
                <w:b w:val="1"/>
                <w:bCs w:val="1"/>
                <w:color w:val="auto"/>
                <w:w w:val="99"/>
              </w:rPr>
              <w:t>Contractual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82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2"/>
                <w:szCs w:val="12"/>
                <w:b w:val="1"/>
                <w:bCs w:val="1"/>
                <w:color w:val="auto"/>
              </w:rPr>
              <w:t>Properties</w:t>
            </w: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2"/>
                <w:szCs w:val="12"/>
                <w:b w:val="1"/>
                <w:bCs w:val="1"/>
                <w:color w:val="auto"/>
              </w:rPr>
              <w:t>SubMarket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Square Feet</w:t>
            </w:r>
          </w:p>
        </w:tc>
        <w:tc>
          <w:tcPr>
            <w:tcW w:w="20" w:type="dxa"/>
            <w:vAlign w:val="bottom"/>
          </w:tcPr>
          <w:p>
            <w:pPr>
              <w:spacing w:after="0"/>
              <w:rPr>
                <w:sz w:val="13"/>
                <w:szCs w:val="13"/>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Occupied</w:t>
            </w:r>
          </w:p>
        </w:tc>
        <w:tc>
          <w:tcPr>
            <w:tcW w:w="20" w:type="dxa"/>
            <w:vAlign w:val="bottom"/>
          </w:tcPr>
          <w:p>
            <w:pPr>
              <w:spacing w:after="0"/>
              <w:rPr>
                <w:sz w:val="13"/>
                <w:szCs w:val="13"/>
                <w:color w:val="auto"/>
              </w:rPr>
            </w:pPr>
          </w:p>
        </w:tc>
        <w:tc>
          <w:tcPr>
            <w:tcW w:w="86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Leased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Cash</w:t>
            </w:r>
          </w:p>
        </w:tc>
        <w:tc>
          <w:tcPr>
            <w:tcW w:w="2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Cash Rent SLG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Interest (%)</w:t>
            </w:r>
          </w:p>
        </w:tc>
        <w:tc>
          <w:tcPr>
            <w:tcW w:w="10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201"/>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w w:val="85"/>
              </w:rPr>
              <w:t>(2)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rPr>
              <w:t>Rent ($'s)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2"/>
                <w:szCs w:val="12"/>
                <w:b w:val="1"/>
                <w:bCs w:val="1"/>
                <w:color w:val="auto"/>
                <w:w w:val="98"/>
              </w:rPr>
              <w:t>Share ($'s)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Tenants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auto"/>
            </w:tcBorders>
            <w:shd w:val="clear" w:color="auto" w:fill="CCEEFF"/>
          </w:tcPr>
          <w:p>
            <w:pPr>
              <w:spacing w:after="0"/>
              <w:rPr>
                <w:sz w:val="14"/>
                <w:szCs w:val="14"/>
                <w:color w:val="auto"/>
              </w:rPr>
            </w:pPr>
          </w:p>
        </w:tc>
        <w:tc>
          <w:tcPr>
            <w:tcW w:w="2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DEVELOPMENT/REDEVELOPMENT</w:t>
            </w: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One Madison Avenue</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25.5</w:t>
            </w:r>
          </w:p>
        </w:tc>
        <w:tc>
          <w:tcPr>
            <w:tcW w:w="10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Park Avenue South</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1,385,484</w:t>
            </w:r>
          </w:p>
        </w:tc>
        <w:tc>
          <w:tcPr>
            <w:tcW w:w="1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62.9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66.6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105,999</w:t>
            </w:r>
          </w:p>
        </w:tc>
        <w:tc>
          <w:tcPr>
            <w:tcW w:w="80" w:type="dxa"/>
            <w:vAlign w:val="bottom"/>
          </w:tcPr>
          <w:p>
            <w:pPr>
              <w:spacing w:after="0"/>
              <w:rPr>
                <w:sz w:val="14"/>
                <w:szCs w:val="14"/>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27,030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19 East 65th Street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Plaza District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14,639</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185 Broadway</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Lower Manhattan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50,206</w:t>
            </w:r>
          </w:p>
        </w:tc>
        <w:tc>
          <w:tcPr>
            <w:tcW w:w="1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5"/>
              </w:rPr>
              <w:t>34.5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34.5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750 Third Avenue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Grand Central North</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780,000</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9.5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6,300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Subtotal/Weighted Average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2,230,329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43.2%</w:t>
            </w: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45.5%</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115,784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36,816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24</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shd w:val="clear" w:color="auto" w:fill="CCEEFF"/>
          </w:tcPr>
          <w:p>
            <w:pPr>
              <w:spacing w:after="0"/>
              <w:rPr>
                <w:sz w:val="9"/>
                <w:szCs w:val="9"/>
                <w:color w:val="auto"/>
              </w:rPr>
            </w:pPr>
          </w:p>
        </w:tc>
        <w:tc>
          <w:tcPr>
            <w:tcW w:w="3680" w:type="dxa"/>
            <w:vAlign w:val="bottom"/>
            <w:gridSpan w:val="3"/>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Total / Weighted Average Development/Redevelopment Properties</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2,230,329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43.2%</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45.5%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115,784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36,816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24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Annualized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Annualized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Ownership</w:t>
            </w: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2"/>
                <w:szCs w:val="12"/>
                <w:b w:val="1"/>
                <w:bCs w:val="1"/>
                <w:color w:val="auto"/>
                <w:w w:val="99"/>
              </w:rPr>
              <w:t>Contractual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2"/>
                <w:szCs w:val="12"/>
                <w:b w:val="1"/>
                <w:bCs w:val="1"/>
                <w:color w:val="auto"/>
              </w:rPr>
              <w:t>Contractual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2"/>
                <w:szCs w:val="12"/>
                <w:b w:val="1"/>
                <w:bCs w:val="1"/>
                <w:color w:val="auto"/>
              </w:rPr>
              <w:t>Properties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2"/>
                <w:szCs w:val="12"/>
                <w:b w:val="1"/>
                <w:bCs w:val="1"/>
                <w:color w:val="auto"/>
              </w:rPr>
              <w:t>SubMarket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Square Feet</w:t>
            </w:r>
          </w:p>
        </w:tc>
        <w:tc>
          <w:tcPr>
            <w:tcW w:w="20" w:type="dxa"/>
            <w:vAlign w:val="bottom"/>
          </w:tcPr>
          <w:p>
            <w:pPr>
              <w:spacing w:after="0"/>
              <w:rPr>
                <w:sz w:val="14"/>
                <w:szCs w:val="14"/>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Occupied</w:t>
            </w:r>
          </w:p>
        </w:tc>
        <w:tc>
          <w:tcPr>
            <w:tcW w:w="20" w:type="dxa"/>
            <w:vAlign w:val="bottom"/>
          </w:tcPr>
          <w:p>
            <w:pPr>
              <w:spacing w:after="0"/>
              <w:rPr>
                <w:sz w:val="14"/>
                <w:szCs w:val="14"/>
                <w:color w:val="auto"/>
              </w:rPr>
            </w:pPr>
          </w:p>
        </w:tc>
        <w:tc>
          <w:tcPr>
            <w:tcW w:w="86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Leased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Cash</w:t>
            </w: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Cash Rent SLG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820" w:type="dxa"/>
            <w:vAlign w:val="bottom"/>
            <w:gridSpan w:val="2"/>
            <w:vMerge w:val="continue"/>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b w:val="1"/>
                <w:bCs w:val="1"/>
                <w:color w:val="auto"/>
              </w:rPr>
              <w:t>Interest (%)</w:t>
            </w:r>
          </w:p>
        </w:tc>
        <w:tc>
          <w:tcPr>
            <w:tcW w:w="10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201"/>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8"/>
                <w:szCs w:val="8"/>
                <w:b w:val="1"/>
                <w:bCs w:val="1"/>
                <w:color w:val="auto"/>
              </w:rPr>
              <w:t>(3)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2"/>
                <w:szCs w:val="12"/>
                <w:b w:val="1"/>
                <w:bCs w:val="1"/>
                <w:color w:val="auto"/>
              </w:rPr>
              <w:t>Rent ($'s)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2"/>
                <w:szCs w:val="12"/>
                <w:b w:val="1"/>
                <w:bCs w:val="1"/>
                <w:color w:val="auto"/>
              </w:rPr>
              <w:t>Share ($'s)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9"/>
              <w:spacing w:after="0" w:line="132" w:lineRule="exact"/>
              <w:rPr>
                <w:sz w:val="20"/>
                <w:szCs w:val="20"/>
                <w:color w:val="auto"/>
              </w:rPr>
            </w:pPr>
            <w:r>
              <w:rPr>
                <w:rFonts w:ascii="Times New Roman" w:cs="Times New Roman" w:eastAsia="Times New Roman" w:hAnsi="Times New Roman"/>
                <w:sz w:val="12"/>
                <w:szCs w:val="12"/>
                <w:b w:val="1"/>
                <w:bCs w:val="1"/>
                <w:color w:val="auto"/>
                <w:w w:val="96"/>
              </w:rPr>
              <w:t>Tenants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8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ALTERNATIVE STRATEGY PORTFOLIO</w:t>
            </w: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2 Herald Square</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95.0</w:t>
            </w:r>
          </w:p>
        </w:tc>
        <w:tc>
          <w:tcPr>
            <w:tcW w:w="10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Herald Square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369,000</w:t>
            </w:r>
          </w:p>
        </w:tc>
        <w:tc>
          <w:tcPr>
            <w:tcW w:w="1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60.3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60.3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20,291</w:t>
            </w:r>
          </w:p>
        </w:tc>
        <w:tc>
          <w:tcPr>
            <w:tcW w:w="80" w:type="dxa"/>
            <w:vAlign w:val="bottom"/>
          </w:tcPr>
          <w:p>
            <w:pPr>
              <w:spacing w:after="0"/>
              <w:rPr>
                <w:sz w:val="14"/>
                <w:szCs w:val="14"/>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19,276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9"/>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11 West 34th Street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30.0</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Herald Square/Penn Station</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17,150</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w w:val="99"/>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115 Spring Street</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51.0</w:t>
            </w:r>
          </w:p>
        </w:tc>
        <w:tc>
          <w:tcPr>
            <w:tcW w:w="10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Soho</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5,218</w:t>
            </w:r>
          </w:p>
        </w:tc>
        <w:tc>
          <w:tcPr>
            <w:tcW w:w="1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9"/>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650 Fifth Avenue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50.0</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Plaza District</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69,214</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41,308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20,655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right="39"/>
              <w:spacing w:after="0"/>
              <w:rPr>
                <w:sz w:val="20"/>
                <w:szCs w:val="20"/>
                <w:color w:val="auto"/>
              </w:rPr>
            </w:pPr>
            <w:r>
              <w:rPr>
                <w:rFonts w:ascii="Times New Roman" w:cs="Times New Roman" w:eastAsia="Times New Roman" w:hAnsi="Times New Roman"/>
                <w:sz w:val="12"/>
                <w:szCs w:val="12"/>
                <w:color w:val="auto"/>
                <w:w w:val="99"/>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1552-1560 Broadway</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50.0</w:t>
            </w:r>
          </w:p>
        </w:tc>
        <w:tc>
          <w:tcPr>
            <w:tcW w:w="10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Times Square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57,718</w:t>
            </w:r>
          </w:p>
        </w:tc>
        <w:tc>
          <w:tcPr>
            <w:tcW w:w="1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12.6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12.6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2"/>
                <w:szCs w:val="12"/>
                <w:color w:val="auto"/>
                <w:w w:val="99"/>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Worldwide Plaza</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25.0</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Westside</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2,048,725</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63.3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63.3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77,129</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19,244</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ind w:right="19"/>
              <w:spacing w:after="0"/>
              <w:rPr>
                <w:sz w:val="20"/>
                <w:szCs w:val="20"/>
                <w:color w:val="auto"/>
              </w:rPr>
            </w:pPr>
            <w:r>
              <w:rPr>
                <w:rFonts w:ascii="Times New Roman" w:cs="Times New Roman" w:eastAsia="Times New Roman" w:hAnsi="Times New Roman"/>
                <w:sz w:val="12"/>
                <w:szCs w:val="12"/>
                <w:color w:val="auto"/>
                <w:w w:val="99"/>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Subtotal/Weighted Average</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2,567,025</w:t>
            </w:r>
          </w:p>
        </w:tc>
        <w:tc>
          <w:tcPr>
            <w:tcW w:w="10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63.0%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63.0%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148,387</w:t>
            </w:r>
          </w:p>
        </w:tc>
        <w:tc>
          <w:tcPr>
            <w:tcW w:w="80" w:type="dxa"/>
            <w:vAlign w:val="bottom"/>
          </w:tcPr>
          <w:p>
            <w:pPr>
              <w:spacing w:after="0"/>
              <w:rPr>
                <w:sz w:val="13"/>
                <w:szCs w:val="13"/>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63,333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9"/>
              </w:rPr>
              <w:t>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80" w:type="dxa"/>
            <w:vAlign w:val="bottom"/>
            <w:gridSpan w:val="3"/>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tcBorders>
              <w:bottom w:val="single" w:sz="8" w:color="auto"/>
            </w:tcBorders>
            <w:gridSpan w:val="2"/>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tcBorders>
              <w:bottom w:val="single" w:sz="8" w:color="auto"/>
            </w:tcBorders>
            <w:gridSpan w:val="2"/>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bottom w:val="single" w:sz="8" w:color="auto"/>
            </w:tcBorders>
            <w:gridSpan w:val="2"/>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gridSpan w:val="2"/>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Total / Weighted Average Alternative Strategy Portfolio Properties</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2,567,025</w:t>
            </w: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63.0%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63.0%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148,387</w:t>
            </w:r>
          </w:p>
        </w:tc>
        <w:tc>
          <w:tcPr>
            <w:tcW w:w="80" w:type="dxa"/>
            <w:vAlign w:val="bottom"/>
          </w:tcPr>
          <w:p>
            <w:pPr>
              <w:spacing w:after="0"/>
              <w:rPr>
                <w:sz w:val="14"/>
                <w:szCs w:val="14"/>
                <w:color w:val="auto"/>
              </w:rPr>
            </w:pPr>
          </w:p>
        </w:tc>
        <w:tc>
          <w:tcPr>
            <w:tcW w:w="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63,333</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w w:val="99"/>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rentable square footage at the time the property was acquired.</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Occupancy for commenced leases.</w:t>
      </w:r>
    </w:p>
    <w:p>
      <w:pPr>
        <w:spacing w:after="0" w:line="5"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Occupancy inclusive of leases signed but not yet commenced.</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also owns 50% of the fee interest.</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occupied units. Amount in dollars.</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Property occupied by Pace University and used as an academic center and dormitory space. 484 represents number of beds.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Historical Occupancy</w:t>
      </w:r>
    </w:p>
    <w:p>
      <w:pPr>
        <w:spacing w:after="0" w:line="123" w:lineRule="exact"/>
        <w:rPr>
          <w:sz w:val="20"/>
          <w:szCs w:val="20"/>
          <w:color w:val="auto"/>
        </w:rPr>
      </w:pPr>
    </w:p>
    <w:p>
      <w:pPr>
        <w:ind w:right="100" w:firstLine="433"/>
        <w:spacing w:after="0" w:line="297" w:lineRule="auto"/>
        <w:rPr>
          <w:sz w:val="20"/>
          <w:szCs w:val="20"/>
          <w:color w:val="auto"/>
        </w:rPr>
      </w:pPr>
      <w:r>
        <w:rPr>
          <w:rFonts w:ascii="Times New Roman" w:cs="Times New Roman" w:eastAsia="Times New Roman" w:hAnsi="Times New Roman"/>
          <w:sz w:val="17"/>
          <w:szCs w:val="17"/>
          <w:color w:val="auto"/>
        </w:rPr>
        <w:t>Historically, we have achieved materially higher occupancy rates in our Manhattan office portfolio as compared to the overall midtown Manhattan office market, as shown in the following table: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Occupancy Rate of</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Occupancy Rate of Class A</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Occupancy Rate of Class B</w:t>
            </w:r>
          </w:p>
        </w:tc>
        <w:tc>
          <w:tcPr>
            <w:tcW w:w="0" w:type="dxa"/>
            <w:vAlign w:val="bottom"/>
          </w:tcPr>
          <w:p>
            <w:pPr>
              <w:spacing w:after="0"/>
              <w:rPr>
                <w:sz w:val="1"/>
                <w:szCs w:val="1"/>
                <w:color w:val="auto"/>
              </w:rPr>
            </w:pPr>
          </w:p>
        </w:tc>
      </w:tr>
      <w:tr>
        <w:trPr>
          <w:trHeight w:val="144"/>
        </w:trPr>
        <w:tc>
          <w:tcPr>
            <w:tcW w:w="564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9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Office Properties in the</w:t>
            </w:r>
          </w:p>
        </w:tc>
        <w:tc>
          <w:tcPr>
            <w:tcW w:w="18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Office Properties in the</w:t>
            </w: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19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Manhattan Operating</w:t>
            </w:r>
          </w:p>
        </w:tc>
        <w:tc>
          <w:tcPr>
            <w:tcW w:w="19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Midtown Manhattan</w:t>
            </w:r>
          </w:p>
        </w:tc>
        <w:tc>
          <w:tcPr>
            <w:tcW w:w="1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Midtown Manhattan</w:t>
            </w:r>
          </w:p>
        </w:tc>
        <w:tc>
          <w:tcPr>
            <w:tcW w:w="0" w:type="dxa"/>
            <w:vAlign w:val="bottom"/>
          </w:tcPr>
          <w:p>
            <w:pPr>
              <w:spacing w:after="0"/>
              <w:rPr>
                <w:sz w:val="1"/>
                <w:szCs w:val="1"/>
                <w:color w:val="auto"/>
              </w:rPr>
            </w:pPr>
          </w:p>
        </w:tc>
      </w:tr>
      <w:tr>
        <w:trPr>
          <w:trHeight w:val="210"/>
        </w:trPr>
        <w:tc>
          <w:tcPr>
            <w:tcW w:w="564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 xml:space="preserve">Portfolio </w:t>
            </w:r>
            <w:r>
              <w:rPr>
                <w:rFonts w:ascii="Times New Roman" w:cs="Times New Roman" w:eastAsia="Times New Roman" w:hAnsi="Times New Roman"/>
                <w:sz w:val="18"/>
                <w:szCs w:val="18"/>
                <w:b w:val="1"/>
                <w:bCs w:val="1"/>
                <w:color w:val="auto"/>
                <w:w w:val="96"/>
                <w:vertAlign w:val="superscript"/>
              </w:rPr>
              <w:t>(1)</w:t>
            </w: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0"/>
              </w:rPr>
              <w:t xml:space="preserve">Markets </w:t>
            </w:r>
            <w:r>
              <w:rPr>
                <w:rFonts w:ascii="Times New Roman" w:cs="Times New Roman" w:eastAsia="Times New Roman" w:hAnsi="Times New Roman"/>
                <w:sz w:val="18"/>
                <w:szCs w:val="18"/>
                <w:b w:val="1"/>
                <w:bCs w:val="1"/>
                <w:color w:val="auto"/>
                <w:w w:val="90"/>
                <w:vertAlign w:val="superscript"/>
              </w:rPr>
              <w:t>(2)(3)</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 xml:space="preserve">Markets </w:t>
            </w:r>
            <w:r>
              <w:rPr>
                <w:rFonts w:ascii="Times New Roman" w:cs="Times New Roman" w:eastAsia="Times New Roman" w:hAnsi="Times New Roman"/>
                <w:sz w:val="18"/>
                <w:szCs w:val="18"/>
                <w:b w:val="1"/>
                <w:bCs w:val="1"/>
                <w:color w:val="auto"/>
                <w:w w:val="92"/>
                <w:vertAlign w:val="superscript"/>
              </w:rPr>
              <w:t>(2)(3)</w:t>
            </w:r>
          </w:p>
        </w:tc>
        <w:tc>
          <w:tcPr>
            <w:tcW w:w="0" w:type="dxa"/>
            <w:vAlign w:val="bottom"/>
          </w:tcPr>
          <w:p>
            <w:pPr>
              <w:spacing w:after="0"/>
              <w:rPr>
                <w:sz w:val="1"/>
                <w:szCs w:val="1"/>
                <w:color w:val="auto"/>
              </w:rPr>
            </w:pPr>
          </w:p>
        </w:tc>
      </w:tr>
      <w:tr>
        <w:trPr>
          <w:trHeight w:val="190"/>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92.5%</w:t>
            </w:r>
          </w:p>
        </w:tc>
        <w:tc>
          <w:tcPr>
            <w:tcW w:w="1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78.0%</w:t>
            </w:r>
          </w:p>
        </w:tc>
        <w:tc>
          <w:tcPr>
            <w:tcW w:w="1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73.6%</w:t>
            </w:r>
          </w:p>
        </w:tc>
        <w:tc>
          <w:tcPr>
            <w:tcW w:w="0" w:type="dxa"/>
            <w:vAlign w:val="bottom"/>
          </w:tcPr>
          <w:p>
            <w:pPr>
              <w:spacing w:after="0"/>
              <w:rPr>
                <w:sz w:val="1"/>
                <w:szCs w:val="1"/>
                <w:color w:val="auto"/>
              </w:rPr>
            </w:pPr>
          </w:p>
        </w:tc>
      </w:tr>
      <w:tr>
        <w:trPr>
          <w:trHeight w:val="19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89.4%</w:t>
            </w: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78.4%</w:t>
            </w: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75.5%</w:t>
            </w: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2022</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90.7%</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78.4%</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76.6%</w:t>
            </w:r>
          </w:p>
        </w:tc>
        <w:tc>
          <w:tcPr>
            <w:tcW w:w="0" w:type="dxa"/>
            <w:vAlign w:val="bottom"/>
          </w:tcPr>
          <w:p>
            <w:pPr>
              <w:spacing w:after="0"/>
              <w:rPr>
                <w:sz w:val="1"/>
                <w:szCs w:val="1"/>
                <w:color w:val="auto"/>
              </w:rPr>
            </w:pPr>
          </w:p>
        </w:tc>
      </w:tr>
      <w:tr>
        <w:trPr>
          <w:trHeight w:val="19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2021</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92.1%</w:t>
            </w: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80.6%</w:t>
            </w:r>
          </w:p>
        </w:tc>
        <w:tc>
          <w:tcPr>
            <w:tcW w:w="10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77.1%</w:t>
            </w:r>
          </w:p>
        </w:tc>
        <w:tc>
          <w:tcPr>
            <w:tcW w:w="0" w:type="dxa"/>
            <w:vAlign w:val="bottom"/>
          </w:tcPr>
          <w:p>
            <w:pPr>
              <w:spacing w:after="0"/>
              <w:rPr>
                <w:sz w:val="1"/>
                <w:szCs w:val="1"/>
                <w:color w:val="auto"/>
              </w:rPr>
            </w:pPr>
          </w:p>
        </w:tc>
      </w:tr>
      <w:tr>
        <w:trPr>
          <w:trHeight w:val="20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92.4%</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85.0%</w:t>
            </w:r>
          </w:p>
        </w:tc>
        <w:tc>
          <w:tcPr>
            <w:tcW w:w="100" w:type="dxa"/>
            <w:vAlign w:val="bottom"/>
            <w:shd w:val="clear" w:color="auto" w:fill="CCEEFF"/>
          </w:tcPr>
          <w:p>
            <w:pPr>
              <w:spacing w:after="0"/>
              <w:rPr>
                <w:sz w:val="17"/>
                <w:szCs w:val="17"/>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81.1%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00" w:hanging="395"/>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consolidated and unconsolidated Manhattan office properties.</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vacant space available for direct lease and sublease. Source: Cushman &amp; Wakefield.</w:t>
      </w:r>
    </w:p>
    <w:p>
      <w:pPr>
        <w:spacing w:after="0" w:line="9" w:lineRule="exact"/>
        <w:rPr>
          <w:rFonts w:ascii="Times New Roman" w:cs="Times New Roman" w:eastAsia="Times New Roman" w:hAnsi="Times New Roman"/>
          <w:sz w:val="14"/>
          <w:szCs w:val="14"/>
          <w:color w:val="auto"/>
        </w:rPr>
      </w:pPr>
    </w:p>
    <w:p>
      <w:pPr>
        <w:jc w:val="both"/>
        <w:ind w:left="400" w:hanging="395"/>
        <w:spacing w:after="0" w:line="261" w:lineRule="auto"/>
        <w:tabs>
          <w:tab w:leader="none" w:pos="39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 "Class B" is generally used in the Manhattan office market to describe office properties that are more than 25 years old but that are in good physical condition, enjoy widespread acceptance by high-quality tenants and are situated in desirable locations in Manhattan. Class B office properties can be distinguished from Class A properties in that Class A properties are generally newer properties with higher finishes and frequently obtain the highest rental rates within their markets.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 Expirations</w:t>
      </w:r>
    </w:p>
    <w:p>
      <w:pPr>
        <w:spacing w:after="0" w:line="123"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Leases in our Manhattan portfolio, as at many other Manhattan office properties, typically have an initial term of seven to fifteen years, compared to typical lease terms of five to ten years in other large U.S. office markets. For the five years ending December 31, 2029, the average annual lease expirations at our Manhattan consolidated and unconsolidated operating properties is expected to be approximately 0.8 million square feet and approximately 0.3 million square feet, respectively, representing an average annual expiration rate of approximately 8.9% and approximately 2.3%, respectively, per year (assuming no tenants exercise renewal or cancellation options and there are no tenant bankruptcies or other tenant defaults).</w:t>
      </w:r>
    </w:p>
    <w:p>
      <w:pPr>
        <w:spacing w:after="0" w:line="6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following tables set forth a schedule of the annual lease expirations at our Manhattan consolidated and unconsolidated operating properties, respectively, with respect to leases in place as of December 31, 2024 for each of the next ten years and thereafter (assuming that no tenants exercise renewal or cancellation options and that there are no tenant bankruptcies or other tenant defaults):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Manhattan Consolidated Operating Properties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5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Annualized Cash</w:t>
            </w:r>
          </w:p>
        </w:tc>
        <w:tc>
          <w:tcPr>
            <w:tcW w:w="0" w:type="dxa"/>
            <w:vAlign w:val="bottom"/>
          </w:tcPr>
          <w:p>
            <w:pPr>
              <w:spacing w:after="0"/>
              <w:rPr>
                <w:sz w:val="1"/>
                <w:szCs w:val="1"/>
                <w:color w:val="auto"/>
              </w:rPr>
            </w:pPr>
          </w:p>
        </w:tc>
      </w:tr>
      <w:tr>
        <w:trPr>
          <w:trHeight w:val="144"/>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Annualized Cash</w:t>
            </w:r>
          </w:p>
        </w:tc>
        <w:tc>
          <w:tcPr>
            <w:tcW w:w="220" w:type="dxa"/>
            <w:vAlign w:val="bottom"/>
          </w:tcPr>
          <w:p>
            <w:pPr>
              <w:spacing w:after="0"/>
              <w:rPr>
                <w:sz w:val="12"/>
                <w:szCs w:val="12"/>
                <w:color w:val="auto"/>
              </w:rPr>
            </w:pPr>
          </w:p>
        </w:tc>
        <w:tc>
          <w:tcPr>
            <w:tcW w:w="1180" w:type="dxa"/>
            <w:vAlign w:val="bottom"/>
          </w:tcPr>
          <w:p>
            <w:pPr>
              <w:jc w:val="center"/>
              <w:ind w:right="5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Rent per Square</w:t>
            </w:r>
          </w:p>
        </w:tc>
        <w:tc>
          <w:tcPr>
            <w:tcW w:w="0" w:type="dxa"/>
            <w:vAlign w:val="bottom"/>
          </w:tcPr>
          <w:p>
            <w:pPr>
              <w:spacing w:after="0"/>
              <w:rPr>
                <w:sz w:val="1"/>
                <w:szCs w:val="1"/>
                <w:color w:val="auto"/>
              </w:rPr>
            </w:pPr>
          </w:p>
        </w:tc>
      </w:tr>
      <w:tr>
        <w:trPr>
          <w:trHeight w:val="52"/>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Square Footage of</w:t>
            </w: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Percentage of Total</w:t>
            </w:r>
          </w:p>
        </w:tc>
        <w:tc>
          <w:tcPr>
            <w:tcW w:w="80" w:type="dxa"/>
            <w:vAlign w:val="bottom"/>
          </w:tcPr>
          <w:p>
            <w:pPr>
              <w:spacing w:after="0"/>
              <w:rPr>
                <w:sz w:val="4"/>
                <w:szCs w:val="4"/>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Annualized Cash Rent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Rent of Expiring</w:t>
            </w:r>
          </w:p>
        </w:tc>
        <w:tc>
          <w:tcPr>
            <w:tcW w:w="220" w:type="dxa"/>
            <w:vAlign w:val="bottom"/>
          </w:tcPr>
          <w:p>
            <w:pPr>
              <w:spacing w:after="0"/>
              <w:rPr>
                <w:sz w:val="4"/>
                <w:szCs w:val="4"/>
                <w:color w:val="auto"/>
              </w:rPr>
            </w:pPr>
          </w:p>
        </w:tc>
        <w:tc>
          <w:tcPr>
            <w:tcW w:w="118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Foot of Expiring</w:t>
            </w:r>
          </w:p>
        </w:tc>
        <w:tc>
          <w:tcPr>
            <w:tcW w:w="0" w:type="dxa"/>
            <w:vAlign w:val="bottom"/>
          </w:tcPr>
          <w:p>
            <w:pPr>
              <w:spacing w:after="0"/>
              <w:rPr>
                <w:sz w:val="1"/>
                <w:szCs w:val="1"/>
                <w:color w:val="auto"/>
              </w:rPr>
            </w:pPr>
          </w:p>
        </w:tc>
      </w:tr>
      <w:tr>
        <w:trPr>
          <w:trHeight w:val="143"/>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of Lease Expiration</w:t>
            </w:r>
          </w:p>
        </w:tc>
        <w:tc>
          <w:tcPr>
            <w:tcW w:w="110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Expiring Leases</w:t>
            </w:r>
          </w:p>
        </w:tc>
        <w:tc>
          <w:tcPr>
            <w:tcW w:w="142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0" w:type="dxa"/>
            <w:vAlign w:val="bottom"/>
            <w:gridSpan w:val="2"/>
            <w:vMerge w:val="continue"/>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Expiring Leases</w:t>
            </w:r>
          </w:p>
        </w:tc>
        <w:tc>
          <w:tcPr>
            <w:tcW w:w="14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80" w:type="dxa"/>
            <w:vAlign w:val="bottom"/>
          </w:tcPr>
          <w:p>
            <w:pPr>
              <w:spacing w:after="0"/>
              <w:rPr>
                <w:sz w:val="12"/>
                <w:szCs w:val="12"/>
                <w:color w:val="auto"/>
              </w:rPr>
            </w:pPr>
          </w:p>
        </w:tc>
        <w:tc>
          <w:tcPr>
            <w:tcW w:w="154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3"/>
                <w:szCs w:val="13"/>
                <w:b w:val="1"/>
                <w:bCs w:val="1"/>
                <w:color w:val="auto"/>
              </w:rPr>
              <w:t xml:space="preserve">of Expiring Leases </w:t>
            </w:r>
            <w:r>
              <w:rPr>
                <w:rFonts w:ascii="Times New Roman" w:cs="Times New Roman" w:eastAsia="Times New Roman" w:hAnsi="Times New Roman"/>
                <w:sz w:val="16"/>
                <w:szCs w:val="16"/>
                <w:b w:val="1"/>
                <w:bCs w:val="1"/>
                <w:color w:val="auto"/>
                <w:vertAlign w:val="superscript"/>
              </w:rPr>
              <w:t>(2)</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5"/>
              </w:rPr>
              <w:t>Leases</w:t>
            </w:r>
          </w:p>
        </w:tc>
        <w:tc>
          <w:tcPr>
            <w:tcW w:w="220" w:type="dxa"/>
            <w:vAlign w:val="bottom"/>
          </w:tcPr>
          <w:p>
            <w:pPr>
              <w:spacing w:after="0"/>
              <w:rPr>
                <w:sz w:val="12"/>
                <w:szCs w:val="12"/>
                <w:color w:val="auto"/>
              </w:rPr>
            </w:pPr>
          </w:p>
        </w:tc>
        <w:tc>
          <w:tcPr>
            <w:tcW w:w="1180" w:type="dxa"/>
            <w:vAlign w:val="bottom"/>
          </w:tcPr>
          <w:p>
            <w:pPr>
              <w:jc w:val="center"/>
              <w:ind w:right="30"/>
              <w:spacing w:after="0" w:line="145" w:lineRule="exact"/>
              <w:rPr>
                <w:sz w:val="20"/>
                <w:szCs w:val="20"/>
                <w:color w:val="auto"/>
              </w:rPr>
            </w:pPr>
            <w:r>
              <w:rPr>
                <w:rFonts w:ascii="Times New Roman" w:cs="Times New Roman" w:eastAsia="Times New Roman" w:hAnsi="Times New Roman"/>
                <w:sz w:val="14"/>
                <w:szCs w:val="14"/>
                <w:b w:val="1"/>
                <w:bCs w:val="1"/>
                <w:color w:val="auto"/>
                <w:w w:val="96"/>
              </w:rPr>
              <w:t xml:space="preserve">Leases </w:t>
            </w:r>
            <w:r>
              <w:rPr>
                <w:rFonts w:ascii="Times New Roman" w:cs="Times New Roman" w:eastAsia="Times New Roman" w:hAnsi="Times New Roman"/>
                <w:sz w:val="9"/>
                <w:szCs w:val="9"/>
                <w:b w:val="1"/>
                <w:bCs w:val="1"/>
                <w:color w:val="auto"/>
                <w:w w:val="96"/>
              </w:rPr>
              <w:t>(3)</w:t>
            </w:r>
          </w:p>
        </w:tc>
        <w:tc>
          <w:tcPr>
            <w:tcW w:w="0" w:type="dxa"/>
            <w:vAlign w:val="bottom"/>
          </w:tcPr>
          <w:p>
            <w:pPr>
              <w:spacing w:after="0"/>
              <w:rPr>
                <w:sz w:val="1"/>
                <w:szCs w:val="1"/>
                <w:color w:val="auto"/>
              </w:rPr>
            </w:pPr>
          </w:p>
        </w:tc>
      </w:tr>
      <w:tr>
        <w:trPr>
          <w:trHeight w:val="190"/>
        </w:trPr>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82</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755,344</w:t>
            </w:r>
          </w:p>
        </w:tc>
        <w:tc>
          <w:tcPr>
            <w:tcW w:w="1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9.0%</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60,710,221</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80.37</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78</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847,874</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58,604,929</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69.12</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80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808,055</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9.7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65,504,055</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11.2</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81.06</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64</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675,774</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8.1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49,898,756</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73.84</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705,732</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8.4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48,572,940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8.3</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68.83</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848,373</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59,570,712</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70.22</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26</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423,086</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5.1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31,467,856</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74.38</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731,991</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8.7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45,177,103</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61.72</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348,403</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4.2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27,643,595</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79.34</w:t>
            </w:r>
          </w:p>
        </w:tc>
        <w:tc>
          <w:tcPr>
            <w:tcW w:w="0" w:type="dxa"/>
            <w:vAlign w:val="bottom"/>
          </w:tcPr>
          <w:p>
            <w:pPr>
              <w:spacing w:after="0"/>
              <w:rPr>
                <w:sz w:val="1"/>
                <w:szCs w:val="1"/>
                <w:color w:val="auto"/>
              </w:rPr>
            </w:pPr>
          </w:p>
        </w:tc>
      </w:tr>
      <w:tr>
        <w:trPr>
          <w:trHeight w:val="190"/>
        </w:trPr>
        <w:tc>
          <w:tcPr>
            <w:tcW w:w="3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2034 &amp; thereafter</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76</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2,225,853</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26.6</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139,472,014</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23.8</w:t>
            </w:r>
          </w:p>
        </w:tc>
        <w:tc>
          <w:tcPr>
            <w:tcW w:w="22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62.66</w:t>
            </w:r>
          </w:p>
        </w:tc>
        <w:tc>
          <w:tcPr>
            <w:tcW w:w="0" w:type="dxa"/>
            <w:vAlign w:val="bottom"/>
          </w:tcPr>
          <w:p>
            <w:pPr>
              <w:spacing w:after="0"/>
              <w:rPr>
                <w:sz w:val="1"/>
                <w:szCs w:val="1"/>
                <w:color w:val="auto"/>
              </w:rPr>
            </w:pPr>
          </w:p>
        </w:tc>
      </w:tr>
      <w:tr>
        <w:trPr>
          <w:trHeight w:val="222"/>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Total/weighted average</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548</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8,370,485</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586,622,181</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70.08</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Tenants may have multiple leases.</w:t>
      </w:r>
    </w:p>
    <w:p>
      <w:pPr>
        <w:spacing w:after="0" w:line="21" w:lineRule="exact"/>
        <w:rPr>
          <w:rFonts w:ascii="Times New Roman" w:cs="Times New Roman" w:eastAsia="Times New Roman" w:hAnsi="Times New Roman"/>
          <w:sz w:val="14"/>
          <w:szCs w:val="14"/>
          <w:color w:val="auto"/>
        </w:rPr>
      </w:pPr>
    </w:p>
    <w:p>
      <w:pPr>
        <w:ind w:left="400" w:hanging="395"/>
        <w:spacing w:after="0" w:line="247" w:lineRule="auto"/>
        <w:tabs>
          <w:tab w:leader="none" w:pos="39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monthly contractual rent under existing leases as of December 31, 2024 multiplied by 12. This amount reflects total rent before any rent abatements, deferrals, concessions and includes expense reimbursements, which may be estimated as of such date.</w:t>
      </w:r>
    </w:p>
    <w:p>
      <w:pPr>
        <w:ind w:left="400" w:hanging="395"/>
        <w:spacing w:after="0"/>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Annualized Cash Rent of Expiring Leases, as described in footnote (2) above, presented on a per square foot basis.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Manhattan Unconsolidated Operating Properties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5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Annualized Cash</w:t>
            </w:r>
          </w:p>
        </w:tc>
        <w:tc>
          <w:tcPr>
            <w:tcW w:w="0" w:type="dxa"/>
            <w:vAlign w:val="bottom"/>
          </w:tcPr>
          <w:p>
            <w:pPr>
              <w:spacing w:after="0"/>
              <w:rPr>
                <w:sz w:val="1"/>
                <w:szCs w:val="1"/>
                <w:color w:val="auto"/>
              </w:rPr>
            </w:pPr>
          </w:p>
        </w:tc>
      </w:tr>
      <w:tr>
        <w:trPr>
          <w:trHeight w:val="133"/>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Annualized Cash</w:t>
            </w:r>
          </w:p>
        </w:tc>
        <w:tc>
          <w:tcPr>
            <w:tcW w:w="220" w:type="dxa"/>
            <w:vAlign w:val="bottom"/>
          </w:tcPr>
          <w:p>
            <w:pPr>
              <w:spacing w:after="0"/>
              <w:rPr>
                <w:sz w:val="11"/>
                <w:szCs w:val="11"/>
                <w:color w:val="auto"/>
              </w:rPr>
            </w:pPr>
          </w:p>
        </w:tc>
        <w:tc>
          <w:tcPr>
            <w:tcW w:w="1180" w:type="dxa"/>
            <w:vAlign w:val="bottom"/>
          </w:tcPr>
          <w:p>
            <w:pPr>
              <w:jc w:val="center"/>
              <w:ind w:right="50"/>
              <w:spacing w:after="0" w:line="133" w:lineRule="exact"/>
              <w:rPr>
                <w:sz w:val="20"/>
                <w:szCs w:val="20"/>
                <w:color w:val="auto"/>
              </w:rPr>
            </w:pPr>
            <w:r>
              <w:rPr>
                <w:rFonts w:ascii="Times New Roman" w:cs="Times New Roman" w:eastAsia="Times New Roman" w:hAnsi="Times New Roman"/>
                <w:sz w:val="14"/>
                <w:szCs w:val="14"/>
                <w:b w:val="1"/>
                <w:bCs w:val="1"/>
                <w:color w:val="auto"/>
                <w:w w:val="99"/>
              </w:rPr>
              <w:t>Rent per Square</w:t>
            </w:r>
          </w:p>
        </w:tc>
        <w:tc>
          <w:tcPr>
            <w:tcW w:w="0" w:type="dxa"/>
            <w:vAlign w:val="bottom"/>
          </w:tcPr>
          <w:p>
            <w:pPr>
              <w:spacing w:after="0"/>
              <w:rPr>
                <w:sz w:val="1"/>
                <w:szCs w:val="1"/>
                <w:color w:val="auto"/>
              </w:rPr>
            </w:pPr>
          </w:p>
        </w:tc>
      </w:tr>
      <w:tr>
        <w:trPr>
          <w:trHeight w:val="64"/>
        </w:trPr>
        <w:tc>
          <w:tcPr>
            <w:tcW w:w="2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Square Footage of</w:t>
            </w:r>
          </w:p>
        </w:tc>
        <w:tc>
          <w:tcPr>
            <w:tcW w:w="14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Percentage of Total</w:t>
            </w:r>
          </w:p>
        </w:tc>
        <w:tc>
          <w:tcPr>
            <w:tcW w:w="80" w:type="dxa"/>
            <w:vAlign w:val="bottom"/>
          </w:tcPr>
          <w:p>
            <w:pPr>
              <w:spacing w:after="0"/>
              <w:rPr>
                <w:sz w:val="5"/>
                <w:szCs w:val="5"/>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Annualized Cash Rent</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Rent of Expiring</w:t>
            </w:r>
          </w:p>
        </w:tc>
        <w:tc>
          <w:tcPr>
            <w:tcW w:w="220" w:type="dxa"/>
            <w:vAlign w:val="bottom"/>
          </w:tcPr>
          <w:p>
            <w:pPr>
              <w:spacing w:after="0"/>
              <w:rPr>
                <w:sz w:val="5"/>
                <w:szCs w:val="5"/>
                <w:color w:val="auto"/>
              </w:rPr>
            </w:pPr>
          </w:p>
        </w:tc>
        <w:tc>
          <w:tcPr>
            <w:tcW w:w="1180" w:type="dxa"/>
            <w:vAlign w:val="bottom"/>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Foot of Expiring</w:t>
            </w:r>
          </w:p>
        </w:tc>
        <w:tc>
          <w:tcPr>
            <w:tcW w:w="0" w:type="dxa"/>
            <w:vAlign w:val="bottom"/>
          </w:tcPr>
          <w:p>
            <w:pPr>
              <w:spacing w:after="0"/>
              <w:rPr>
                <w:sz w:val="1"/>
                <w:szCs w:val="1"/>
                <w:color w:val="auto"/>
              </w:rPr>
            </w:pPr>
          </w:p>
        </w:tc>
      </w:tr>
      <w:tr>
        <w:trPr>
          <w:trHeight w:val="131"/>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of Lease Expiration</w:t>
            </w:r>
          </w:p>
        </w:tc>
        <w:tc>
          <w:tcPr>
            <w:tcW w:w="11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Expiring Leases</w:t>
            </w:r>
          </w:p>
        </w:tc>
        <w:tc>
          <w:tcPr>
            <w:tcW w:w="142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000" w:type="dxa"/>
            <w:vAlign w:val="bottom"/>
            <w:gridSpan w:val="2"/>
            <w:vMerge w:val="continue"/>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Expiring Leases</w:t>
            </w:r>
          </w:p>
        </w:tc>
        <w:tc>
          <w:tcPr>
            <w:tcW w:w="1400" w:type="dxa"/>
            <w:vAlign w:val="bottom"/>
            <w:gridSpan w:val="2"/>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80" w:type="dxa"/>
            <w:vAlign w:val="bottom"/>
          </w:tcPr>
          <w:p>
            <w:pPr>
              <w:spacing w:after="0"/>
              <w:rPr>
                <w:sz w:val="13"/>
                <w:szCs w:val="13"/>
                <w:color w:val="auto"/>
              </w:rPr>
            </w:pPr>
          </w:p>
        </w:tc>
        <w:tc>
          <w:tcPr>
            <w:tcW w:w="154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w w:val="98"/>
              </w:rPr>
              <w:t xml:space="preserve">of Expiring Leases </w:t>
            </w:r>
            <w:r>
              <w:rPr>
                <w:rFonts w:ascii="Times New Roman" w:cs="Times New Roman" w:eastAsia="Times New Roman" w:hAnsi="Times New Roman"/>
                <w:sz w:val="9"/>
                <w:szCs w:val="9"/>
                <w:b w:val="1"/>
                <w:bCs w:val="1"/>
                <w:color w:val="auto"/>
                <w:w w:val="98"/>
              </w:rPr>
              <w:t>(2)</w:t>
            </w:r>
          </w:p>
        </w:tc>
        <w:tc>
          <w:tcPr>
            <w:tcW w:w="13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5"/>
              </w:rPr>
              <w:t>Leases</w:t>
            </w:r>
          </w:p>
        </w:tc>
        <w:tc>
          <w:tcPr>
            <w:tcW w:w="220" w:type="dxa"/>
            <w:vAlign w:val="bottom"/>
          </w:tcPr>
          <w:p>
            <w:pPr>
              <w:spacing w:after="0"/>
              <w:rPr>
                <w:sz w:val="13"/>
                <w:szCs w:val="13"/>
                <w:color w:val="auto"/>
              </w:rPr>
            </w:pPr>
          </w:p>
        </w:tc>
        <w:tc>
          <w:tcPr>
            <w:tcW w:w="1180" w:type="dxa"/>
            <w:vAlign w:val="bottom"/>
          </w:tcPr>
          <w:p>
            <w:pPr>
              <w:jc w:val="center"/>
              <w:ind w:right="30"/>
              <w:spacing w:after="0" w:line="157" w:lineRule="exact"/>
              <w:rPr>
                <w:sz w:val="20"/>
                <w:szCs w:val="20"/>
                <w:color w:val="auto"/>
              </w:rPr>
            </w:pPr>
            <w:r>
              <w:rPr>
                <w:rFonts w:ascii="Times New Roman" w:cs="Times New Roman" w:eastAsia="Times New Roman" w:hAnsi="Times New Roman"/>
                <w:sz w:val="14"/>
                <w:szCs w:val="14"/>
                <w:b w:val="1"/>
                <w:bCs w:val="1"/>
                <w:color w:val="auto"/>
                <w:w w:val="90"/>
              </w:rPr>
              <w:t xml:space="preserve">Leases </w:t>
            </w:r>
            <w:r>
              <w:rPr>
                <w:rFonts w:ascii="Times New Roman" w:cs="Times New Roman" w:eastAsia="Times New Roman" w:hAnsi="Times New Roman"/>
                <w:sz w:val="18"/>
                <w:szCs w:val="18"/>
                <w:b w:val="1"/>
                <w:bCs w:val="1"/>
                <w:color w:val="auto"/>
                <w:w w:val="90"/>
                <w:vertAlign w:val="superscript"/>
              </w:rPr>
              <w:t>(3)</w:t>
            </w:r>
          </w:p>
        </w:tc>
        <w:tc>
          <w:tcPr>
            <w:tcW w:w="0" w:type="dxa"/>
            <w:vAlign w:val="bottom"/>
          </w:tcPr>
          <w:p>
            <w:pPr>
              <w:spacing w:after="0"/>
              <w:rPr>
                <w:sz w:val="1"/>
                <w:szCs w:val="1"/>
                <w:color w:val="auto"/>
              </w:rPr>
            </w:pPr>
          </w:p>
        </w:tc>
      </w:tr>
      <w:tr>
        <w:trPr>
          <w:trHeight w:val="190"/>
        </w:trPr>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312,979</w:t>
            </w:r>
          </w:p>
        </w:tc>
        <w:tc>
          <w:tcPr>
            <w:tcW w:w="1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2.8%</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30,453,092</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97.30</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350,768</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47,036,241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211.30</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222,604</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31,852,679</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143.09</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250,810</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30,428,097</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121.32</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147,621</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1.3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15,378,083</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104.17</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329,755</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2.9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38,410,279</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116.48</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2,688,738</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23.8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205,643,360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18.7</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76.48</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992,725</w:t>
            </w: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8.8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89,598,105</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2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90.25</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250,685</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2.2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28,051,255</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111.90</w:t>
            </w:r>
          </w:p>
        </w:tc>
        <w:tc>
          <w:tcPr>
            <w:tcW w:w="0" w:type="dxa"/>
            <w:vAlign w:val="bottom"/>
          </w:tcPr>
          <w:p>
            <w:pPr>
              <w:spacing w:after="0"/>
              <w:rPr>
                <w:sz w:val="1"/>
                <w:szCs w:val="1"/>
                <w:color w:val="auto"/>
              </w:rPr>
            </w:pPr>
          </w:p>
        </w:tc>
      </w:tr>
      <w:tr>
        <w:trPr>
          <w:trHeight w:val="190"/>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2034 &amp; thereafter</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5,740,480</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50.9</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583,552,328</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53.0</w:t>
            </w:r>
          </w:p>
        </w:tc>
        <w:tc>
          <w:tcPr>
            <w:tcW w:w="22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101.66</w:t>
            </w:r>
          </w:p>
        </w:tc>
        <w:tc>
          <w:tcPr>
            <w:tcW w:w="0" w:type="dxa"/>
            <w:vAlign w:val="bottom"/>
          </w:tcPr>
          <w:p>
            <w:pPr>
              <w:spacing w:after="0"/>
              <w:rPr>
                <w:sz w:val="1"/>
                <w:szCs w:val="1"/>
                <w:color w:val="auto"/>
              </w:rPr>
            </w:pPr>
          </w:p>
        </w:tc>
      </w:tr>
      <w:tr>
        <w:trPr>
          <w:trHeight w:val="222"/>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Total/weighted average</w:t>
            </w:r>
          </w:p>
        </w:tc>
        <w:tc>
          <w:tcPr>
            <w:tcW w:w="10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214</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11,287,165</w:t>
            </w: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1,100,403,519</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97.49</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tabs>
          <w:tab w:leader="none" w:pos="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Tenants may have multiple leases.</w:t>
      </w:r>
    </w:p>
    <w:p>
      <w:pPr>
        <w:spacing w:after="0" w:line="21" w:lineRule="exact"/>
        <w:rPr>
          <w:rFonts w:ascii="Times New Roman" w:cs="Times New Roman" w:eastAsia="Times New Roman" w:hAnsi="Times New Roman"/>
          <w:sz w:val="14"/>
          <w:szCs w:val="14"/>
          <w:color w:val="auto"/>
        </w:rPr>
      </w:pPr>
    </w:p>
    <w:p>
      <w:pPr>
        <w:ind w:left="400" w:hanging="395"/>
        <w:spacing w:after="0" w:line="254" w:lineRule="auto"/>
        <w:tabs>
          <w:tab w:leader="none" w:pos="39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monthly contractual rent under existing leases as of December 31, 2024 multiplied by 12. This amount reflects total rent before any rent abatements, deferrals, concessions and includes expense reimbursements, which may be estimated as of such date.</w:t>
      </w:r>
    </w:p>
    <w:p>
      <w:pPr>
        <w:ind w:left="400" w:hanging="395"/>
        <w:spacing w:after="0"/>
        <w:tabs>
          <w:tab w:leader="none" w:pos="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Annualized Cash Rent of Expiring Leases, as described in footnote (2) above, presented on a per square foot basis.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Tenant Diversification</w:t>
      </w:r>
    </w:p>
    <w:p>
      <w:pPr>
        <w:spacing w:after="0" w:line="123"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As of December 31, 2024, our properties were leased to 902 tenants, which are engaged in a variety of businesses, including, but not limited to, financial services, professional services, technology, advertising, media, information, apparel, business services and government/non-profit. The following table sets forth information regarding the leases with respect to the 20 largest tenants in our properties (based on commenced leases), which are not intended to be representative of our tenants as a whole, based on the amount of our share of annualized cash rent as of December 31, 2024:</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Total Rentable</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Annualized Cash</w:t>
            </w:r>
          </w:p>
        </w:tc>
        <w:tc>
          <w:tcPr>
            <w:tcW w:w="120" w:type="dxa"/>
            <w:vAlign w:val="bottom"/>
          </w:tcPr>
          <w:p>
            <w:pPr>
              <w:spacing w:after="0"/>
              <w:rPr>
                <w:sz w:val="12"/>
                <w:szCs w:val="12"/>
                <w:color w:val="auto"/>
              </w:rPr>
            </w:pPr>
          </w:p>
        </w:tc>
        <w:tc>
          <w:tcPr>
            <w:tcW w:w="880" w:type="dxa"/>
            <w:vAlign w:val="bottom"/>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9"/>
              </w:rPr>
              <w:t>SLG Share of</w:t>
            </w:r>
          </w:p>
        </w:tc>
        <w:tc>
          <w:tcPr>
            <w:tcW w:w="120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 of SLG Share of</w:t>
            </w:r>
          </w:p>
        </w:tc>
        <w:tc>
          <w:tcPr>
            <w:tcW w:w="980" w:type="dxa"/>
            <w:vAlign w:val="bottom"/>
          </w:tcPr>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Annualized Cash</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320" w:type="dxa"/>
            <w:vAlign w:val="bottom"/>
            <w:vMerge w:val="restart"/>
          </w:tcPr>
          <w:p>
            <w:pPr>
              <w:ind w:left="240"/>
              <w:spacing w:after="0"/>
              <w:rPr>
                <w:sz w:val="20"/>
                <w:szCs w:val="20"/>
                <w:color w:val="auto"/>
              </w:rPr>
            </w:pPr>
            <w:r>
              <w:rPr>
                <w:rFonts w:ascii="Times New Roman" w:cs="Times New Roman" w:eastAsia="Times New Roman" w:hAnsi="Times New Roman"/>
                <w:sz w:val="12"/>
                <w:szCs w:val="12"/>
                <w:b w:val="1"/>
                <w:bCs w:val="1"/>
                <w:color w:val="auto"/>
              </w:rPr>
              <w:t xml:space="preserve">Lease Expiration </w:t>
            </w:r>
            <w:r>
              <w:rPr>
                <w:rFonts w:ascii="Times New Roman" w:cs="Times New Roman" w:eastAsia="Times New Roman" w:hAnsi="Times New Roman"/>
                <w:sz w:val="15"/>
                <w:szCs w:val="15"/>
                <w:b w:val="1"/>
                <w:bCs w:val="1"/>
                <w:color w:val="auto"/>
                <w:vertAlign w:val="superscript"/>
              </w:rPr>
              <w:t>(1)</w:t>
            </w:r>
          </w:p>
        </w:tc>
        <w:tc>
          <w:tcPr>
            <w:tcW w:w="980" w:type="dxa"/>
            <w:vAlign w:val="bottom"/>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Annualized Cash</w:t>
            </w:r>
          </w:p>
        </w:tc>
        <w:tc>
          <w:tcPr>
            <w:tcW w:w="120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2"/>
                <w:szCs w:val="12"/>
                <w:b w:val="1"/>
                <w:bCs w:val="1"/>
                <w:color w:val="auto"/>
              </w:rPr>
              <w:t>Annualized Cash</w:t>
            </w:r>
          </w:p>
        </w:tc>
        <w:tc>
          <w:tcPr>
            <w:tcW w:w="98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b w:val="1"/>
                <w:bCs w:val="1"/>
                <w:color w:val="auto"/>
              </w:rPr>
              <w:t>Rent per Square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4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2"/>
                <w:szCs w:val="12"/>
                <w:b w:val="1"/>
                <w:bCs w:val="1"/>
                <w:color w:val="auto"/>
              </w:rPr>
              <w:t>Tenant Name</w:t>
            </w:r>
          </w:p>
        </w:tc>
        <w:tc>
          <w:tcPr>
            <w:tcW w:w="5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b w:val="1"/>
                <w:bCs w:val="1"/>
                <w:color w:val="auto"/>
              </w:rPr>
              <w:t>Property</w:t>
            </w:r>
          </w:p>
        </w:tc>
        <w:tc>
          <w:tcPr>
            <w:tcW w:w="13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2"/>
                <w:szCs w:val="12"/>
                <w:b w:val="1"/>
                <w:bCs w:val="1"/>
                <w:color w:val="auto"/>
              </w:rPr>
              <w:t>Square Feet</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2"/>
                <w:szCs w:val="12"/>
                <w:b w:val="1"/>
                <w:bCs w:val="1"/>
                <w:color w:val="auto"/>
              </w:rPr>
              <w:t>Rent</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Rent ($)</w:t>
            </w:r>
          </w:p>
        </w:tc>
        <w:tc>
          <w:tcPr>
            <w:tcW w:w="12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6"/>
              </w:rPr>
              <w:t xml:space="preserve">Rent </w:t>
            </w:r>
            <w:r>
              <w:rPr>
                <w:rFonts w:ascii="Times New Roman" w:cs="Times New Roman" w:eastAsia="Times New Roman" w:hAnsi="Times New Roman"/>
                <w:sz w:val="15"/>
                <w:szCs w:val="15"/>
                <w:color w:val="auto"/>
                <w:w w:val="96"/>
                <w:vertAlign w:val="superscript"/>
              </w:rPr>
              <w:t>(2)</w:t>
            </w: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Foot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Paramount Global</w:t>
            </w:r>
          </w:p>
        </w:tc>
        <w:tc>
          <w:tcPr>
            <w:tcW w:w="2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1515 Broadway</w:t>
            </w:r>
          </w:p>
        </w:tc>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June 2031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1,603,121</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61,062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4.6 %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80" w:type="dxa"/>
            <w:vAlign w:val="bottom"/>
          </w:tcPr>
          <w:p>
            <w:pPr>
              <w:spacing w:after="0"/>
              <w:rPr>
                <w:sz w:val="14"/>
                <w:szCs w:val="14"/>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555</w:t>
            </w:r>
          </w:p>
        </w:tc>
        <w:tc>
          <w:tcPr>
            <w:tcW w:w="1480" w:type="dxa"/>
            <w:vAlign w:val="bottom"/>
          </w:tcPr>
          <w:p>
            <w:pPr>
              <w:spacing w:after="0"/>
              <w:rPr>
                <w:sz w:val="20"/>
                <w:szCs w:val="20"/>
                <w:color w:val="auto"/>
              </w:rPr>
            </w:pPr>
            <w:r>
              <w:rPr>
                <w:rFonts w:ascii="Times New Roman" w:cs="Times New Roman" w:eastAsia="Times New Roman" w:hAnsi="Times New Roman"/>
                <w:sz w:val="12"/>
                <w:szCs w:val="12"/>
                <w:color w:val="auto"/>
              </w:rPr>
              <w:t>West 57th Street</w:t>
            </w:r>
          </w:p>
        </w:tc>
        <w:tc>
          <w:tcPr>
            <w:tcW w:w="1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April 2029</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186,266</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10,790</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10,790</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0.8 %</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57.93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1515 Broadway</w:t>
            </w:r>
          </w:p>
        </w:tc>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March 2028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9,106</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2,166</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w:t>
            </w:r>
          </w:p>
        </w:tc>
        <w:tc>
          <w:tcPr>
            <w:tcW w:w="1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0.1 %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237.84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48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2"/>
                <w:szCs w:val="12"/>
                <w:color w:val="auto"/>
              </w:rPr>
              <w:t>Worldwide Plaza</w:t>
            </w:r>
          </w:p>
        </w:tc>
        <w:tc>
          <w:tcPr>
            <w:tcW w:w="1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January 2027</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32,598</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2,488</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76.34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1,831,091</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122,758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73,705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5.5 %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480" w:type="dxa"/>
            <w:vAlign w:val="bottom"/>
          </w:tcPr>
          <w:p>
            <w:pPr>
              <w:spacing w:after="0"/>
              <w:rPr>
                <w:sz w:val="4"/>
                <w:szCs w:val="4"/>
                <w:color w:val="auto"/>
              </w:rPr>
            </w:pPr>
          </w:p>
        </w:tc>
        <w:tc>
          <w:tcPr>
            <w:tcW w:w="2020" w:type="dxa"/>
            <w:vAlign w:val="bottom"/>
            <w:gridSpan w:val="2"/>
          </w:tcPr>
          <w:p>
            <w:pPr>
              <w:spacing w:after="0"/>
              <w:rPr>
                <w:sz w:val="4"/>
                <w:szCs w:val="4"/>
                <w:color w:val="auto"/>
              </w:rPr>
            </w:pPr>
          </w:p>
        </w:tc>
        <w:tc>
          <w:tcPr>
            <w:tcW w:w="1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UBS Americas, Inc.</w:t>
            </w:r>
          </w:p>
        </w:tc>
        <w:tc>
          <w:tcPr>
            <w:tcW w:w="2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11 Madison Avenue</w:t>
            </w:r>
          </w:p>
        </w:tc>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May 2037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1,184,762</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78,221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46,933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3.5 %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Sony Corporation</w:t>
            </w:r>
          </w:p>
        </w:tc>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11 Madison Avenue</w:t>
            </w:r>
          </w:p>
        </w:tc>
        <w:tc>
          <w:tcPr>
            <w:tcW w:w="1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January 2031</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578,791</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52,130</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31,278</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2.3 % $</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Bloomberg L.P.</w:t>
            </w: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99"/>
              </w:rPr>
              <w:t>919</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Third Avenue</w:t>
            </w:r>
          </w:p>
        </w:tc>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February 2040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749,216</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49,782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25,389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1.9 %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66.45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Societe Generale</w:t>
            </w:r>
          </w:p>
        </w:tc>
        <w:tc>
          <w:tcPr>
            <w:tcW w:w="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w w:val="99"/>
              </w:rPr>
              <w:t>245</w:t>
            </w:r>
          </w:p>
        </w:tc>
        <w:tc>
          <w:tcPr>
            <w:tcW w:w="1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Park Avenue</w:t>
            </w:r>
          </w:p>
        </w:tc>
        <w:tc>
          <w:tcPr>
            <w:tcW w:w="1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October 2032</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520,831</w:t>
            </w:r>
          </w:p>
        </w:tc>
        <w:tc>
          <w:tcPr>
            <w:tcW w:w="24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50,328</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25,215</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1.9 % $</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96.63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TD Bank US Holding Company</w:t>
            </w:r>
          </w:p>
        </w:tc>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One Vanderbilt Avenue</w:t>
            </w:r>
          </w:p>
        </w:tc>
        <w:tc>
          <w:tcPr>
            <w:tcW w:w="1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July 2041</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193,159</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26,065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15,639</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1.2 % $</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134.94</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spacing w:after="0"/>
              <w:rPr>
                <w:sz w:val="15"/>
                <w:szCs w:val="15"/>
                <w:color w:val="auto"/>
              </w:rPr>
            </w:pPr>
          </w:p>
        </w:tc>
        <w:tc>
          <w:tcPr>
            <w:tcW w:w="2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One Vanderbilt Avenue</w:t>
            </w:r>
          </w:p>
        </w:tc>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August 2041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6,843</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3,234</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1,940</w:t>
            </w:r>
          </w:p>
        </w:tc>
        <w:tc>
          <w:tcPr>
            <w:tcW w:w="1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0.1 %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472.58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480" w:type="dxa"/>
            <w:vAlign w:val="bottom"/>
          </w:tcPr>
          <w:p>
            <w:pPr>
              <w:spacing w:after="0"/>
              <w:rPr>
                <w:sz w:val="14"/>
                <w:szCs w:val="14"/>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125</w:t>
            </w:r>
          </w:p>
        </w:tc>
        <w:tc>
          <w:tcPr>
            <w:tcW w:w="1480" w:type="dxa"/>
            <w:vAlign w:val="bottom"/>
          </w:tcPr>
          <w:p>
            <w:pPr>
              <w:spacing w:after="0"/>
              <w:rPr>
                <w:sz w:val="20"/>
                <w:szCs w:val="20"/>
                <w:color w:val="auto"/>
              </w:rPr>
            </w:pPr>
            <w:r>
              <w:rPr>
                <w:rFonts w:ascii="Times New Roman" w:cs="Times New Roman" w:eastAsia="Times New Roman" w:hAnsi="Times New Roman"/>
                <w:sz w:val="12"/>
                <w:szCs w:val="12"/>
                <w:color w:val="auto"/>
              </w:rPr>
              <w:t>Park Avenue</w:t>
            </w:r>
          </w:p>
        </w:tc>
        <w:tc>
          <w:tcPr>
            <w:tcW w:w="1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October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6,234</w:t>
            </w:r>
          </w:p>
        </w:tc>
        <w:tc>
          <w:tcPr>
            <w:tcW w:w="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2,129</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2,129</w:t>
            </w:r>
          </w:p>
        </w:tc>
        <w:tc>
          <w:tcPr>
            <w:tcW w:w="1200" w:type="dxa"/>
            <w:vAlign w:val="bottom"/>
          </w:tcPr>
          <w:p>
            <w:pPr>
              <w:jc w:val="right"/>
              <w:ind w:right="59"/>
              <w:spacing w:after="0"/>
              <w:rPr>
                <w:sz w:val="20"/>
                <w:szCs w:val="20"/>
                <w:color w:val="auto"/>
              </w:rPr>
            </w:pPr>
            <w:r>
              <w:rPr>
                <w:rFonts w:ascii="Times New Roman" w:cs="Times New Roman" w:eastAsia="Times New Roman" w:hAnsi="Times New Roman"/>
                <w:sz w:val="12"/>
                <w:szCs w:val="12"/>
                <w:color w:val="auto"/>
              </w:rPr>
              <w:t>0.2 %</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341.56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spacing w:after="0"/>
              <w:rPr>
                <w:sz w:val="15"/>
                <w:szCs w:val="15"/>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99"/>
              </w:rPr>
              <w:t>125</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Park Avenue</w:t>
            </w:r>
          </w:p>
        </w:tc>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October 2030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26,536</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1,842</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1,842</w:t>
            </w:r>
          </w:p>
        </w:tc>
        <w:tc>
          <w:tcPr>
            <w:tcW w:w="1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0.1 %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69.40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4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w w:val="99"/>
              </w:rPr>
              <w:t>125</w:t>
            </w:r>
          </w:p>
        </w:tc>
        <w:tc>
          <w:tcPr>
            <w:tcW w:w="1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Park Avenue</w:t>
            </w:r>
          </w:p>
        </w:tc>
        <w:tc>
          <w:tcPr>
            <w:tcW w:w="1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March 2034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25,171</w:t>
            </w: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1,612</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1,612</w:t>
            </w: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2"/>
                <w:szCs w:val="12"/>
                <w:color w:val="auto"/>
              </w:rPr>
              <w:t>0.1 %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257,943</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23,162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1.7 %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135.23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The City of New York</w:t>
            </w: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99"/>
              </w:rPr>
              <w:t>100</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Church Street</w:t>
            </w:r>
          </w:p>
        </w:tc>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March 2034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510,007</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22,709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1.7 %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King &amp; Spalding</w:t>
            </w:r>
          </w:p>
        </w:tc>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1185 Avenue of the Americas</w:t>
            </w:r>
          </w:p>
        </w:tc>
        <w:tc>
          <w:tcPr>
            <w:tcW w:w="1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October 2025</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218,275</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21,010</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21,010</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1.6 % $</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96.25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Carlyle Investment Management LLC</w:t>
            </w:r>
          </w:p>
        </w:tc>
        <w:tc>
          <w:tcPr>
            <w:tcW w:w="2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One Vanderbilt Avenue</w:t>
            </w:r>
          </w:p>
        </w:tc>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September 2036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194,702</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20,752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1.6 %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177.64</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Nike Retail Services, Inc.</w:t>
            </w:r>
          </w:p>
        </w:tc>
        <w:tc>
          <w:tcPr>
            <w:tcW w:w="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w w:val="99"/>
              </w:rPr>
              <w:t>650</w:t>
            </w:r>
          </w:p>
        </w:tc>
        <w:tc>
          <w:tcPr>
            <w:tcW w:w="1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Fifth Avenue</w:t>
            </w:r>
          </w:p>
        </w:tc>
        <w:tc>
          <w:tcPr>
            <w:tcW w:w="1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January 2033</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69,214</w:t>
            </w:r>
          </w:p>
        </w:tc>
        <w:tc>
          <w:tcPr>
            <w:tcW w:w="24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41,308</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20,654</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1.5 % $</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596.82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Metro-North Commuter Railroad Company</w:t>
            </w:r>
          </w:p>
        </w:tc>
        <w:tc>
          <w:tcPr>
            <w:tcW w:w="54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420</w:t>
            </w:r>
          </w:p>
        </w:tc>
        <w:tc>
          <w:tcPr>
            <w:tcW w:w="1480" w:type="dxa"/>
            <w:vAlign w:val="bottom"/>
          </w:tcPr>
          <w:p>
            <w:pPr>
              <w:spacing w:after="0"/>
              <w:rPr>
                <w:sz w:val="20"/>
                <w:szCs w:val="20"/>
                <w:color w:val="auto"/>
              </w:rPr>
            </w:pPr>
            <w:r>
              <w:rPr>
                <w:rFonts w:ascii="Times New Roman" w:cs="Times New Roman" w:eastAsia="Times New Roman" w:hAnsi="Times New Roman"/>
                <w:sz w:val="12"/>
                <w:szCs w:val="12"/>
                <w:color w:val="auto"/>
              </w:rPr>
              <w:t>Lexington Avenue</w:t>
            </w:r>
          </w:p>
        </w:tc>
        <w:tc>
          <w:tcPr>
            <w:tcW w:w="1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November 2034</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344,873</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20,113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20,113</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1.5 % $</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spacing w:after="0"/>
              <w:rPr>
                <w:sz w:val="14"/>
                <w:szCs w:val="14"/>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99"/>
              </w:rPr>
              <w:t>420</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Lexington Avenue</w:t>
            </w:r>
          </w:p>
        </w:tc>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January 2027</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7,537</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352,410</w:t>
            </w:r>
          </w:p>
        </w:tc>
        <w:tc>
          <w:tcPr>
            <w:tcW w:w="24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20,561</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20,561</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1.5 % $</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58.34</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65"/>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WME IMG, LLC</w:t>
            </w:r>
          </w:p>
        </w:tc>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304 Park Avenue</w:t>
            </w:r>
          </w:p>
        </w:tc>
        <w:tc>
          <w:tcPr>
            <w:tcW w:w="1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April 2028</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174,069</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13,775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13,775</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1.0 % $</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79.13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11 Madison Avenue</w:t>
            </w:r>
          </w:p>
        </w:tc>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September 2030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104,618</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10,717</w:t>
            </w: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6,430</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0.5 %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102.44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278,687</w:t>
            </w:r>
          </w:p>
        </w:tc>
        <w:tc>
          <w:tcPr>
            <w:tcW w:w="24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24,492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20,205</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1.5 % $</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87.88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McDermott Will &amp; Emery LLP</w:t>
            </w:r>
          </w:p>
        </w:tc>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One Vanderbilt Avenue</w:t>
            </w:r>
          </w:p>
        </w:tc>
        <w:tc>
          <w:tcPr>
            <w:tcW w:w="1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December 2042</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169,586</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31,475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18,885</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1.4 % $</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185.60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spacing w:after="0"/>
              <w:rPr>
                <w:sz w:val="14"/>
                <w:szCs w:val="14"/>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99"/>
              </w:rPr>
              <w:t>420</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Lexington Avenue</w:t>
            </w:r>
          </w:p>
        </w:tc>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October 2026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10,043</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621</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179,629</w:t>
            </w:r>
          </w:p>
        </w:tc>
        <w:tc>
          <w:tcPr>
            <w:tcW w:w="24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32,096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19,506</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1.4 % $</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178.68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Frank Templeton Companies LLC</w:t>
            </w:r>
          </w:p>
        </w:tc>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One Madison Avenue</w:t>
            </w:r>
          </w:p>
        </w:tc>
        <w:tc>
          <w:tcPr>
            <w:tcW w:w="1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May 2040</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354,976</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48,439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12,351</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0.9 % $</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136.45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spacing w:after="0"/>
              <w:rPr>
                <w:sz w:val="14"/>
                <w:szCs w:val="14"/>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99"/>
              </w:rPr>
              <w:t>280</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Park Avenue</w:t>
            </w:r>
          </w:p>
        </w:tc>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November 2031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128,993</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13,565</w:t>
            </w: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6,783</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0.5 %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483,969</w:t>
            </w:r>
          </w:p>
        </w:tc>
        <w:tc>
          <w:tcPr>
            <w:tcW w:w="24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62,004</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19,134</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1.4 % $</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128.12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Giorgio Armani Corporation</w:t>
            </w:r>
          </w:p>
        </w:tc>
        <w:tc>
          <w:tcPr>
            <w:tcW w:w="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w w:val="99"/>
              </w:rPr>
              <w:t>760</w:t>
            </w:r>
          </w:p>
        </w:tc>
        <w:tc>
          <w:tcPr>
            <w:tcW w:w="1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Madison Avenue</w:t>
            </w:r>
          </w:p>
        </w:tc>
        <w:tc>
          <w:tcPr>
            <w:tcW w:w="1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October 2038</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22,648</w:t>
            </w:r>
          </w:p>
        </w:tc>
        <w:tc>
          <w:tcPr>
            <w:tcW w:w="24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18,046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18,046</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1.4 % $</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796.82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Ares Management LLC</w:t>
            </w:r>
          </w:p>
        </w:tc>
        <w:tc>
          <w:tcPr>
            <w:tcW w:w="540" w:type="dxa"/>
            <w:vAlign w:val="bottom"/>
          </w:tcPr>
          <w:p>
            <w:pPr>
              <w:ind w:left="340"/>
              <w:spacing w:after="0"/>
              <w:rPr>
                <w:sz w:val="20"/>
                <w:szCs w:val="20"/>
                <w:color w:val="auto"/>
              </w:rPr>
            </w:pPr>
            <w:r>
              <w:rPr>
                <w:rFonts w:ascii="Times New Roman" w:cs="Times New Roman" w:eastAsia="Times New Roman" w:hAnsi="Times New Roman"/>
                <w:sz w:val="12"/>
                <w:szCs w:val="12"/>
                <w:color w:val="auto"/>
                <w:w w:val="99"/>
              </w:rPr>
              <w:t>245</w:t>
            </w:r>
          </w:p>
        </w:tc>
        <w:tc>
          <w:tcPr>
            <w:tcW w:w="1480" w:type="dxa"/>
            <w:vAlign w:val="bottom"/>
          </w:tcPr>
          <w:p>
            <w:pPr>
              <w:spacing w:after="0"/>
              <w:rPr>
                <w:sz w:val="20"/>
                <w:szCs w:val="20"/>
                <w:color w:val="auto"/>
              </w:rPr>
            </w:pPr>
            <w:r>
              <w:rPr>
                <w:rFonts w:ascii="Times New Roman" w:cs="Times New Roman" w:eastAsia="Times New Roman" w:hAnsi="Times New Roman"/>
                <w:sz w:val="12"/>
                <w:szCs w:val="12"/>
                <w:color w:val="auto"/>
              </w:rPr>
              <w:t>Park Avenue</w:t>
            </w:r>
          </w:p>
        </w:tc>
        <w:tc>
          <w:tcPr>
            <w:tcW w:w="1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May 2026</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36,316</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3,740</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1,874</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0.1 % $</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spacing w:after="0"/>
              <w:rPr>
                <w:sz w:val="14"/>
                <w:szCs w:val="14"/>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99"/>
              </w:rPr>
              <w:t>245</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Park Avenue</w:t>
            </w:r>
          </w:p>
        </w:tc>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June 2043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251,175</w:t>
            </w:r>
          </w:p>
        </w:tc>
        <w:tc>
          <w:tcPr>
            <w:tcW w:w="24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29,869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14,964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1.1 %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118.92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287,491</w:t>
            </w:r>
          </w:p>
        </w:tc>
        <w:tc>
          <w:tcPr>
            <w:tcW w:w="24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33,609</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16,838</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1.2 % $</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116.90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Toronto Dominion Bank</w:t>
            </w:r>
          </w:p>
        </w:tc>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One Vanderbilt Avenue</w:t>
            </w:r>
          </w:p>
        </w:tc>
        <w:tc>
          <w:tcPr>
            <w:tcW w:w="1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April 2042</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142,892</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21,302</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12,781</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1.0 % $</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149.08</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spacing w:after="0"/>
              <w:rPr>
                <w:sz w:val="14"/>
                <w:szCs w:val="14"/>
                <w:color w:val="auto"/>
              </w:rPr>
            </w:pPr>
          </w:p>
        </w:tc>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w w:val="99"/>
              </w:rPr>
              <w:t>125</w:t>
            </w: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Park Avenue</w:t>
            </w:r>
          </w:p>
        </w:tc>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April 2042</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52,450</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3,603</w:t>
            </w: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3,603</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0.3 %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195,342</w:t>
            </w:r>
          </w:p>
        </w:tc>
        <w:tc>
          <w:tcPr>
            <w:tcW w:w="24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24,905</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16,384</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1.3 % $</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127.49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Hess Corp</w:t>
            </w:r>
          </w:p>
        </w:tc>
        <w:tc>
          <w:tcPr>
            <w:tcW w:w="202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1185 Avenue of the Americas</w:t>
            </w:r>
          </w:p>
        </w:tc>
        <w:tc>
          <w:tcPr>
            <w:tcW w:w="132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December 2027</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167,169</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15,439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15,439</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1.2 % $</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92.36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xml:space="preserve">Stone Ridge Holdings Group LP </w:t>
            </w:r>
            <w:r>
              <w:rPr>
                <w:rFonts w:ascii="Times New Roman" w:cs="Times New Roman" w:eastAsia="Times New Roman" w:hAnsi="Times New Roman"/>
                <w:sz w:val="15"/>
                <w:szCs w:val="15"/>
                <w:color w:val="auto"/>
                <w:vertAlign w:val="superscript"/>
              </w:rPr>
              <w:t>(3)</w:t>
            </w:r>
          </w:p>
        </w:tc>
        <w:tc>
          <w:tcPr>
            <w:tcW w:w="2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One Vanderbilt Avenue</w:t>
            </w:r>
          </w:p>
        </w:tc>
        <w:tc>
          <w:tcPr>
            <w:tcW w:w="1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December 2037</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97,652</w:t>
            </w:r>
          </w:p>
        </w:tc>
        <w:tc>
          <w:tcPr>
            <w:tcW w:w="2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13,808</w:t>
            </w:r>
          </w:p>
        </w:tc>
        <w:tc>
          <w:tcPr>
            <w:tcW w:w="12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2"/>
                <w:szCs w:val="12"/>
                <w:color w:val="auto"/>
              </w:rPr>
              <w:t>1.0 %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235.67</w:t>
            </w:r>
          </w:p>
        </w:tc>
        <w:tc>
          <w:tcPr>
            <w:tcW w:w="1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BMW of Manhattan, Inc.</w:t>
            </w:r>
          </w:p>
        </w:tc>
        <w:tc>
          <w:tcPr>
            <w:tcW w:w="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color w:val="auto"/>
                <w:w w:val="99"/>
              </w:rPr>
              <w:t>555</w:t>
            </w:r>
          </w:p>
        </w:tc>
        <w:tc>
          <w:tcPr>
            <w:tcW w:w="1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West 57th Street</w:t>
            </w:r>
          </w:p>
        </w:tc>
        <w:tc>
          <w:tcPr>
            <w:tcW w:w="1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July 2032</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226,556</w:t>
            </w:r>
          </w:p>
        </w:tc>
        <w:tc>
          <w:tcPr>
            <w:tcW w:w="24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13,116</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13,116</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1.0 % $</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57.89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8,406,385</w:t>
            </w:r>
          </w:p>
        </w:tc>
        <w:tc>
          <w:tcPr>
            <w:tcW w:w="2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774,997</w:t>
            </w: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483,844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36.1 % $</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Expiration of current lease term and does not reflect extension options.</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SLG Share of Annualized Cash Rent includes Manhattan, Suburban, Retail, Residential, Development / Redevelopment and Alternative Strategy Portfolio properties.</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pays rent on a net basis. Rent PSF reflects gross equivalent.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121"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Phase I environmental site assessments have been prepared on the properties in our portfolio, in order to assess existing environmental conditions. All of the Phase I assessments met the American Society for Testing and Materials (ASTM) Standard. Under the ASTM Standard, a Phase I environmental site assessment consists of a site visit, an historical record review, a review of regulatory agency data bases and records, and interviews with on-site personnel, with the purpose of identifying potential environmental concerns associated with real estate. These environmental site assessments did not reveal any known environmental liability that we believe will have a material adverse effect on our results of operations or financial condition.</w:t>
      </w:r>
    </w:p>
    <w:p>
      <w:pPr>
        <w:spacing w:after="0" w:line="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As of December 31, 2024, the Company and the Operating Partnership were not involved in any material litigation nor, to management's knowledge, was any material litigation threatened against us or our portfolio which if adversely determined could have a material adverse impact on us.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45" w:lineRule="exact"/>
        <w:rPr>
          <w:sz w:val="20"/>
          <w:szCs w:val="20"/>
          <w:color w:val="auto"/>
        </w:rPr>
      </w:pPr>
    </w:p>
    <w:p>
      <w:pPr>
        <w:ind w:right="540"/>
        <w:spacing w:after="0" w:line="299"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Our common stock trades on the New York Stock Exchange, or the NYSE, under the symbol "SLG." On February 13, 2025, the reported closing sale price per share of common stock on the NYSE was $64.48 and there were 377 holders of record of our common stock.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121" w:lineRule="exact"/>
        <w:rPr>
          <w:sz w:val="20"/>
          <w:szCs w:val="20"/>
          <w:color w:val="auto"/>
        </w:rPr>
      </w:pPr>
    </w:p>
    <w:p>
      <w:pPr>
        <w:jc w:val="both"/>
        <w:ind w:firstLine="433"/>
        <w:spacing w:after="0" w:line="289" w:lineRule="auto"/>
        <w:rPr>
          <w:sz w:val="20"/>
          <w:szCs w:val="20"/>
          <w:color w:val="auto"/>
        </w:rPr>
      </w:pPr>
      <w:r>
        <w:rPr>
          <w:rFonts w:ascii="Times New Roman" w:cs="Times New Roman" w:eastAsia="Times New Roman" w:hAnsi="Times New Roman"/>
          <w:sz w:val="17"/>
          <w:szCs w:val="17"/>
          <w:color w:val="auto"/>
        </w:rPr>
        <w:t>As of December 31, 2024, there were 4,509,953 units of limited partnership interest of the Operating Partnership outstanding and held by persons other than the Company, which received distributions per unit of the same amount and in the same manner as dividends per share were distributed to common stockholders.</w:t>
      </w:r>
    </w:p>
    <w:p>
      <w:pPr>
        <w:spacing w:after="0" w:line="264"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There is no established public trading market for the common units of the Operating Partnership. On February 13, 2025, there were 48 holders of record and 75,595,939 common units outstanding, 71,004,564 of which were held by SL Green.</w:t>
      </w:r>
    </w:p>
    <w:p>
      <w:pPr>
        <w:spacing w:after="0" w:line="9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In order for SL Green to maintain its qualification as a REIT, it must make annual distributions to its stockholders of at least 90% of its taxable income (not including net capital gains). SL Green has adopted a policy of paying regular dividends on its common stock, and the Operating Partnership has adopted a policy of paying regular distributions to its common units in the same amount as dividends paid by SL Green. Cash distributions have been paid on the common stock of SL Green and the common units of the Operating Partnership since the initial public offering of SL Green. Distributions are declared at the discretion of the Board of Directors of SL Green and depend on actual and anticipated cash from operations, financial condition, capital requirements, the annual distribution requirements under the REIT provisions of the Internal Revenue Code and other factors SL Green's Board of Directors may consider relevant.</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Each time SL Green issues shares of stock (other than in exchange for common units of limited partnership interest of the Operating Partnership, or OP Units, when such OP Units are presented for redemption), it contributes the proceeds of such issuance to the Operating Partnership in return for an equivalent number of units of limited partnership interest with rights and preferences analogous to the shares issued.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Board of Directors has approved a $3.5 billion share repurchase program under which we can buy shares of our common stock.</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share repurchases executed under the program, excluding the redemption of OP units, during the three months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Cumulative number of shares</w:t>
            </w:r>
          </w:p>
        </w:tc>
        <w:tc>
          <w:tcPr>
            <w:tcW w:w="0" w:type="dxa"/>
            <w:vAlign w:val="bottom"/>
          </w:tcPr>
          <w:p>
            <w:pPr>
              <w:spacing w:after="0"/>
              <w:rPr>
                <w:sz w:val="1"/>
                <w:szCs w:val="1"/>
                <w:color w:val="auto"/>
              </w:rPr>
            </w:pPr>
          </w:p>
        </w:tc>
      </w:tr>
      <w:tr>
        <w:trPr>
          <w:trHeight w:val="157"/>
        </w:trPr>
        <w:tc>
          <w:tcPr>
            <w:tcW w:w="4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Shares repurchased</w:t>
            </w:r>
          </w:p>
        </w:tc>
        <w:tc>
          <w:tcPr>
            <w:tcW w:w="2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Average price paid per share</w:t>
            </w:r>
          </w:p>
        </w:tc>
        <w:tc>
          <w:tcPr>
            <w:tcW w:w="21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repurchased as part of the</w:t>
            </w:r>
          </w:p>
        </w:tc>
        <w:tc>
          <w:tcPr>
            <w:tcW w:w="0" w:type="dxa"/>
            <w:vAlign w:val="bottom"/>
          </w:tcPr>
          <w:p>
            <w:pPr>
              <w:spacing w:after="0"/>
              <w:rPr>
                <w:sz w:val="1"/>
                <w:szCs w:val="1"/>
                <w:color w:val="auto"/>
              </w:rPr>
            </w:pPr>
          </w:p>
        </w:tc>
      </w:tr>
      <w:tr>
        <w:trPr>
          <w:trHeight w:val="208"/>
        </w:trPr>
        <w:tc>
          <w:tcPr>
            <w:tcW w:w="4600" w:type="dxa"/>
            <w:vAlign w:val="bottom"/>
            <w:gridSpan w:val="2"/>
            <w:vMerge w:val="continue"/>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repurchase plan or programs</w:t>
            </w:r>
          </w:p>
        </w:tc>
        <w:tc>
          <w:tcPr>
            <w:tcW w:w="0" w:type="dxa"/>
            <w:vAlign w:val="bottom"/>
          </w:tcPr>
          <w:p>
            <w:pPr>
              <w:spacing w:after="0"/>
              <w:rPr>
                <w:sz w:val="1"/>
                <w:szCs w:val="1"/>
                <w:color w:val="auto"/>
              </w:rPr>
            </w:pPr>
          </w:p>
        </w:tc>
      </w:tr>
      <w:tr>
        <w:trPr>
          <w:trHeight w:val="80"/>
        </w:trPr>
        <w:tc>
          <w:tcPr>
            <w:tcW w:w="4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1-31</w:t>
            </w: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36,107,719</w:t>
            </w:r>
          </w:p>
        </w:tc>
        <w:tc>
          <w:tcPr>
            <w:tcW w:w="0" w:type="dxa"/>
            <w:vAlign w:val="bottom"/>
          </w:tcPr>
          <w:p>
            <w:pPr>
              <w:spacing w:after="0"/>
              <w:rPr>
                <w:sz w:val="1"/>
                <w:szCs w:val="1"/>
                <w:color w:val="auto"/>
              </w:rPr>
            </w:pPr>
          </w:p>
        </w:tc>
      </w:tr>
      <w:tr>
        <w:trPr>
          <w:trHeight w:val="208"/>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1-30</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36,107,719</w:t>
            </w:r>
          </w:p>
        </w:tc>
        <w:tc>
          <w:tcPr>
            <w:tcW w:w="0" w:type="dxa"/>
            <w:vAlign w:val="bottom"/>
          </w:tcPr>
          <w:p>
            <w:pPr>
              <w:spacing w:after="0"/>
              <w:rPr>
                <w:sz w:val="1"/>
                <w:szCs w:val="1"/>
                <w:color w:val="auto"/>
              </w:rPr>
            </w:pPr>
          </w:p>
        </w:tc>
      </w:tr>
      <w:tr>
        <w:trPr>
          <w:trHeight w:val="212"/>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1-31</w:t>
            </w:r>
          </w:p>
        </w:tc>
        <w:tc>
          <w:tcPr>
            <w:tcW w:w="2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2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36,107,719</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 OF UNREGISTERED SECURITIES</w:t>
      </w:r>
    </w:p>
    <w:p>
      <w:pPr>
        <w:spacing w:after="0" w:line="121"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During the year ended December 31, 2024, we issued 124,801 shares of our common stock to holders of units of limited partnership interest in the Operating Partnership upon the redemption of such units pursuant to the partnership agreement of the Operating Partnership. The issuance of such shares was exempt from registration under the Securities Act, pursuant to the exemption contemplated by Section 4(a)(2) thereof for transactions not involving a public offering. The units were exchanged for an equal number of shares of our common stock. During the years ended December 31, 2023 and 2022, we did not issue any shares of our common stock to holders of units of limited partnership interest in the Operating Partnership upon the redemption of such units pursuant to the partnership agreement of the Operating Partnership.</w:t>
      </w:r>
    </w:p>
    <w:p>
      <w:pPr>
        <w:spacing w:after="0" w:line="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400"/>
        <w:spacing w:after="0" w:line="387" w:lineRule="auto"/>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 Overview</w:t>
      </w:r>
    </w:p>
    <w:p>
      <w:pPr>
        <w:spacing w:after="0" w:line="1"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SL Green Realty Corp., which is referred to as SL Green or the Company,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Company is a self-managed real estate investment trust, or REIT, engaged in the ownership, management, operation, acquisition, development, redevelopment, repositioning and financing of commercial real estate properties, principally office properties, located in the New York metropolitan area, principally Manhattan. Unless the context requires otherwise, all references to "we," "our" and "us" means the Company and all entities owned or controlled by the Company, including the Operating Partnership.</w:t>
      </w:r>
    </w:p>
    <w:p>
      <w:pPr>
        <w:spacing w:after="0" w:line="69" w:lineRule="exact"/>
        <w:rPr>
          <w:sz w:val="20"/>
          <w:szCs w:val="20"/>
          <w:color w:val="auto"/>
        </w:rPr>
      </w:pPr>
    </w:p>
    <w:p>
      <w:pPr>
        <w:jc w:val="both"/>
        <w:ind w:firstLine="433"/>
        <w:spacing w:after="0" w:line="260" w:lineRule="auto"/>
        <w:rPr>
          <w:sz w:val="20"/>
          <w:szCs w:val="20"/>
          <w:color w:val="auto"/>
        </w:rPr>
      </w:pPr>
      <w:r>
        <w:rPr>
          <w:rFonts w:ascii="Times New Roman" w:cs="Times New Roman" w:eastAsia="Times New Roman" w:hAnsi="Times New Roman"/>
          <w:sz w:val="17"/>
          <w:szCs w:val="17"/>
          <w:color w:val="auto"/>
        </w:rPr>
        <w:t>The following discussion related to our consolidated financial statements should be read in conjunction with the financial statements appearing in Item 8 of this Annual Report on Form 10-K. A discussion of our results of operations for the year ended December 31, 2023 compared to the year ended December 31, 2022 is included in Part II, Item 7 Management's Discussion and Analysis of Financial Condition and Results of Operations of our Annual Report on Form 10-K for the year ended December 31, 2023, filed with the SEC on February 23, 2024, and is incorporated by reference into this Annual Report on Form 10-K.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Leasing and Operating</w:t>
      </w:r>
    </w:p>
    <w:p>
      <w:pPr>
        <w:spacing w:after="0" w:line="17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As of December 31, 2024, our same-store Manhattan office property occupancy inclusive of leases signed but not commenced, was 92.5% compared to 90.0% as of December 31, 2023. We signed office leases in Manhattan encompassing approximately 3.6 million square feet, of which approximately 2.3 million square feet represented office leases that replaced previously occupied space.</w:t>
      </w:r>
    </w:p>
    <w:p>
      <w:pPr>
        <w:spacing w:after="0" w:line="57"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According to Cushman &amp; Wakefield, 2024 leasing activity in Manhattan totaled approximately 23.4 million square feet. Of the total 2024 leasing activity in Manhattan, the Midtown submarket accounted for approximately 16.7 million square feet, or approximately 71.4%. Manhattan's overall office vacancy went from 22.8% as of December 31, 2023 to 23.3% as of December 31, 2024. Overall average asking rents in Manhattan decreased in 2024 by 0.8% from $73.33 per square foot as of December 31, 2023 to $72.73 per square foot as of December 31, 2024, while Manhattan Class A asking rents increased to $81.19 per square foot, up 0.3% from $80.98 as of December 31, 2023.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 and Disposition Activity</w:t>
      </w:r>
    </w:p>
    <w:p>
      <w:pPr>
        <w:spacing w:after="0" w:line="121"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According to Cushman &amp; Wakefield, overall Manhattan sales volume increased by 7.2% in 2024 to $14.8 billion as compared to $13.8 billion in 2023. In 2024, we continued to sell joint venture interests in quality assets as well as dispose of properties that were considered non-core or had a more limited growth trajectory, raising efficiently priced capital that was used primarily for debt reduction. During the year, we closed on the sales of all or a portion of our interests in 717 Fifth Avenue, 719 Seventh Avenue, 625 Madison Avenue, Palisades Premier Conference Center, One Vanderbilt Avenue, and the Giorgio Armani Residences at 760 Madison Avenue for total gross valuations of $6.4 billion, generating net proceeds to the Company of $500.7 million.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and Preferred Equity</w:t>
      </w:r>
    </w:p>
    <w:p>
      <w:pPr>
        <w:spacing w:after="0" w:line="121"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In 2023 and 2024, in our debt and preferred equity portfolio we continued to focus on underwriting financings for owners, acquirers or developers of properties in New York City as well as expanding our special servicing business. At the same time, some investments were repaid, the proceeds of which were utilized for debt repayment, and we converted one investment into equity ownership. Our investment strategy provides us with the opportunity to fill a need for additional debt financing, while achieving attractive risk adjusted returns to us on the investments and receiving a significant amount of additional information on the New York City real estate market. During 2024, our debt and preferred equity portfolio decreased as a result of the repayment of an investment with a carrying value of $64.6 million, offset by $21.6 million of advances under future funding obligations, discount and fee amortization, and paid-in-kind interest, net of premium amortization. This does not include the origination of a $235.4 million preferred equity investment made by the Company and its joint venture partner, which is included in Investment in unconsolidated joint ventures in our consolidated balance sheet.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descriptions of significant activities in 2024, refer to "Part I, Item 1. Business - Highlights from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21"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Our discussion and analysis of financial condition and results of operations is based on our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and contingencies as of the date of the financial statements and the reported amounts of revenues and expenses during the reporting periods. We evaluate our assumptions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believe the following critical accounting estimates affect our more significant judgments and estimates used in the preparation of our consolidated financial statements.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in Commercial Real Estate Properties</w:t>
      </w:r>
    </w:p>
    <w:p>
      <w:pPr>
        <w:spacing w:after="0" w:line="123"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Real estate properties are presented at cost less accumulated depreciation and amortization. Costs directly related to the development or redevelopment of properties are capitalized. Ordinary repairs and maintenance are expensed as incurred; major investments, which improve or extend the life of the asset, are capitalized and depreciated over their estimated useful lives.</w:t>
      </w:r>
    </w:p>
    <w:p>
      <w:pPr>
        <w:spacing w:after="0" w:line="57"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We recognize the assets acquired, liabilities assumed (including contingencies) and any noncontrolling interests in an acquired entity by allocating the purchase price, including transaction costs, at their respective fair values on the acquisition date.</w:t>
      </w:r>
    </w:p>
    <w:p>
      <w:pPr>
        <w:spacing w:after="0" w:line="4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We allocate the purchase price of real estate to land and building (inclusive of tenant improvements) and, if determined to be material, intangibles, such as the value of above- and below-market leases and origination costs associated with the in-place leases.</w:t>
      </w:r>
    </w:p>
    <w:p>
      <w:pPr>
        <w:spacing w:after="0" w:line="41"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The allocation of the purchase price to the tangible and intangible assets acquired and liabilities assumed involves subjectivity as the allocations are based on an analysis of the respective fair values. In determining the fair value of the real estate acquired, the Company will use a third-party valuation which primarily utilizes cash flow projections that apply, among other things, estimated revenue and expense growth rates, future market rents, discount rates and capitalization rates, as well as sales comparison approach, which utilizes comparable sales, listings and sales contracts. We assess fair value of the acquired leases based on estimated cash flow projections that utilize appropriate discount rates and available market information. Estimates of future cash flows are based on a number of factors including the historical operating results, known trends, and market/economic conditions that may affect the property. The determined and allocated fair values to the real estate acquired will affect the amount of depreciation and amortization we record over the respective estimated useful lives or term of the lease.</w:t>
      </w:r>
    </w:p>
    <w:p>
      <w:pPr>
        <w:spacing w:after="0" w:line="284"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The Company classifies those leases under which the Company is the lessee at lease commencement as finance or operating leases. Leases qualify as finance leases if i) the lease transfers ownership of the asset at the end of the lease term, ii) the lease grants an option to purchase the asset that we are reasonably certain to exercise, iii) the lease term is for a major part of the remaining economic life of the asset, iv) the present value of the lease payments exceeds substantially all of the fair value of the asset, or v) the underlying asset is of such a specialized nature that it is expected to have no alternative use to the lessor at the end of the lease term. Leases that do not qualify as finance leases are deemed to be operating leases. On the consolidated statements of operations, operating leases are expensed through operating lease rent while financing leases are expensed through amortization and interest expense.</w:t>
      </w:r>
    </w:p>
    <w:p>
      <w:pPr>
        <w:spacing w:after="0" w:line="69"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We incur a variety of costs in the development and leasing of our properties. After the determination is made to capitalize a cost, it is allocated to the specific component of a project that is benefited. Determination of when a development project is substantially complete and capitalization must cease involves a degree of judgment. The costs of land and building under development include specifically identifiable costs. The capitalized costs include, but are not limited to, pre-construction costs essential to the development of the property, development costs, construction costs, interest costs, real estate taxes, salaries and related costs and other costs incurred during the period of development. We consider a construction project as substantially completed and held available for occupancy upon the completion of tenant improvements, but no later than one year after major construction activity ceases. We cease capitalization on the portions substantially completed and occupied or held available for occupancy and capitalize only those costs associated with the portions under construction.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60" w:firstLine="433"/>
        <w:spacing w:after="0" w:line="263" w:lineRule="auto"/>
        <w:rPr>
          <w:sz w:val="20"/>
          <w:szCs w:val="20"/>
          <w:color w:val="auto"/>
        </w:rPr>
      </w:pPr>
      <w:r>
        <w:rPr>
          <w:rFonts w:ascii="Times New Roman" w:cs="Times New Roman" w:eastAsia="Times New Roman" w:hAnsi="Times New Roman"/>
          <w:sz w:val="17"/>
          <w:szCs w:val="17"/>
          <w:color w:val="auto"/>
        </w:rPr>
        <w:t>Properties are individually evaluated for impairment quarterly or whenever events or changes in circumstances indicate that the carrying amount may not be recoverable. A consolidated property's value is considered impaired if management's estimate of the aggregate future cash flows (undiscounted) to be generated by the property is less than the carrying value of the property taking into account the appropriate capitalization rate in determining the future terminal value. To the extent impairment has occurred, the loss will be measured as the excess of the carrying amount of the property over the fair value of the property as calculated in accordance with ASC 820. We assess for impairment indicators based on factors such as, among other things, market conditions, occupancy rates, collections, and the overall operating performance of the asset. If indicators of impairment are present, we evaluate real estate investments for potential impairment primarily utilizing estimated fair value based on discounted future cash flows utilizing appropriate discount and capitalization rates, in addition to sales comparison approach, which utilizes comparable sales, listings and sales contracts.</w:t>
      </w:r>
    </w:p>
    <w:p>
      <w:pPr>
        <w:spacing w:after="0" w:line="70"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also evaluate our real estate properties for impairment when a property has been classified as held for sale. Real estate assets held for sale are valued at the lower of their carrying value or fair value less costs to sell and depreciation expense is no longer recorded. See Note 4, "Properties Held for Sale and Property Dispositions."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 in Unconsolidated Joint Ventures</w:t>
      </w:r>
    </w:p>
    <w:p>
      <w:pPr>
        <w:spacing w:after="0" w:line="123"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We account for our investments in unconsolidated joint ventures under the equity method of accounting in cases where we exercise significant influence over, but do not control, these entities and are not considered to be the primary beneficiary. We consolidate those joint ventures that we control or which are variable interest entities (each, a "VIE") and where we are considered to be the primary beneficiary. In all these joint ventures, the rights of the joint venture partner are both protective as well as participating. Unless we are determined to be the primary beneficiary in a VIE, these participating rights preclude us from consolidating these VIE entities. Determining control of the entities can be subjective in assessing which activities of the joint venture most significantly impact the economic performance and whether the rights of the joint venture partner are protective or participating. In making this determination, any new or amended joint venture agreement is assessed by the Company for the activities that most significantly impact the joint venture's economic performance based on the business purpose and design of the venture. We assess the rights that are conveyed to us in the agreement and evaluate whether we are provided with participating or protective rights over the activities that most significantly impact the entity's economic performance. We also assess the rights of our joint venture partner. Such participating rights include, among other things, the right to approve/amend the annual budget, leasing of the property to a significant tenant, and approval of tax returns and auditors. If our joint venture partner has substantive participating rights and we are determined not to be the primary beneficiary, we do not consolidate the entity.</w:t>
      </w:r>
    </w:p>
    <w:p>
      <w:pPr>
        <w:spacing w:after="0" w:line="284" w:lineRule="exact"/>
        <w:rPr>
          <w:sz w:val="20"/>
          <w:szCs w:val="20"/>
          <w:color w:val="auto"/>
        </w:rPr>
      </w:pPr>
    </w:p>
    <w:p>
      <w:pPr>
        <w:jc w:val="both"/>
        <w:ind w:firstLine="433"/>
        <w:spacing w:after="0" w:line="262" w:lineRule="auto"/>
        <w:rPr>
          <w:sz w:val="20"/>
          <w:szCs w:val="20"/>
          <w:color w:val="auto"/>
        </w:rPr>
      </w:pPr>
      <w:r>
        <w:rPr>
          <w:rFonts w:ascii="Times New Roman" w:cs="Times New Roman" w:eastAsia="Times New Roman" w:hAnsi="Times New Roman"/>
          <w:sz w:val="17"/>
          <w:szCs w:val="17"/>
          <w:color w:val="auto"/>
        </w:rPr>
        <w:t>These investments are recorded initially at cost, as investments in unconsolidated joint ventures, and subsequently adjusted for equity in net income (loss) and cash contributions and distributions. Equity in net income (loss) from unconsolidated joint ventures is allocated based on our ownership or economic interest in each joint venture and includes adjustments related to basis differences in accounting for the investment. When a capital event (as defined in each joint venture agreement) such as a refinancing occurs, if return thresholds are met, future equity income will be allocated at our increased economic interest. We recognize incentive income from unconsolidated real estate joint ventures as income to the extent it is earned and not subject to a clawback feature. Distributions we receive from unconsolidated real estate joint ventures in excess of our basis in the investment are recorded as offsets to our investment balance if we remain liable for future obligations of the joint venture or may otherwise be committed to provide future additional financial support. We generally finance our joint ventures with non-recourse debt. In certain cases we may provide guarantees or master leases for tenant space, which terminate upon the satisfaction of specified circumstances or repayment of the underlying loans.</w:t>
      </w:r>
    </w:p>
    <w:p>
      <w:pPr>
        <w:spacing w:after="0" w:line="73"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assess our investments in unconsolidated joint ventures for recoverability, and if it is determined that a loss in value of the investment is other than temporary, we write down the investment to its fair value. We evaluate our equity investments for impairment based on each joint ventures' actual and projected cash flows. Aside from charges noted in Note 6, "Investment in Unconsolidated Joint Ventures," we do not believe that the values of any of our equity investments were impaired as of December 31, 2024.</w:t>
      </w:r>
    </w:p>
    <w:p>
      <w:pPr>
        <w:spacing w:after="0" w:line="64"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may originate loans for real estate acquisition, development and construction ("ADC loans") where we expect to receive some of the residual profit from such projects. When the risk and rewards of these arrangements are essentially the same as an investor or joint venture partner, we account for these arrangements as real estate investments under the equity method of accounting for investments. Otherwise, we account for these arrangements consistent with the accounting for our debt and preferred equity investments.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 ended December 31, 2024 to the year ended December 31, 2023</w:t>
      </w:r>
    </w:p>
    <w:p>
      <w:pPr>
        <w:spacing w:after="0" w:line="123"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comparison for the year ended December 31, 2024, or 2024, to the year ended December 31, 2023, or 2023, makes reference to the effect of the following:</w:t>
      </w:r>
    </w:p>
    <w:p>
      <w:pPr>
        <w:spacing w:after="0" w:line="172" w:lineRule="exact"/>
        <w:rPr>
          <w:sz w:val="20"/>
          <w:szCs w:val="20"/>
          <w:color w:val="auto"/>
        </w:rPr>
      </w:pPr>
    </w:p>
    <w:p>
      <w:pPr>
        <w:ind w:left="640" w:hanging="242"/>
        <w:spacing w:after="0" w:line="268" w:lineRule="auto"/>
        <w:tabs>
          <w:tab w:leader="none" w:pos="62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“Same-Store Properties,” which represents all operating properties owned by us at January 1, 2023 and still owned by us in the same manner as of December 31, 2024 (Same-Store Properties totaled 21 of our 27 consolidated operating buildings),</w:t>
      </w:r>
    </w:p>
    <w:p>
      <w:pPr>
        <w:ind w:left="640" w:hanging="242"/>
        <w:spacing w:after="0" w:line="257" w:lineRule="auto"/>
        <w:tabs>
          <w:tab w:leader="none" w:pos="6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Properties,” which represents all properties or interests in properties acquired in 2024 and 2023 and all non-Same-Store Properties, including properties that are under development or redevelopment,</w:t>
      </w:r>
    </w:p>
    <w:p>
      <w:pPr>
        <w:ind w:left="620" w:hanging="22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"Disposed Properties." which represents all properties or interests in properties sold in 2024 and 2023,</w:t>
      </w:r>
    </w:p>
    <w:p>
      <w:pPr>
        <w:spacing w:after="0" w:line="14" w:lineRule="exact"/>
        <w:rPr>
          <w:rFonts w:ascii="Times New Roman" w:cs="Times New Roman" w:eastAsia="Times New Roman" w:hAnsi="Times New Roman"/>
          <w:sz w:val="17"/>
          <w:szCs w:val="17"/>
          <w:color w:val="auto"/>
        </w:rPr>
      </w:pPr>
    </w:p>
    <w:p>
      <w:pPr>
        <w:ind w:left="620" w:hanging="222"/>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"Alternative Strategy Portfolio," which represents non-core assets, and</w:t>
      </w:r>
    </w:p>
    <w:p>
      <w:pPr>
        <w:spacing w:after="0" w:line="14" w:lineRule="exact"/>
        <w:rPr>
          <w:rFonts w:ascii="Times New Roman" w:cs="Times New Roman" w:eastAsia="Times New Roman" w:hAnsi="Times New Roman"/>
          <w:sz w:val="17"/>
          <w:szCs w:val="17"/>
          <w:color w:val="auto"/>
        </w:rPr>
      </w:pPr>
    </w:p>
    <w:p>
      <w:pPr>
        <w:ind w:left="640" w:hanging="242"/>
        <w:spacing w:after="0" w:line="275" w:lineRule="auto"/>
        <w:tabs>
          <w:tab w:leader="none" w:pos="628"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which represents properties where we sold an interest resulting in deconsolidation and corporate level items not allocable to specific properties, as well as the Service Corporation and Emerge Inc.</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Same-Store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ind w:left="380"/>
              <w:spacing w:after="0"/>
              <w:rPr>
                <w:sz w:val="20"/>
                <w:szCs w:val="20"/>
                <w:color w:val="auto"/>
              </w:rPr>
            </w:pPr>
            <w:r>
              <w:rPr>
                <w:rFonts w:ascii="Times New Roman" w:cs="Times New Roman" w:eastAsia="Times New Roman" w:hAnsi="Times New Roman"/>
                <w:sz w:val="12"/>
                <w:szCs w:val="12"/>
                <w:b w:val="1"/>
                <w:bCs w:val="1"/>
                <w:color w:val="auto"/>
              </w:rPr>
              <w:t>Disposed</w:t>
            </w:r>
          </w:p>
        </w:tc>
        <w:tc>
          <w:tcPr>
            <w:tcW w:w="46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1000" w:type="dxa"/>
            <w:vAlign w:val="bottom"/>
          </w:tcPr>
          <w:p>
            <w:pPr>
              <w:spacing w:after="0"/>
              <w:rPr>
                <w:sz w:val="14"/>
                <w:szCs w:val="14"/>
                <w:color w:val="auto"/>
              </w:rPr>
            </w:pPr>
          </w:p>
        </w:tc>
      </w:tr>
      <w:tr>
        <w:trPr>
          <w:trHeight w:val="118"/>
        </w:trPr>
        <w:tc>
          <w:tcPr>
            <w:tcW w:w="18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right"/>
              <w:ind w:right="239"/>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99"/>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right"/>
              <w:ind w:right="239"/>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379"/>
              <w:spacing w:after="0" w:line="118" w:lineRule="exact"/>
              <w:rPr>
                <w:sz w:val="20"/>
                <w:szCs w:val="20"/>
                <w:color w:val="auto"/>
              </w:rPr>
            </w:pPr>
            <w:r>
              <w:rPr>
                <w:rFonts w:ascii="Times New Roman" w:cs="Times New Roman" w:eastAsia="Times New Roman" w:hAnsi="Times New Roman"/>
                <w:sz w:val="12"/>
                <w:szCs w:val="12"/>
                <w:b w:val="1"/>
                <w:bCs w:val="1"/>
                <w:color w:val="auto"/>
              </w:rPr>
              <w:t>%</w:t>
            </w:r>
          </w:p>
        </w:tc>
      </w:tr>
      <w:tr>
        <w:trPr>
          <w:trHeight w:val="177"/>
        </w:trPr>
        <w:tc>
          <w:tcPr>
            <w:tcW w:w="18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5"/>
                <w:szCs w:val="15"/>
                <w:color w:val="auto"/>
              </w:rPr>
            </w:pPr>
          </w:p>
        </w:tc>
        <w:tc>
          <w:tcPr>
            <w:tcW w:w="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Change</w:t>
            </w:r>
          </w:p>
        </w:tc>
      </w:tr>
    </w:tbl>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Rental revenue</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13.8</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90"/>
        </w:trPr>
        <w:tc>
          <w:tcPr>
            <w:tcW w:w="1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SUMMIT Operator revenue</w:t>
            </w:r>
          </w:p>
        </w:tc>
        <w:tc>
          <w:tcPr>
            <w:tcW w:w="2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0" w:type="dxa"/>
            <w:vAlign w:val="bottom"/>
          </w:tcPr>
          <w:p>
            <w:pPr>
              <w:spacing w:after="0"/>
              <w:rPr>
                <w:sz w:val="1"/>
                <w:szCs w:val="1"/>
                <w:color w:val="auto"/>
              </w:rPr>
            </w:pPr>
          </w:p>
        </w:tc>
      </w:tr>
      <w:tr>
        <w:trPr>
          <w:trHeight w:val="20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Investment income</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Interest income from real estate</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4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loans held by consolidated</w:t>
            </w:r>
          </w:p>
        </w:tc>
        <w:tc>
          <w:tcPr>
            <w:tcW w:w="20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67"/>
        </w:trPr>
        <w:tc>
          <w:tcPr>
            <w:tcW w:w="1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securitization vehicles</w:t>
            </w: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income</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95.1 %</w:t>
            </w:r>
          </w:p>
        </w:tc>
        <w:tc>
          <w:tcPr>
            <w:tcW w:w="2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34.0 %</w:t>
            </w:r>
          </w:p>
        </w:tc>
        <w:tc>
          <w:tcPr>
            <w:tcW w:w="0" w:type="dxa"/>
            <w:vAlign w:val="bottom"/>
          </w:tcPr>
          <w:p>
            <w:pPr>
              <w:spacing w:after="0"/>
              <w:rPr>
                <w:sz w:val="1"/>
                <w:szCs w:val="1"/>
                <w:color w:val="auto"/>
              </w:rPr>
            </w:pPr>
          </w:p>
        </w:tc>
      </w:tr>
      <w:tr>
        <w:trPr>
          <w:trHeight w:val="183"/>
        </w:trPr>
        <w:tc>
          <w:tcPr>
            <w:tcW w:w="1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Total revenues</w:t>
            </w:r>
          </w:p>
        </w:tc>
        <w:tc>
          <w:tcPr>
            <w:tcW w:w="2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553.7</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17.7</w:t>
            </w:r>
          </w:p>
        </w:tc>
        <w:tc>
          <w:tcPr>
            <w:tcW w:w="106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4"/>
                <w:szCs w:val="14"/>
                <w:color w:val="auto"/>
              </w:rPr>
              <w:t>3.2 %</w:t>
            </w:r>
          </w:p>
        </w:tc>
        <w:tc>
          <w:tcPr>
            <w:tcW w:w="2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314.1</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886.3</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913.7</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92"/>
        </w:trPr>
        <w:tc>
          <w:tcPr>
            <w:tcW w:w="1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1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Property operating expenses</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51.0</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18.4 %</w:t>
            </w:r>
          </w:p>
        </w:tc>
        <w:tc>
          <w:tcPr>
            <w:tcW w:w="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0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SUMMIT Operator expenses</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10.4 %</w:t>
            </w:r>
          </w:p>
        </w:tc>
        <w:tc>
          <w:tcPr>
            <w:tcW w:w="0" w:type="dxa"/>
            <w:vAlign w:val="bottom"/>
          </w:tcPr>
          <w:p>
            <w:pPr>
              <w:spacing w:after="0"/>
              <w:rPr>
                <w:sz w:val="1"/>
                <w:szCs w:val="1"/>
                <w:color w:val="auto"/>
              </w:rPr>
            </w:pPr>
          </w:p>
        </w:tc>
      </w:tr>
      <w:tr>
        <w:trPr>
          <w:trHeight w:val="190"/>
        </w:trPr>
        <w:tc>
          <w:tcPr>
            <w:tcW w:w="1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SUMMIT Operator tax expense</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0" w:type="dxa"/>
            <w:vAlign w:val="bottom"/>
          </w:tcPr>
          <w:p>
            <w:pPr>
              <w:spacing w:after="0"/>
              <w:rPr>
                <w:sz w:val="1"/>
                <w:szCs w:val="1"/>
                <w:color w:val="auto"/>
              </w:rPr>
            </w:pPr>
          </w:p>
        </w:tc>
      </w:tr>
      <w:tr>
        <w:trPr>
          <w:trHeight w:val="20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Transaction related costs</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Marketing, general and</w:t>
            </w:r>
          </w:p>
        </w:tc>
        <w:tc>
          <w:tcPr>
            <w:tcW w:w="20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160"/>
        </w:trPr>
        <w:tc>
          <w:tcPr>
            <w:tcW w:w="1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administrative</w:t>
            </w:r>
          </w:p>
        </w:tc>
        <w:tc>
          <w:tcPr>
            <w:tcW w:w="2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51.0</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18.4 %</w:t>
            </w:r>
          </w:p>
        </w:tc>
        <w:tc>
          <w:tcPr>
            <w:tcW w:w="2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540.4</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590.4</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92"/>
        </w:trPr>
        <w:tc>
          <w:tcPr>
            <w:tcW w:w="1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income (expenses):</w:t>
            </w: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Interest expense and amortization</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4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of deferred financing costs, net of</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120" w:type="dxa"/>
            <w:vAlign w:val="bottom"/>
          </w:tcPr>
          <w:p>
            <w:pPr>
              <w:spacing w:after="0"/>
              <w:rPr>
                <w:sz w:val="10"/>
                <w:szCs w:val="10"/>
                <w:color w:val="auto"/>
              </w:rPr>
            </w:pPr>
          </w:p>
        </w:tc>
        <w:tc>
          <w:tcPr>
            <w:tcW w:w="1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167"/>
        </w:trPr>
        <w:tc>
          <w:tcPr>
            <w:tcW w:w="1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income</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Interest expense on senior</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obligations of consolidated</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securitization vehicles</w:t>
            </w: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25"/>
        </w:trPr>
        <w:tc>
          <w:tcPr>
            <w:tcW w:w="184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Equity in net loss from</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134.9 %</w:t>
            </w:r>
          </w:p>
        </w:tc>
        <w:tc>
          <w:tcPr>
            <w:tcW w:w="0" w:type="dxa"/>
            <w:vAlign w:val="bottom"/>
          </w:tcPr>
          <w:p>
            <w:pPr>
              <w:spacing w:after="0"/>
              <w:rPr>
                <w:sz w:val="1"/>
                <w:szCs w:val="1"/>
                <w:color w:val="auto"/>
              </w:rPr>
            </w:pPr>
          </w:p>
        </w:tc>
      </w:tr>
      <w:tr>
        <w:trPr>
          <w:trHeight w:val="164"/>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unconsolidated joint ventures</w:t>
            </w: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11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Equity in net gain (loss) on sale of</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84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interest in unconsolidated joint</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221.5</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(1,653.0)%</w:t>
            </w:r>
          </w:p>
        </w:tc>
        <w:tc>
          <w:tcPr>
            <w:tcW w:w="0" w:type="dxa"/>
            <w:vAlign w:val="bottom"/>
          </w:tcPr>
          <w:p>
            <w:pPr>
              <w:spacing w:after="0"/>
              <w:rPr>
                <w:sz w:val="1"/>
                <w:szCs w:val="1"/>
                <w:color w:val="auto"/>
              </w:rPr>
            </w:pPr>
          </w:p>
        </w:tc>
      </w:tr>
      <w:tr>
        <w:trPr>
          <w:trHeight w:val="167"/>
        </w:trPr>
        <w:tc>
          <w:tcPr>
            <w:tcW w:w="1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venture/real estate</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4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Purchase price and other fair</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(614.5)%</w:t>
            </w:r>
          </w:p>
        </w:tc>
        <w:tc>
          <w:tcPr>
            <w:tcW w:w="0" w:type="dxa"/>
            <w:vAlign w:val="bottom"/>
          </w:tcPr>
          <w:p>
            <w:pPr>
              <w:spacing w:after="0"/>
              <w:rPr>
                <w:sz w:val="1"/>
                <w:szCs w:val="1"/>
                <w:color w:val="auto"/>
              </w:rPr>
            </w:pPr>
          </w:p>
        </w:tc>
      </w:tr>
      <w:tr>
        <w:trPr>
          <w:trHeight w:val="164"/>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value adjustments</w:t>
            </w: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11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Gain (loss) on sale of real estate,</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0" w:type="dxa"/>
            <w:vAlign w:val="bottom"/>
          </w:tcPr>
          <w:p>
            <w:pPr>
              <w:spacing w:after="0"/>
              <w:rPr>
                <w:sz w:val="1"/>
                <w:szCs w:val="1"/>
                <w:color w:val="auto"/>
              </w:rPr>
            </w:pPr>
          </w:p>
        </w:tc>
      </w:tr>
      <w:tr>
        <w:trPr>
          <w:trHeight w:val="160"/>
        </w:trPr>
        <w:tc>
          <w:tcPr>
            <w:tcW w:w="1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84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Depreciable real estate reserves</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164"/>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and impairments</w:t>
            </w: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11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84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Gain (loss) on early</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(4,966.7)%</w:t>
            </w:r>
          </w:p>
        </w:tc>
        <w:tc>
          <w:tcPr>
            <w:tcW w:w="0" w:type="dxa"/>
            <w:vAlign w:val="bottom"/>
          </w:tcPr>
          <w:p>
            <w:pPr>
              <w:spacing w:after="0"/>
              <w:rPr>
                <w:sz w:val="1"/>
                <w:szCs w:val="1"/>
                <w:color w:val="auto"/>
              </w:rPr>
            </w:pPr>
          </w:p>
        </w:tc>
      </w:tr>
      <w:tr>
        <w:trPr>
          <w:trHeight w:val="160"/>
        </w:trPr>
        <w:tc>
          <w:tcPr>
            <w:tcW w:w="1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extinguishment of debt</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184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Loan loss and other investment</w:t>
            </w: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4"/>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reserves, net of recoveries</w:t>
            </w:r>
          </w:p>
        </w:tc>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vMerge w:val="continue"/>
            <w:shd w:val="clear" w:color="auto" w:fill="CCEEFF"/>
          </w:tcPr>
          <w:p>
            <w:pPr>
              <w:spacing w:after="0"/>
              <w:rPr>
                <w:sz w:val="15"/>
                <w:szCs w:val="15"/>
                <w:color w:val="auto"/>
              </w:rPr>
            </w:pPr>
          </w:p>
        </w:tc>
        <w:tc>
          <w:tcPr>
            <w:tcW w:w="11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(599.3)</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629.5</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Rental Revenue</w:t>
      </w:r>
    </w:p>
    <w:p>
      <w:pPr>
        <w:spacing w:after="0" w:line="12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Rental revenues decreased due primarily to the deconsolidation of 245 Park Avenue ($77.6 million) as a result of the sale of a joint venture interest during the second quarter of 2023 and increased vacancy at 555 West 57th Street ($10.7 million), 1350 Avenue of the Americas ($4.1 million) and 885 Third Avenue ($3.6 million). The decrease is partially offset by the consolidation of 10 East 53rd Street ($25.2 million) as a result of the agreement to acquire the partner's interest in the joint venture during the first quarter of 2024.</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presents a summary of the commenced leasing activity for the year ended December 31, 2024 in our Manhattan portfolio:</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New</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Prev.</w:t>
            </w:r>
          </w:p>
        </w:tc>
        <w:tc>
          <w:tcPr>
            <w:tcW w:w="160" w:type="dxa"/>
            <w:vAlign w:val="bottom"/>
          </w:tcPr>
          <w:p>
            <w:pPr>
              <w:spacing w:after="0"/>
              <w:rPr>
                <w:sz w:val="13"/>
                <w:szCs w:val="13"/>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TI/LC</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Escalated</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Usable</w:t>
            </w:r>
          </w:p>
        </w:tc>
        <w:tc>
          <w:tcPr>
            <w:tcW w:w="10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Rentable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7"/>
              </w:rPr>
              <w:t>Rent (per</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Rent (per</w:t>
            </w:r>
          </w:p>
        </w:tc>
        <w:tc>
          <w:tcPr>
            <w:tcW w:w="160" w:type="dxa"/>
            <w:vAlign w:val="bottom"/>
          </w:tcPr>
          <w:p>
            <w:pPr>
              <w:spacing w:after="0"/>
              <w:rPr>
                <w:sz w:val="11"/>
                <w:szCs w:val="11"/>
                <w:color w:val="auto"/>
              </w:rPr>
            </w:pPr>
          </w:p>
        </w:tc>
        <w:tc>
          <w:tcPr>
            <w:tcW w:w="9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1080" w:type="dxa"/>
            <w:vAlign w:val="bottom"/>
            <w:gridSpan w:val="2"/>
            <w:vMerge w:val="continue"/>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rentable</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rentable</w:t>
            </w: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rentable</w:t>
            </w:r>
          </w:p>
        </w:tc>
        <w:tc>
          <w:tcPr>
            <w:tcW w:w="10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Rent (in</w:t>
            </w: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Term (in</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040" w:type="dxa"/>
            <w:vAlign w:val="bottom"/>
          </w:tcPr>
          <w:p>
            <w:pPr>
              <w:jc w:val="right"/>
              <w:ind w:right="312"/>
              <w:spacing w:after="0" w:line="197" w:lineRule="exact"/>
              <w:rPr>
                <w:sz w:val="20"/>
                <w:szCs w:val="20"/>
                <w:color w:val="auto"/>
              </w:rPr>
            </w:pPr>
            <w:r>
              <w:rPr>
                <w:rFonts w:ascii="Times New Roman" w:cs="Times New Roman" w:eastAsia="Times New Roman" w:hAnsi="Times New Roman"/>
                <w:sz w:val="22"/>
                <w:szCs w:val="22"/>
                <w:b w:val="1"/>
                <w:bCs w:val="1"/>
                <w:color w:val="auto"/>
                <w:vertAlign w:val="subscript"/>
              </w:rPr>
              <w:t>SF</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line="197" w:lineRule="exact"/>
              <w:rPr>
                <w:sz w:val="20"/>
                <w:szCs w:val="20"/>
                <w:color w:val="auto"/>
              </w:rPr>
            </w:pPr>
            <w:r>
              <w:rPr>
                <w:rFonts w:ascii="Times New Roman" w:cs="Times New Roman" w:eastAsia="Times New Roman" w:hAnsi="Times New Roman"/>
                <w:sz w:val="14"/>
                <w:szCs w:val="14"/>
                <w:b w:val="1"/>
                <w:bCs w:val="1"/>
                <w:color w:val="auto"/>
                <w:w w:val="93"/>
              </w:rPr>
              <w:t xml:space="preserve">SF) </w:t>
            </w:r>
            <w:r>
              <w:rPr>
                <w:rFonts w:ascii="Times New Roman" w:cs="Times New Roman" w:eastAsia="Times New Roman" w:hAnsi="Times New Roman"/>
                <w:sz w:val="18"/>
                <w:szCs w:val="18"/>
                <w:b w:val="1"/>
                <w:bCs w:val="1"/>
                <w:color w:val="auto"/>
                <w:w w:val="93"/>
                <w:vertAlign w:val="superscript"/>
              </w:rPr>
              <w:t>(2)</w:t>
            </w:r>
          </w:p>
        </w:tc>
        <w:tc>
          <w:tcPr>
            <w:tcW w:w="140" w:type="dxa"/>
            <w:vAlign w:val="bottom"/>
          </w:tcPr>
          <w:p>
            <w:pPr>
              <w:spacing w:after="0"/>
              <w:rPr>
                <w:sz w:val="17"/>
                <w:szCs w:val="17"/>
                <w:color w:val="auto"/>
              </w:rPr>
            </w:pPr>
          </w:p>
        </w:tc>
        <w:tc>
          <w:tcPr>
            <w:tcW w:w="940" w:type="dxa"/>
            <w:vAlign w:val="bottom"/>
            <w:gridSpan w:val="2"/>
          </w:tcPr>
          <w:p>
            <w:pPr>
              <w:jc w:val="center"/>
              <w:ind w:right="240"/>
              <w:spacing w:after="0" w:line="197" w:lineRule="exact"/>
              <w:rPr>
                <w:sz w:val="20"/>
                <w:szCs w:val="20"/>
                <w:color w:val="auto"/>
              </w:rPr>
            </w:pPr>
            <w:r>
              <w:rPr>
                <w:rFonts w:ascii="Times New Roman" w:cs="Times New Roman" w:eastAsia="Times New Roman" w:hAnsi="Times New Roman"/>
                <w:sz w:val="14"/>
                <w:szCs w:val="14"/>
                <w:b w:val="1"/>
                <w:bCs w:val="1"/>
                <w:color w:val="auto"/>
                <w:w w:val="88"/>
              </w:rPr>
              <w:t xml:space="preserve">SF) </w:t>
            </w:r>
            <w:r>
              <w:rPr>
                <w:rFonts w:ascii="Times New Roman" w:cs="Times New Roman" w:eastAsia="Times New Roman" w:hAnsi="Times New Roman"/>
                <w:sz w:val="18"/>
                <w:szCs w:val="18"/>
                <w:b w:val="1"/>
                <w:bCs w:val="1"/>
                <w:color w:val="auto"/>
                <w:w w:val="88"/>
                <w:vertAlign w:val="superscript"/>
              </w:rPr>
              <w:t>(3)</w:t>
            </w: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months)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170"/>
        </w:trPr>
        <w:tc>
          <w:tcPr>
            <w:tcW w:w="3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Manhattan</w:t>
            </w:r>
          </w:p>
        </w:tc>
        <w:tc>
          <w:tcPr>
            <w:tcW w:w="10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Space available at beginning of the year</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2,738,177</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8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4"/>
                <w:szCs w:val="14"/>
                <w:color w:val="auto"/>
              </w:rPr>
              <w:t>Space which became available during the year</w:t>
            </w:r>
            <w:r>
              <w:rPr>
                <w:rFonts w:ascii="Times New Roman" w:cs="Times New Roman" w:eastAsia="Times New Roman" w:hAnsi="Times New Roman"/>
                <w:sz w:val="18"/>
                <w:szCs w:val="18"/>
                <w:color w:val="auto"/>
                <w:vertAlign w:val="superscript"/>
              </w:rPr>
              <w:t>(4)</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Office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980,111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Retail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89,082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Storage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5,177</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0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1,074,370</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space available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3,812,547</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Leased space commenced during the year:</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80" w:type="dxa"/>
            <w:vAlign w:val="bottom"/>
          </w:tcPr>
          <w:p>
            <w:pPr>
              <w:ind w:left="220"/>
              <w:spacing w:after="0" w:line="197" w:lineRule="exact"/>
              <w:rPr>
                <w:sz w:val="20"/>
                <w:szCs w:val="20"/>
                <w:color w:val="auto"/>
              </w:rPr>
            </w:pPr>
            <w:r>
              <w:rPr>
                <w:rFonts w:ascii="Times New Roman" w:cs="Times New Roman" w:eastAsia="Times New Roman" w:hAnsi="Times New Roman"/>
                <w:sz w:val="14"/>
                <w:szCs w:val="14"/>
                <w:color w:val="auto"/>
              </w:rPr>
              <w:t>Office</w:t>
            </w:r>
            <w:r>
              <w:rPr>
                <w:rFonts w:ascii="Times New Roman" w:cs="Times New Roman" w:eastAsia="Times New Roman" w:hAnsi="Times New Roman"/>
                <w:sz w:val="18"/>
                <w:szCs w:val="18"/>
                <w:color w:val="auto"/>
                <w:vertAlign w:val="superscript"/>
              </w:rPr>
              <w:t>(5)</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1,078,894</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1,132,979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110.78</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97"/>
        </w:trPr>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Retail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104,211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97,923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0"/>
        </w:trPr>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Storage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0"/>
        </w:trPr>
        <w:tc>
          <w:tcPr>
            <w:tcW w:w="100" w:type="dxa"/>
            <w:vAlign w:val="bottom"/>
            <w:shd w:val="clear" w:color="auto" w:fill="CCEEFF"/>
          </w:tcPr>
          <w:p>
            <w:pPr>
              <w:spacing w:after="0"/>
              <w:rPr>
                <w:sz w:val="16"/>
                <w:szCs w:val="16"/>
                <w:color w:val="auto"/>
              </w:rPr>
            </w:pPr>
          </w:p>
        </w:tc>
        <w:tc>
          <w:tcPr>
            <w:tcW w:w="3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leased space commenced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1,184,245</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1,231,998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104.74</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 space at end of year</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2,628,302</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Early renewals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Office</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1,488,717</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1,533,979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84.62</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04"/>
        </w:trPr>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Retail</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0"/>
        </w:trPr>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Storage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46.22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39.91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62"/>
        </w:trPr>
        <w:tc>
          <w:tcPr>
            <w:tcW w:w="100" w:type="dxa"/>
            <w:vAlign w:val="bottom"/>
            <w:tcBorders>
              <w:bottom w:val="single" w:sz="8" w:color="CCEEFF"/>
            </w:tcBorders>
            <w:shd w:val="clear" w:color="auto" w:fill="CCEEFF"/>
          </w:tcPr>
          <w:p>
            <w:pPr>
              <w:spacing w:after="0"/>
              <w:rPr>
                <w:sz w:val="22"/>
                <w:szCs w:val="22"/>
                <w:color w:val="auto"/>
              </w:rPr>
            </w:pPr>
          </w:p>
        </w:tc>
        <w:tc>
          <w:tcPr>
            <w:tcW w:w="3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early renewals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1,506,014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1,551,294</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08"/>
        </w:trPr>
        <w:tc>
          <w:tcPr>
            <w:tcW w:w="10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spacing w:after="0"/>
              <w:rPr>
                <w:sz w:val="11"/>
                <w:szCs w:val="11"/>
                <w:color w:val="auto"/>
              </w:rPr>
            </w:pPr>
          </w:p>
        </w:tc>
        <w:tc>
          <w:tcPr>
            <w:tcW w:w="348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4"/>
                <w:szCs w:val="14"/>
                <w:color w:val="auto"/>
              </w:rPr>
              <w:t>Total commenced leases, including replaced previous</w:t>
            </w: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00" w:type="dxa"/>
            <w:vAlign w:val="bottom"/>
            <w:shd w:val="clear" w:color="auto" w:fill="CCEEFF"/>
          </w:tcPr>
          <w:p>
            <w:pPr>
              <w:spacing w:after="0"/>
              <w:rPr>
                <w:sz w:val="16"/>
                <w:szCs w:val="16"/>
                <w:color w:val="auto"/>
              </w:rPr>
            </w:pPr>
          </w:p>
        </w:tc>
        <w:tc>
          <w:tcPr>
            <w:tcW w:w="3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vacancy</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Office</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2,666,958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95.73</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4"/>
        </w:trPr>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Retail</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114,681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0"/>
        </w:trPr>
        <w:tc>
          <w:tcPr>
            <w:tcW w:w="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Storage</w:t>
            </w: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23.95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22"/>
        </w:trPr>
        <w:tc>
          <w:tcPr>
            <w:tcW w:w="100" w:type="dxa"/>
            <w:vAlign w:val="bottom"/>
            <w:tcBorders>
              <w:bottom w:val="single" w:sz="8" w:color="CCEEFF"/>
            </w:tcBorders>
            <w:shd w:val="clear" w:color="auto" w:fill="CCEEFF"/>
          </w:tcPr>
          <w:p>
            <w:pPr>
              <w:spacing w:after="0"/>
              <w:rPr>
                <w:sz w:val="18"/>
                <w:szCs w:val="18"/>
                <w:color w:val="auto"/>
              </w:rPr>
            </w:pPr>
          </w:p>
        </w:tc>
        <w:tc>
          <w:tcPr>
            <w:tcW w:w="3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commenced leases</w:t>
            </w: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2,783,292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93.00</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400" w:hanging="395"/>
        <w:spacing w:after="0"/>
        <w:tabs>
          <w:tab w:leader="none" w:pos="4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rentable square footage at the time the property was acquired.</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initial base rent.</w:t>
      </w:r>
    </w:p>
    <w:p>
      <w:pPr>
        <w:spacing w:after="0" w:line="5"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Escalated rent includes base rent plus all additional amounts paid by the tenant in the form of real estate taxes, operating expenses, porters wage or a consumer price index (CPI) adjustment.</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expiring space, relocating tenants and move-outs where tenants vacated. Excludes lease expirations where tenants held over.</w:t>
      </w:r>
    </w:p>
    <w:p>
      <w:pPr>
        <w:spacing w:after="0" w:line="9" w:lineRule="exact"/>
        <w:rPr>
          <w:rFonts w:ascii="Times New Roman" w:cs="Times New Roman" w:eastAsia="Times New Roman" w:hAnsi="Times New Roman"/>
          <w:sz w:val="14"/>
          <w:szCs w:val="14"/>
          <w:color w:val="auto"/>
        </w:rPr>
      </w:pPr>
    </w:p>
    <w:p>
      <w:pPr>
        <w:ind w:left="400" w:hanging="395"/>
        <w:spacing w:after="0" w:line="268" w:lineRule="auto"/>
        <w:tabs>
          <w:tab w:leader="none" w:pos="39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starting office rent excluding new tenants replacing vacancies was $95.92 per rentable square feet for 514,272 rentable square feet. Average starting office rent for office space (leased and early renewals, excluding new tenants replacing vacancies) was $88.48 per rentable square feet for 2,048,251 rentable square feet.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SUMMIT Operator revenue</w:t>
      </w:r>
    </w:p>
    <w:p>
      <w:pPr>
        <w:spacing w:after="0" w:line="121" w:lineRule="exact"/>
        <w:rPr>
          <w:sz w:val="20"/>
          <w:szCs w:val="20"/>
          <w:color w:val="auto"/>
        </w:rPr>
      </w:pPr>
    </w:p>
    <w:p>
      <w:pPr>
        <w:jc w:val="both"/>
        <w:ind w:firstLine="393"/>
        <w:spacing w:after="0" w:line="268" w:lineRule="auto"/>
        <w:rPr>
          <w:sz w:val="20"/>
          <w:szCs w:val="20"/>
          <w:color w:val="auto"/>
        </w:rPr>
      </w:pPr>
      <w:r>
        <w:rPr>
          <w:rFonts w:ascii="Times New Roman" w:cs="Times New Roman" w:eastAsia="Times New Roman" w:hAnsi="Times New Roman"/>
          <w:sz w:val="17"/>
          <w:szCs w:val="17"/>
          <w:color w:val="auto"/>
        </w:rPr>
        <w:t>SUMMIT Operator revenues were higher for the year ended December 31, 2024, compared to the same period in 2023 due primarily to increased attendance.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Income</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Investment income decreased due to a lower weighted average debt and preferred equity investment balance for the period ended December 31, 2024 as compared to the same period in 2023. For the years ended December 31, 2024 and 2023, the weighted average balance of our debt and preferred equity investment portfolio and the weighted average yield were $328.9 million and 6.9%, respectively, compared to $563.0 million and 6.2%,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income from real estate loans held by consolidated securitization vehicles</w:t>
      </w:r>
    </w:p>
    <w:p>
      <w:pPr>
        <w:spacing w:after="0" w:line="121"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During the year December 31, 2024, we acquired securities in CMBS securitization trusts that resulted in consolidation of the trusts on our financial statements. The amounts recorded include our interest income as well as the interest income associated with CMBS positions owned by third parties, which is offset by the amounts recorded in Interest expense on senior obligations of consolidated securitization vehicles. As a result, the net impact is limited to the interest income on the CMBS securities we own directly and not the consolidated interest income and interest expense. We did not hold any investments in CMBS securitization trusts that resulted in consolidation during the year ended December 31, 2023.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w:t>
      </w:r>
    </w:p>
    <w:p>
      <w:pPr>
        <w:spacing w:after="0" w:line="12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Other income increased due primarily to fee income related to the sale of 625 Madison Avenue ($11.5 million) as well as higher management, leasing, and construction management fee income ($24.6 million) and an increase in special servicing income ($2.9 million). This increase was offset by a decrease in lease termination income ($6.4 million) and fee income related to the 49.9% interest sale of 245 Park Avenue ($4.7 million) and One Madison Avenue ($2.1 million) recognized during the year ended December 31,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Property Operating Expenses</w:t>
      </w:r>
    </w:p>
    <w:p>
      <w:pPr>
        <w:spacing w:after="0" w:line="108" w:lineRule="exact"/>
        <w:rPr>
          <w:sz w:val="20"/>
          <w:szCs w:val="20"/>
          <w:color w:val="auto"/>
        </w:rPr>
      </w:pPr>
    </w:p>
    <w:p>
      <w:pPr>
        <w:jc w:val="both"/>
        <w:ind w:firstLine="393"/>
        <w:spacing w:after="0" w:line="256" w:lineRule="auto"/>
        <w:rPr>
          <w:sz w:val="20"/>
          <w:szCs w:val="20"/>
          <w:color w:val="auto"/>
        </w:rPr>
      </w:pPr>
      <w:r>
        <w:rPr>
          <w:rFonts w:ascii="Times New Roman" w:cs="Times New Roman" w:eastAsia="Times New Roman" w:hAnsi="Times New Roman"/>
          <w:sz w:val="17"/>
          <w:szCs w:val="17"/>
          <w:color w:val="auto"/>
        </w:rPr>
        <w:t>Property operating expenses decreased due primarily to the deconsolidation of 245 Park Avenue in the second quarter of 2023 ($26.8 million) and decreases in variable expenses ($5.3 million) and real estate taxes ($3.3 million) at our Acquired properties. These decreases were partially offset by the consolidation of 10 East 53rd Street ($11.1 million) as a result of the agreement to acquire the partner's interest in the joint venture during the first quarter of 2024.</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SUMMIT Operator expenses</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SUMMIT Operator expenses were higher for the year ended December 31, 2024, compared to the same period in 2023 due to increased variable expenses, including percentage rent, as a result of increased attendance.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SUMMIT Operator tax expense</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decrease in SUMMIT Operator tax expense for the year ended December 31, 2024 as compared to the same period in 2023 was the result of an adjustment made in the third quarter of 2024 related to 2023 projected tax expense being more than 2023 actual tax expense.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Marketing, General and Administrative Expenses</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Marketing, general and administrative expenses decreased to $85.2 million for the year ended December 31, 2024, compared to $111.4 million for the same period in 2023, due primarily to compensation expense related to the non-renewal of the Company's former President ($18.7 million) recorded in the fourth quarter of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and Amortization of Deferred Financing Costs, Net of Interest Income</w:t>
      </w:r>
    </w:p>
    <w:p>
      <w:pPr>
        <w:spacing w:after="0" w:line="121"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Interest expense and amortization of deferred financing costs, net of interest income, increased due primarily to a decrease in interest capitalization in connection with properties that are under development or redevelopment ($35.1 million), increased interest expense from the revolving credit facility ($11.2 million) due to a higher weighted average interest rate, and the consolidation of 10 East 53rd Street ($10.7 million) as a result of the agreement to acquire the partner's interest in the joint venture during the first quarter of 2024. These increases were offset by the deconsolidation of 245 Park Avenue in the second quarter of 2023 ($31.1 million), the repayment of unsecured corporate term loans ($10.1 million) in the third quarter of 2023, the discounted mortgage repayment at 690 Madison Avenue in the fourth quarter of 2024 ($4.3 million), and the sale of 719 Seventh in the second quarter of 2024 ($4.0 million). The weighted average consolidated debt balance outstanding was $3.7 billion for the year ended December 31, 2024 as compared to $4.6 billion for the year ended December 31, 2023. The consolidated weighted average interest rate was 5.17% for the year ended December 31, 2024 as compared to 4.71%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on senior obligations of consolidated securitization vehicles</w:t>
      </w:r>
    </w:p>
    <w:p>
      <w:pPr>
        <w:spacing w:after="0" w:line="121"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During the year December 31, 2024, we acquired securities in CMBS securitization trusts that resulted in consolidation of the trusts on our financial statements. The amounts include the interest expense associated with CMBS positions owned by third parties, which is an offset to the third party interest income recognized in Interest income from real estate loans held by consolidated securitization vehicles. As a result, the impact is limited to interest income on the CMBS securities we own directly and not the consolidated interest income and interest expense. We did not hold any investments in CMBS securitization trusts that resulted in consolidation during the year ended December 31, 2023.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Depreciation and amortization decreased due primarily to the deconsolidation of 245 Park Avenue in the second quarter of 2023 ($48.5 million), partially offset by the consolidation of 10 East 53rd Street ($11.3 million) as a result of the agreement to acquire the partner's interest in the joint venture during the first quarter of 2024 for the year ended December 31,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 net loss from unconsolidated joint ventures</w:t>
      </w:r>
    </w:p>
    <w:p>
      <w:pPr>
        <w:spacing w:after="0" w:line="12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Equity in net loss from unconsolidated joint ventures increased due primarily to impairments recognized during the year ended December 31, 2024 at 5 Times Square ($146.4 million), Worldwide Plaza ($72.6 million), 2 Herald Square ($20.4 million), 85 Fifth Avenue ($12.0 million) and 115 Spring Street ($11.7 million) during the year ended December 31, 2024. These impairments were partially offset by the $141.7 million and $30.7 million gains on discounted debt extinguishment at 2 Herald Square and 280 Park Avenue, respectively, during the year ended December 31, 2024. The year ended December 31, 2023 included $23.6 million of income recognized for holdover rent, interest and reimbursement of attorneys' fees collected following the completion of legal proceedings against a former tenant and its guarantor at 2 Herald Square.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 net gain (loss) on sale of interest in unconsolidated joint venture/real estate</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During the year ended December 31, 2024, we recognized gains on the sale of an 11% interest in One Vanderbilt ($187.6 million) and our interest in 717 Fifth Avenue ($26.4 million), partially offset by a loss on the sale of our interest in 625 Madison Avenue ($7.2 million). During the year ended December 31, 2023, we recognized losses on the sales of our interests in 21 East 66th Street ($12.7 million) and 121 Greene Street ($0.3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Purchase price and other fair value adjustments</w:t>
      </w:r>
    </w:p>
    <w:p>
      <w:pPr>
        <w:spacing w:after="0" w:line="121"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2024, we recorded a $117.8 million positive fair value adjustment relating to the consolidation of 100 Park Avenue and a $19.6 million positive fair value adjustment for the secured borrowing related to the previous sale of an interest at One Madison Avenue. Additionally, we recorded a $5.5 million positive fair value adjustment related to derivatives that are not designated as hedges for accounting purposes. These positive adjustments were partially offset by a $55.7 million negative fair value adjustment relating to the consolidation of 10 East 53rd Street. During the year ended December 31, 2023, we recorded a $17.0 million negative fair value adjustment relating to the 50.1% interest we retained in 245 Park Avenue, which was deconsolidated when a 49.9% joint venture interest was sold, and a $10.4 million negative fair value adjustment related to derivatives that are not designated as hedges for accounting purposes. This was partially offset by a $10.2 million purchase price adjustment related to a previous transaction.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 (loss) on sale of real estate, net</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During the year ended December 31, 2024, we recognized a gain on the sale of Palisades Conference Center ($7.3 million) and losses on the sales of 719 Seventh Avenue ($2.1 million) and the Giorgio Armani Residences at 760 Madison Avenue ($1.5 million). During the year ended December 31, 2023, we recognized a loss on the sale of a 49.9% joint venture interest in 245 Park Avenue ($32.8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Depreciable Real Estate Reserves and Impairments</w:t>
      </w:r>
    </w:p>
    <w:p>
      <w:pPr>
        <w:spacing w:after="0" w:line="121"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2024, we recognized depreciable real estate reserves and impairments at 719 Seventh Avenue ($46.3 million), 690 Madison Avenue ($34.3 million) and 760 Madison Avenue ($17.6 million), reflective of $15.1 million of capitalized interest for 760 Madison Avenue, to reduce the carrying value of our investments based on the sales contracts that the Company entered into for these properties. In addition, we recognized depreciable real estate reserves and impairments related to our investment in 625 Madison Avenue ($5.9 million), which remained under contract for sale as of March 31, 2024 prior to the sale closing in the second quarter of 2024. During the year ended December 31, 2023, we recognized depreciable real estate reserves and impairments related to our leasehold interest at 625 Madison Avenue ($272.6 million), which was under contract for sale as of December 31, 2023, 2 Herald Square ($101.7 million) and 1552-1560 Broadway ($8.0 million) following an assessment of the investments for recoverability.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Gain (loss) on early extinguishment of debt</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During the year ended December 31, 2024, we recognized a $26.0 million gain on discounted debt extinguishment at 690 Madison Avenue and a $17.8 million gain on discounted debt extinguishment at 719 Seventh Avenue.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Loan loss and other investment reserves, net of recoveries</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During the year ended December 31, 2024, we did not recognize any loan loss and other investment reserves. During the year ended December 31, 2023, we recorded $6.9 million of loan loss reserve on one debt and preferred equity investment.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year ended December 31, 2023 to the year ended December 31, 2022</w:t>
      </w:r>
    </w:p>
    <w:p>
      <w:pPr>
        <w:spacing w:after="0" w:line="12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For a comparison of the year ended December 31, 2023 to the year ended December 31, 2022, see "Management's Discussion and Analysis of Financial Condition and Results of Operations" in Part II, Item 7 of our Form 10-K for the year ended December 31, 2023, which was filed with the SEC on February 23,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currently expect that the principal sources of funds to meet our short-term and long-term liquidity requirements for working capital, acquisitions, development or redevelopment of properties, tenant improvements, leasing costs, dividends to shareholders, distributions to unitholders, repurchases or repayments of outstanding indebtedness and for debt and preferred equity investments will include:</w:t>
      </w:r>
    </w:p>
    <w:p>
      <w:pPr>
        <w:spacing w:after="0" w:line="57" w:lineRule="exact"/>
        <w:rPr>
          <w:sz w:val="20"/>
          <w:szCs w:val="20"/>
          <w:color w:val="auto"/>
        </w:rPr>
      </w:pPr>
    </w:p>
    <w:p>
      <w:pPr>
        <w:ind w:left="1260" w:hanging="704"/>
        <w:spacing w:after="0"/>
        <w:tabs>
          <w:tab w:leader="none" w:pos="1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flow from operations;</w:t>
      </w:r>
    </w:p>
    <w:p>
      <w:pPr>
        <w:spacing w:after="0" w:line="32" w:lineRule="exact"/>
        <w:rPr>
          <w:rFonts w:ascii="Times New Roman" w:cs="Times New Roman" w:eastAsia="Times New Roman" w:hAnsi="Times New Roman"/>
          <w:sz w:val="17"/>
          <w:szCs w:val="17"/>
          <w:color w:val="auto"/>
        </w:rPr>
      </w:pPr>
    </w:p>
    <w:p>
      <w:pPr>
        <w:ind w:left="1260" w:hanging="704"/>
        <w:spacing w:after="0"/>
        <w:tabs>
          <w:tab w:leader="none" w:pos="1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on hand;</w:t>
      </w:r>
    </w:p>
    <w:p>
      <w:pPr>
        <w:spacing w:after="0" w:line="14" w:lineRule="exact"/>
        <w:rPr>
          <w:rFonts w:ascii="Times New Roman" w:cs="Times New Roman" w:eastAsia="Times New Roman" w:hAnsi="Times New Roman"/>
          <w:sz w:val="17"/>
          <w:szCs w:val="17"/>
          <w:color w:val="auto"/>
        </w:rPr>
      </w:pPr>
    </w:p>
    <w:p>
      <w:pPr>
        <w:ind w:left="1260" w:hanging="704"/>
        <w:spacing w:after="0" w:line="257" w:lineRule="auto"/>
        <w:tabs>
          <w:tab w:leader="none" w:pos="125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proceeds from divestitures of properties and redemptions, participations, dispositions and repayments of debt and preferred equity investments;</w:t>
      </w:r>
    </w:p>
    <w:p>
      <w:pPr>
        <w:ind w:left="1260" w:hanging="704"/>
        <w:spacing w:after="0"/>
        <w:tabs>
          <w:tab w:leader="none" w:pos="1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Borrowings under the revolving credit facility;</w:t>
      </w:r>
    </w:p>
    <w:p>
      <w:pPr>
        <w:spacing w:after="0" w:line="14" w:lineRule="exact"/>
        <w:rPr>
          <w:rFonts w:ascii="Times New Roman" w:cs="Times New Roman" w:eastAsia="Times New Roman" w:hAnsi="Times New Roman"/>
          <w:sz w:val="17"/>
          <w:szCs w:val="17"/>
          <w:color w:val="auto"/>
        </w:rPr>
      </w:pPr>
    </w:p>
    <w:p>
      <w:pPr>
        <w:ind w:left="1260" w:hanging="704"/>
        <w:spacing w:after="0"/>
        <w:tabs>
          <w:tab w:leader="none" w:pos="12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forms of secured or unsecured financing; and</w:t>
      </w:r>
    </w:p>
    <w:p>
      <w:pPr>
        <w:spacing w:after="0" w:line="14" w:lineRule="exact"/>
        <w:rPr>
          <w:rFonts w:ascii="Times New Roman" w:cs="Times New Roman" w:eastAsia="Times New Roman" w:hAnsi="Times New Roman"/>
          <w:sz w:val="17"/>
          <w:szCs w:val="17"/>
          <w:color w:val="auto"/>
        </w:rPr>
      </w:pPr>
    </w:p>
    <w:p>
      <w:pPr>
        <w:ind w:left="1260" w:hanging="704"/>
        <w:spacing w:after="0" w:line="275" w:lineRule="auto"/>
        <w:tabs>
          <w:tab w:leader="none" w:pos="125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from common or preferred equity or debt offerings by the Company or the Operating Partnership (including issuances of units of limited partnership interest in the Operating Partnership and Trust preferred securities).</w:t>
      </w:r>
    </w:p>
    <w:p>
      <w:pPr>
        <w:spacing w:after="0" w:line="59"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Cash flow from operations is primarily dependent upon the collectability of rent, the occupancy level of our portfolio, the net effective rental rates achieved on our leases, the collectability of rent, operating escalations and recoveries from our tenants and the level of operating and other costs. Additionally, we believe that our debt and preferred equity investment program will continue to serve as a source of operating cash flow.</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combined aggregate principal maturities of mortgages and other loans payable, the 2021 credit facility, senior unsecured notes (net of discount), trust preferred securities, our share of joint venture debt, including as-of-right extension options, estimated interest expense, and our obligations under our financing and operating leases, as of December 31, 2024 are as follows (in thousands):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60" w:type="dxa"/>
            <w:vAlign w:val="bottom"/>
          </w:tcPr>
          <w:p>
            <w:pPr>
              <w:spacing w:after="0"/>
              <w:rPr>
                <w:sz w:val="16"/>
                <w:szCs w:val="16"/>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2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mortgages and other loans</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373,551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190,148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910,000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272,325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1,951,024</w:t>
            </w:r>
          </w:p>
        </w:tc>
        <w:tc>
          <w:tcPr>
            <w:tcW w:w="0" w:type="dxa"/>
            <w:vAlign w:val="bottom"/>
          </w:tcPr>
          <w:p>
            <w:pPr>
              <w:spacing w:after="0"/>
              <w:rPr>
                <w:sz w:val="1"/>
                <w:szCs w:val="1"/>
                <w:color w:val="auto"/>
              </w:rPr>
            </w:pPr>
          </w:p>
        </w:tc>
      </w:tr>
      <w:tr>
        <w:trPr>
          <w:trHeight w:val="19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320,000</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Unsecured term loans</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1,150,000</w:t>
            </w:r>
          </w:p>
        </w:tc>
        <w:tc>
          <w:tcPr>
            <w:tcW w:w="0" w:type="dxa"/>
            <w:vAlign w:val="bottom"/>
          </w:tcPr>
          <w:p>
            <w:pPr>
              <w:spacing w:after="0"/>
              <w:rPr>
                <w:sz w:val="1"/>
                <w:szCs w:val="1"/>
                <w:color w:val="auto"/>
              </w:rPr>
            </w:pPr>
          </w:p>
        </w:tc>
      </w:tr>
      <w:tr>
        <w:trPr>
          <w:trHeight w:val="19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unsecured notes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Trust preferred securities</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9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leases</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209,998</w:t>
            </w: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53,746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54,211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1,154,422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1,424,151</w:t>
            </w:r>
          </w:p>
        </w:tc>
        <w:tc>
          <w:tcPr>
            <w:tcW w:w="0" w:type="dxa"/>
            <w:vAlign w:val="bottom"/>
          </w:tcPr>
          <w:p>
            <w:pPr>
              <w:spacing w:after="0"/>
              <w:rPr>
                <w:sz w:val="1"/>
                <w:szCs w:val="1"/>
                <w:color w:val="auto"/>
              </w:rPr>
            </w:pPr>
          </w:p>
        </w:tc>
      </w:tr>
      <w:tr>
        <w:trPr>
          <w:trHeight w:val="190"/>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interest expense</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276,591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774,586</w:t>
            </w: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Company's share of joint</w:t>
            </w: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1,198,400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936,639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1,710,229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382,294</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1,800,300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6,027,862</w:t>
            </w:r>
          </w:p>
        </w:tc>
        <w:tc>
          <w:tcPr>
            <w:tcW w:w="0" w:type="dxa"/>
            <w:vAlign w:val="bottom"/>
          </w:tcPr>
          <w:p>
            <w:pPr>
              <w:spacing w:after="0"/>
              <w:rPr>
                <w:sz w:val="1"/>
                <w:szCs w:val="1"/>
                <w:color w:val="auto"/>
              </w:rPr>
            </w:pPr>
          </w:p>
        </w:tc>
      </w:tr>
      <w:tr>
        <w:trPr>
          <w:trHeight w:val="188"/>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venture debt</w:t>
            </w: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1,911,714</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1,450,413</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4,135,230</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677,087</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86,171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3,797,006</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12,057,621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We estimate that for the year ending December 31, 2025, we expect to incur $114.7 million of leasing capital expenditures and $22.0 million of recurring capital expenditures on existing consolidated properties. In addition, we expect to incur $22.6 million of development or redevelopment expenditures on existing consolidated properties, of which $8.9 million will be funded by construction financing facilities or loan reserves. We expect our share of capital expenditures at our joint venture properties will be $134.1 million, of which $22.6 million will be funded by construction financing facilities or loan reserves. We expect to fund capital expenditures from operating cash flow, existing liquidity, and borrowings from construction financing facilities. Future property acquisitions may require substantial capital investments for refurbishment and leasing costs.</w:t>
      </w:r>
    </w:p>
    <w:p>
      <w:pPr>
        <w:spacing w:after="0" w:line="69"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As of December 31, 2024, we had liquidity of $1.1 billion, comprised of $922.5 million of availability under our revolving credit facility and $201.6 million of consolidated cash on hand, inclusive of $17.3 million of available-for-sale marketable securities. This liquidity excludes $131.6 million representing our share of cash at unconsolidated joint venture properties. We may seek to divest of properties, interests in properties, or debt and preferred equity investments or access private and public debt and equity capital when the opportunity presents itself, although there is no guarantee that this capital will be made available to us at efficient levels or at all. Management believes that these sources of liquidity, if we are able to access them, along with potential refinancing opportunities for secured and unsecured debt, will allow us to satisfy our debt and other obligations, as described above, upon maturity, if not before.</w:t>
      </w:r>
    </w:p>
    <w:p>
      <w:pPr>
        <w:spacing w:after="0" w:line="69"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have investments in several real estate joint ventures with various partners who are generally considered to be financially stable. Most of our joint ventures are financed with non-recourse debt. We believe that property level cash flows along with unfunded committed indebtedness and proceeds from the refinancing of outstanding secured indebtedness will be sufficient to fund the capital needs of our joint venture properties.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following summary discussion of our cash flows is based on our consolidated statements of cash flows in "Item 1. Financial Statements" and is not meant to be an all-inclusive discussion of the changes in our cash flows for the years presented below.</w:t>
      </w:r>
    </w:p>
    <w:p>
      <w:pPr>
        <w:spacing w:after="0" w:line="4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Cash, restricted cash, and cash equivalents were $331.6 million and $335.5 million as of December 31, 2024 and 2023, respectively, representing a decrease of $3.9 million. The decrease was a result of the following changes in cash flows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5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vMerge w:val="restart"/>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vMerge w:val="restart"/>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jc w:val="center"/>
              <w:ind w:right="281"/>
              <w:spacing w:after="0" w:line="153" w:lineRule="exact"/>
              <w:rPr>
                <w:sz w:val="20"/>
                <w:szCs w:val="20"/>
                <w:color w:val="auto"/>
              </w:rPr>
            </w:pPr>
            <w:r>
              <w:rPr>
                <w:rFonts w:ascii="Times New Roman" w:cs="Times New Roman" w:eastAsia="Times New Roman" w:hAnsi="Times New Roman"/>
                <w:sz w:val="16"/>
                <w:szCs w:val="16"/>
                <w:b w:val="1"/>
                <w:bCs w:val="1"/>
                <w:color w:val="auto"/>
                <w:w w:val="97"/>
              </w:rPr>
              <w:t>(Decrease)</w:t>
            </w:r>
          </w:p>
        </w:tc>
        <w:tc>
          <w:tcPr>
            <w:tcW w:w="0" w:type="dxa"/>
            <w:vAlign w:val="bottom"/>
          </w:tcPr>
          <w:p>
            <w:pPr>
              <w:spacing w:after="0"/>
              <w:rPr>
                <w:sz w:val="1"/>
                <w:szCs w:val="1"/>
                <w:color w:val="auto"/>
              </w:rPr>
            </w:pPr>
          </w:p>
        </w:tc>
      </w:tr>
      <w:tr>
        <w:trPr>
          <w:trHeight w:val="209"/>
        </w:trPr>
        <w:tc>
          <w:tcPr>
            <w:tcW w:w="50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6"/>
              </w:rPr>
              <w:t>Increase</w:t>
            </w:r>
          </w:p>
        </w:tc>
        <w:tc>
          <w:tcPr>
            <w:tcW w:w="0" w:type="dxa"/>
            <w:vAlign w:val="bottom"/>
          </w:tcPr>
          <w:p>
            <w:pPr>
              <w:spacing w:after="0"/>
              <w:rPr>
                <w:sz w:val="1"/>
                <w:szCs w:val="1"/>
                <w:color w:val="auto"/>
              </w:rPr>
            </w:pPr>
          </w:p>
        </w:tc>
      </w:tr>
      <w:tr>
        <w:trPr>
          <w:trHeight w:val="20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129,595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shd w:val="clear" w:color="auto" w:fill="CCEEFF"/>
          </w:tcPr>
          <w:p>
            <w:pPr>
              <w:jc w:val="center"/>
              <w:ind w:left="1161"/>
              <w:spacing w:after="0"/>
              <w:rPr>
                <w:sz w:val="20"/>
                <w:szCs w:val="20"/>
                <w:color w:val="auto"/>
              </w:rPr>
            </w:pPr>
            <w:r>
              <w:rPr>
                <w:rFonts w:ascii="Times New Roman" w:cs="Times New Roman" w:eastAsia="Times New Roman" w:hAnsi="Times New Roman"/>
                <w:sz w:val="16"/>
                <w:szCs w:val="16"/>
                <w:color w:val="auto"/>
                <w:w w:val="99"/>
              </w:rPr>
              <w:t>229,503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w w:val="98"/>
              </w:rPr>
              <w:t>(99,908)</w:t>
            </w: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118,753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tcPr>
          <w:p>
            <w:pPr>
              <w:jc w:val="center"/>
              <w:ind w:left="1161"/>
              <w:spacing w:after="0"/>
              <w:rPr>
                <w:sz w:val="20"/>
                <w:szCs w:val="20"/>
                <w:color w:val="auto"/>
              </w:rPr>
            </w:pPr>
            <w:r>
              <w:rPr>
                <w:rFonts w:ascii="Times New Roman" w:cs="Times New Roman" w:eastAsia="Times New Roman" w:hAnsi="Times New Roman"/>
                <w:sz w:val="16"/>
                <w:szCs w:val="16"/>
                <w:color w:val="auto"/>
                <w:w w:val="99"/>
              </w:rPr>
              <w:t>171,345</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ind w:left="1060"/>
              <w:spacing w:after="0"/>
              <w:rPr>
                <w:sz w:val="20"/>
                <w:szCs w:val="20"/>
                <w:color w:val="auto"/>
              </w:rPr>
            </w:pPr>
            <w:r>
              <w:rPr>
                <w:rFonts w:ascii="Times New Roman" w:cs="Times New Roman" w:eastAsia="Times New Roman" w:hAnsi="Times New Roman"/>
                <w:sz w:val="16"/>
                <w:szCs w:val="16"/>
                <w:color w:val="auto"/>
                <w:w w:val="98"/>
              </w:rPr>
              <w:t>(52,592)</w:t>
            </w:r>
          </w:p>
        </w:tc>
        <w:tc>
          <w:tcPr>
            <w:tcW w:w="0" w:type="dxa"/>
            <w:vAlign w:val="bottom"/>
          </w:tcPr>
          <w:p>
            <w:pPr>
              <w:spacing w:after="0"/>
              <w:rPr>
                <w:sz w:val="1"/>
                <w:szCs w:val="1"/>
                <w:color w:val="auto"/>
              </w:rPr>
            </w:pPr>
          </w:p>
        </w:tc>
      </w:tr>
      <w:tr>
        <w:trPr>
          <w:trHeight w:val="21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shd w:val="clear" w:color="auto" w:fill="CCEEFF"/>
          </w:tcPr>
          <w:p>
            <w:pPr>
              <w:jc w:val="center"/>
              <w:ind w:left="1141"/>
              <w:spacing w:after="0"/>
              <w:rPr>
                <w:sz w:val="20"/>
                <w:szCs w:val="20"/>
                <w:color w:val="auto"/>
              </w:rPr>
            </w:pPr>
            <w:r>
              <w:rPr>
                <w:rFonts w:ascii="Times New Roman" w:cs="Times New Roman" w:eastAsia="Times New Roman" w:hAnsi="Times New Roman"/>
                <w:sz w:val="16"/>
                <w:szCs w:val="16"/>
                <w:color w:val="auto"/>
                <w:w w:val="98"/>
              </w:rPr>
              <w:t>(449,383)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197,154</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Our principal sources of operating cash flow are the properties in our consolidated and joint venture portfolios, third party fees and our debt and preferred equity portfolio. These sources generate a relatively consistent stream of cash flow that provides us with resources to pay operating expenses, debt service, and fund dividend and distribution requirements.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Cash is used in investing activities to fund acquisitions, development or redevelopment projects and recurring and nonrecurring capital expenditures. We selectively invest in new projects that enable us to take advantage of our development, leasing, financing and property management skills, and invest in existing buildings that meet our investment criteria. During the year ended December 31, 2024, when compared to the year ended December 31, 2023, we used cash primarily for the following investing activities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 and capitalized interest</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47,794</w:t>
            </w:r>
          </w:p>
        </w:tc>
      </w:tr>
      <w:tr>
        <w:trPr>
          <w:trHeight w:val="208"/>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deposits and deferred purchase price</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(23,050)</w:t>
            </w:r>
          </w:p>
        </w:tc>
      </w:tr>
      <w:tr>
        <w:trPr>
          <w:trHeight w:val="21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Joint venture investments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(266,752)</w:t>
            </w:r>
          </w:p>
        </w:tc>
      </w:tr>
      <w:tr>
        <w:trPr>
          <w:trHeight w:val="208"/>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from joint ventures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20,905</w:t>
            </w:r>
          </w:p>
        </w:tc>
      </w:tr>
      <w:tr>
        <w:trPr>
          <w:trHeight w:val="21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disposition of real estate/joint venture interest</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171,414</w:t>
            </w:r>
          </w:p>
        </w:tc>
      </w:tr>
      <w:tr>
        <w:trPr>
          <w:trHeight w:val="208"/>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Debt and preferred equity and other investments</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(21,920)</w:t>
            </w:r>
          </w:p>
        </w:tc>
      </w:tr>
      <w:tr>
        <w:trPr>
          <w:trHeight w:val="230"/>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in net cash provided by investing activities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Funds spent on capital expenditures, which are comprised of building and tenant improvements, decreased from $259.7 million for the year ended December 31, 2023 to $211.9 million for the year ended December 31, 2024 due to lower spending on development and redevelopment properties.</w:t>
      </w:r>
    </w:p>
    <w:p>
      <w:pPr>
        <w:spacing w:after="0" w:line="4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generally fund our investment activity through the sale of real estate, the sale or repayment of debt and preferred equity investments, property-level financing, our corporate credit facilities, or construction loan facilities. From time to time, the Company may issue common or preferred stock or equity-linked securities, or the Operating Partnership may issue common or preferred units of limited partnership interest.</w:t>
      </w:r>
    </w:p>
    <w:p>
      <w:pPr>
        <w:spacing w:after="0" w:line="57"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During the year ended December 31, 2024, when compared to the year ended December 31, 2023, we used cash for the following financing activities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our debt obligations</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636,450</w:t>
            </w:r>
          </w:p>
        </w:tc>
      </w:tr>
      <w:tr>
        <w:trPr>
          <w:trHeight w:val="208"/>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our debt obligations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(725,151)</w:t>
            </w:r>
          </w:p>
        </w:tc>
      </w:tr>
      <w:tr>
        <w:trPr>
          <w:trHeight w:val="21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distribution to noncontrolling interests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(7,760)</w:t>
            </w:r>
          </w:p>
        </w:tc>
      </w:tr>
      <w:tr>
        <w:trPr>
          <w:trHeight w:val="208"/>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(158,974)</w:t>
            </w:r>
          </w:p>
        </w:tc>
      </w:tr>
      <w:tr>
        <w:trPr>
          <w:trHeight w:val="21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options exercised and DRSPP issuance</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51,783</w:t>
            </w:r>
          </w:p>
        </w:tc>
      </w:tr>
      <w:tr>
        <w:trPr>
          <w:trHeight w:val="208"/>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386,790</w:t>
            </w:r>
          </w:p>
        </w:tc>
      </w:tr>
      <w:tr>
        <w:trPr>
          <w:trHeight w:val="212"/>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preferred stock</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9,197</w:t>
            </w:r>
          </w:p>
        </w:tc>
      </w:tr>
      <w:tr>
        <w:trPr>
          <w:trHeight w:val="208"/>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subsidiary interest from noncontrolling interest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(7,289)</w:t>
            </w:r>
          </w:p>
        </w:tc>
      </w:tr>
      <w:tr>
        <w:trPr>
          <w:trHeight w:val="21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and distributions paid</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12,108</w:t>
            </w:r>
          </w:p>
        </w:tc>
      </w:tr>
      <w:tr>
        <w:trPr>
          <w:trHeight w:val="205"/>
        </w:trPr>
        <w:tc>
          <w:tcPr>
            <w:tcW w:w="9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in net cash used in financing activities</w:t>
            </w: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197,154</w:t>
            </w:r>
          </w:p>
        </w:tc>
      </w:tr>
      <w:tr>
        <w:trPr>
          <w:trHeight w:val="20"/>
        </w:trPr>
        <w:tc>
          <w:tcPr>
            <w:tcW w:w="9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Our authorized capital stock consists of 260,000,000 shares, $0.01 par value per share, consisting of 160,000,000 shares of common stock, $0.01 par value per share, 75,000,000 shares of excess stock, at $0.01 par value per share, and 25,000,000 shares of preferred stock, $0.01 par value per share. As of December 31, 2024, 71,096,743 shares of common stock and no shares of excess stock were issued and outstanding.</w:t>
      </w:r>
    </w:p>
    <w:p>
      <w:pPr>
        <w:spacing w:after="0" w:line="57"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In November 2024, the Company completed an offering of 5,063,291 shares of its common stock, par value $0.01 per share, at a price of $79.00 per share. The Company received net proceeds of approximately $386.3 million, after deducting offering expenses. The net proceeds from these offerings were contributed to the Operating Partnership in exchange for 5,063,291 common units of limited partnership interest and were used to repay debt, fund new investments and for other corporate purposes.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 Program</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Board of Directors approved a $3.5 billion share repurchase program under which we can buy shares of our common stock.</w:t>
      </w:r>
    </w:p>
    <w:p>
      <w:pPr>
        <w:spacing w:after="0" w:line="106"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As of December 31, 2024, 36,107,719 shares have been repurchased under the program, excluding the redemption of OP units. We did not repurchase any shares under the program during the year ended December 31, 2024.</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Reinvestment and Stock Purchase Plan ("DRSPP")</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February 2024, the Company filed a new registration statement with the SEC for our dividend reinvestment and stock purchase plan, or DRSPP, which automatically became effective upon filing. The Company registered 3,500,000 shares of our common stock under the DRSPP. The DRSPP commenced on September 24, 2001.</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SL Green common stock issued, and proceeds received from dividend reinvestments and/or stock purchases under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DRSPP for the years ended December 31, 2024, 2023, and 2022, respectively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040" w:type="dxa"/>
            <w:vAlign w:val="bottom"/>
            <w:tcBorders>
              <w:bottom w:val="single" w:sz="8" w:color="auto"/>
            </w:tcBorders>
          </w:tcPr>
          <w:p>
            <w:pPr>
              <w:spacing w:after="0"/>
              <w:rPr>
                <w:sz w:val="18"/>
                <w:szCs w:val="18"/>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common stock issued</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728,352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10,839</w:t>
            </w:r>
          </w:p>
        </w:tc>
      </w:tr>
      <w:tr>
        <w:trPr>
          <w:trHeight w:val="208"/>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reinvestments/stock purchases under the DRSPP</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52,308</w:t>
            </w: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Fifth Amended and Restated 2005 Stock Option and Incentive Plan</w:t>
      </w:r>
    </w:p>
    <w:p>
      <w:pPr>
        <w:spacing w:after="0" w:line="121"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The Fifth Amended and Restated 2005 Stock Option and Incentive Plan, or the 2005 Plan, was approved by the Company's Board of Directors in April 2022 and its stockholders in June 2022 at the Company's annual meeting of stockholders. Subject to adjustments upon certain corporate transactions or events, awards with respect to up to a maximum of 32,210,000 fungible units may be granted as options, restricted stock, phantom shares, dividend equivalent rights and other equity-based awards under the 2005 Plan. As of December 31, 2024, 1.5 million fungible units were available for issuance under the 2005 Plan after reserving for shares underlying outstanding restricted stock units and phantom stock units granted pursuant to our Non-Employee Directors' Deferral Program and LTIP Units.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Compensation Plan for Directors</w:t>
      </w:r>
    </w:p>
    <w:p>
      <w:pPr>
        <w:spacing w:after="0" w:line="121"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Under our Non-Employee Director's Deferral Program, which commenced July 2004, the Company's non-employee directors may elect to defer up to 100% of their annual retainer fee, chairman fees, meeting fees and annual stock grant. Unless otherwise elected by a participant, fees deferred under the program shall be credited in the form of phantom stock units. The program provides that a director's phantom stock units generally will be settled in an equal number of shares of common stock upon the earlier of (i) the January 1 coincident with or the next following such director's termination of service from the Board of Directors or (ii) a change in control by us, as defined by the program. Phantom stock units are credited to each non-employee director quarterly using the closing price of our common stock on the first business day of the respective quarter. Each participating non-employee director is also credited with dividend equivalents or phantom stock units based on the dividend rate for each quarter, which are either paid in cash currently or credited to the director's account as additional phantom stock units.</w:t>
      </w:r>
    </w:p>
    <w:p>
      <w:pPr>
        <w:spacing w:after="0" w:line="28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During the year ended December 31, 2024, 15,945 phantom stock units and 25,590 shares of common stock were issued to our Board of Directors. We recorded compensation expense of $2.8 million during the year ended December 31, 2024, respectively, related to the Deferred Compensation Plan. As of December 31, 2024, there were 125,654 phantom stock units outstanding pursuant to our Non-Employee Director's Deferral Program.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2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In 2007, the Company's Board of Directors adopted the 2008 Employee Stock Purchase Plan, or ESPP, to provide equity-based incentives to eligible employees. The ESPP is intended to qualify as an "employee stock purchase plan" under Section 423 of the Code, and has been adopted by the board to enable our eligible employees to purchase the Company's shares of common stock through payroll deductions. The ESPP became effective on January 1, 2008 with a maximum of 500,000 shares of the common stock available for issuance, subject to adjustment upon a merger, reorganization, stock split or other similar corporate change. The Company filed a registration statement on Form S-8 with the SEC with respect to the ESPP. The common stock is offered for purchase through a series of successive offering periods. Each offering period will be three months in duration and will begin on the first day of each calendar quarter, with the first offering period having commenced on January 1, 2008. The ESPP provides for eligible employees to purchase the common stock at a purchase price equal to 85% of the lesser of (1) the market value of the common stock on the first day of the offering period or (2) the market value of the common stock on the last day of the offering period. The ESPP was approved by our stockholders at our 2008 annual meeting of stockholders. As of December 31, 2024, 245,445 shares of our common stock had been issued under the ESPP.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Indebtedness</w:t>
      </w:r>
    </w:p>
    <w:p>
      <w:pPr>
        <w:spacing w:after="0" w:line="121"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The table below summarizes our consolidated mortgages and other loans payable, 2021 credit facility, 2022 term loan, senior unsecured notes and trust preferred securities outstanding as of December 31, 2024 and 2023, (amounts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Debt Summary:</w:t>
            </w:r>
          </w:p>
        </w:tc>
        <w:tc>
          <w:tcPr>
            <w:tcW w:w="260" w:type="dxa"/>
            <w:vAlign w:val="bottom"/>
          </w:tcPr>
          <w:p>
            <w:pPr>
              <w:spacing w:after="0"/>
              <w:rPr>
                <w:sz w:val="18"/>
                <w:szCs w:val="18"/>
                <w:color w:val="auto"/>
              </w:rPr>
            </w:pPr>
          </w:p>
        </w:tc>
        <w:tc>
          <w:tcPr>
            <w:tcW w:w="1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8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2"/>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260" w:type="dxa"/>
            <w:vAlign w:val="bottom"/>
            <w:tcBorders>
              <w:top w:val="single" w:sz="8" w:color="auto"/>
            </w:tcBorders>
            <w:shd w:val="clear" w:color="auto" w:fill="CCEEFF"/>
          </w:tcPr>
          <w:p>
            <w:pPr>
              <w:spacing w:after="0"/>
              <w:rPr>
                <w:sz w:val="16"/>
                <w:szCs w:val="16"/>
                <w:color w:val="auto"/>
              </w:rPr>
            </w:pPr>
          </w:p>
        </w:tc>
        <w:tc>
          <w:tcPr>
            <w:tcW w:w="1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rate</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6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1,182,474</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1,117,386</w:t>
            </w: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rate—hedged</w:t>
            </w:r>
          </w:p>
        </w:tc>
        <w:tc>
          <w:tcPr>
            <w:tcW w:w="2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2,075,000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2,120,000</w:t>
            </w:r>
          </w:p>
        </w:tc>
      </w:tr>
      <w:tr>
        <w:trPr>
          <w:trHeight w:val="202"/>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fixed rate</w:t>
            </w:r>
          </w:p>
        </w:tc>
        <w:tc>
          <w:tcPr>
            <w:tcW w:w="260" w:type="dxa"/>
            <w:vAlign w:val="bottom"/>
          </w:tcPr>
          <w:p>
            <w:pPr>
              <w:spacing w:after="0"/>
              <w:rPr>
                <w:sz w:val="17"/>
                <w:szCs w:val="17"/>
                <w:color w:val="auto"/>
              </w:rPr>
            </w:pPr>
          </w:p>
        </w:tc>
        <w:tc>
          <w:tcPr>
            <w:tcW w:w="186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3,257,474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3,237,386</w:t>
            </w:r>
          </w:p>
        </w:tc>
      </w:tr>
      <w:tr>
        <w:trPr>
          <w:trHeight w:val="21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variable rate</w:t>
            </w:r>
          </w:p>
        </w:tc>
        <w:tc>
          <w:tcPr>
            <w:tcW w:w="2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363,550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270,000</w:t>
            </w:r>
          </w:p>
        </w:tc>
      </w:tr>
      <w:tr>
        <w:trPr>
          <w:trHeight w:val="204"/>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3,621,024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3,507,386</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15"/>
        </w:trPr>
        <w:tc>
          <w:tcPr>
            <w:tcW w:w="6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preferred equity, and other investments subject to variable rate</w:t>
            </w:r>
          </w:p>
        </w:tc>
        <w:tc>
          <w:tcPr>
            <w:tcW w:w="260" w:type="dxa"/>
            <w:vAlign w:val="bottom"/>
          </w:tcPr>
          <w:p>
            <w:pPr>
              <w:spacing w:after="0"/>
              <w:rPr>
                <w:sz w:val="18"/>
                <w:szCs w:val="18"/>
                <w:color w:val="auto"/>
              </w:rPr>
            </w:pPr>
          </w:p>
        </w:tc>
        <w:tc>
          <w:tcPr>
            <w:tcW w:w="186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117,006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168,745</w:t>
            </w: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exposure to variable rate debt</w:t>
            </w: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246,544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101,255</w:t>
            </w:r>
          </w:p>
        </w:tc>
      </w:tr>
    </w:tbl>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Percent of Total Debt</w:t>
            </w:r>
            <w:r>
              <w:rPr>
                <w:rFonts w:ascii="Times New Roman" w:cs="Times New Roman" w:eastAsia="Times New Roman" w:hAnsi="Times New Roman"/>
                <w:sz w:val="16"/>
                <w:szCs w:val="16"/>
                <w:color w:val="auto"/>
              </w:rPr>
              <w:t>:</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09"/>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90.0 %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92.3 %</w:t>
            </w:r>
          </w:p>
        </w:tc>
      </w:tr>
      <w:tr>
        <w:trPr>
          <w:trHeight w:val="211"/>
        </w:trPr>
        <w:tc>
          <w:tcPr>
            <w:tcW w:w="694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 xml:space="preserve">Variable rate </w:t>
            </w:r>
            <w:r>
              <w:rPr>
                <w:rFonts w:ascii="Times New Roman" w:cs="Times New Roman" w:eastAsia="Times New Roman" w:hAnsi="Times New Roman"/>
                <w:sz w:val="20"/>
                <w:szCs w:val="20"/>
                <w:color w:val="auto"/>
                <w:vertAlign w:val="superscript"/>
              </w:rPr>
              <w:t>(1)</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100" w:type="dxa"/>
            <w:vAlign w:val="bottom"/>
            <w:shd w:val="clear" w:color="auto" w:fill="CCEEFF"/>
          </w:tcPr>
          <w:p>
            <w:pPr>
              <w:spacing w:after="0"/>
              <w:rPr>
                <w:sz w:val="18"/>
                <w:szCs w:val="18"/>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0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100.0 %</w:t>
            </w:r>
          </w:p>
        </w:tc>
        <w:tc>
          <w:tcPr>
            <w:tcW w:w="10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76"/>
        </w:trPr>
        <w:tc>
          <w:tcPr>
            <w:tcW w:w="6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Effective Interest Rate for the Year:</w:t>
            </w:r>
          </w:p>
        </w:tc>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209"/>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Fixed rate</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5.18 %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4.68 %</w:t>
            </w:r>
          </w:p>
        </w:tc>
      </w:tr>
      <w:tr>
        <w:trPr>
          <w:trHeight w:val="211"/>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Variable rate</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5.17 %</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6.11 %</w:t>
            </w:r>
          </w:p>
        </w:tc>
      </w:tr>
      <w:tr>
        <w:trPr>
          <w:trHeight w:val="208"/>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interest rate</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5.17 %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4.71 %</w:t>
            </w:r>
          </w:p>
        </w:tc>
      </w:tr>
    </w:tbl>
    <w:p>
      <w:pPr>
        <w:spacing w:after="0" w:line="176" w:lineRule="exact"/>
        <w:rPr>
          <w:sz w:val="20"/>
          <w:szCs w:val="20"/>
          <w:color w:val="auto"/>
        </w:rPr>
      </w:pPr>
    </w:p>
    <w:p>
      <w:pPr>
        <w:ind w:left="400" w:hanging="395"/>
        <w:spacing w:after="0" w:line="266" w:lineRule="auto"/>
        <w:tabs>
          <w:tab w:leader="none" w:pos="313"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the mitigating effect of our debt, preferred equity, and other investments subject to variable rates, the percent of total debt of our net exposure to variable rate debt was 7.0% and 3.0% as of December 31, 2024 and December 31, 2023, respectively.</w:t>
      </w:r>
    </w:p>
    <w:p>
      <w:pPr>
        <w:spacing w:after="0" w:line="80"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variable rate debt shown above generally bears interest at an interest rate based on adjusted Term SOFR (4.33% and 5.35% as of December 31, 2024 and 2023, respectively). Our consolidated debt as of December 31, 2024 had a weighted average term to maturity of 2.80 years.</w:t>
      </w:r>
    </w:p>
    <w:p>
      <w:pPr>
        <w:spacing w:after="0" w:line="4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Certain of our debt and equity investments and other investments, with carrying values of $117.0 million as of December 31, 2024 and $168.7 million as of December 31, 2023, are variable rate investments which mitigate our exposure to interest rate changes on our unhedged variable rate debt. Inclusive of the mitigating effect of these investments, the net ratio of our consolidated variable rate debt to total debt was 7.0% and 3.0% as of December 31, 2024 and 2023,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Mortgage Financing</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As of December 31, 2024, our total mortgage debt (excluding our share of joint venture mortgage debt of $6.0 billion) consisted of $1.6 billion of fixed rate debt, including swapped variable rate debt, with an effective weighted average interest rate of 5.80% and $0.4 billion of variable rate debt with an effective weighted average interest rate of 6.60%.</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Indebtedness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2021 Credit Facility</w:t>
      </w:r>
    </w:p>
    <w:p>
      <w:pPr>
        <w:spacing w:after="0" w:line="121"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In December 2021, we entered into an amended and restated credit facility, referred to as the 2021 credit facility, that was previously amended by the Company in November 2017, and was originally entered into by the Company in November 2012. As of December 31, 2024, the 2021 credit facility consisted of a $1.25 billion revolving credit facility, a $1.05 billion term loan (or "Term Loan A"), and a $200.0 million term loan (or "Term Loan B") with maturity dates of May 15, 2026, May 15, 2027, and November 21, 2024, respectively. In November 2024, Term Loan B was paid down to $100 million and the maturity date was extended to November 19, 2025, with two additional six-month as-of-right extension options. The revolving credit facility has two six-month as-of-right extension options to May 15, 2027. We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our existing lenders and other financial institutions.</w:t>
      </w:r>
    </w:p>
    <w:p>
      <w:pPr>
        <w:spacing w:after="0" w:line="70"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As of December 31, 2024, the 2021 credit facility bore interest at a spread over adjusted Term SOFR plus 10 basis points with an interest period of one or three months, as we may elect, ranging from (i) 72.5 basis points to 140 basis points for loans under the revolving credit facility, (ii) 80 basis points to 160 basis points for loans under Term Loan A, and (iii) 85 basis points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to 165 basis points for loans under Term Loan B,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w:t>
      </w:r>
    </w:p>
    <w:p>
      <w:pPr>
        <w:spacing w:after="0" w:line="278"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As of December 31, 2024, the applicable spread over adjusted Term SOFR plus 10 basis points for the 2021 credit facility was 140 basis points for the revolving credit facility, 160 basis points for Term Loan A, and 180 basis points for Term Loan B. We are required to pay quarterly in arrears a 12.5 to 30 basis point facility fee on the total commitments under the revolving credit facility based on the credit rating assigned to the senior unsecured long-term indebtedness of the Company. As of December 31, 2024, the facility fee was 30 basis points.</w:t>
      </w:r>
    </w:p>
    <w:p>
      <w:pPr>
        <w:spacing w:after="0" w:line="64"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As of December 31, 2024, we had $7.5 million of outstanding letters of credit, $320.0 million drawn under the revolving credit facility and $1.15 billion of outstanding term loans, with total undrawn capacity of $922.5 million under the 2021 credit facility. As of December 31, 2024 and December 31, 2023, the revolving credit facility had a carrying value of $316.2 million and $554.8 million, respectively, net of deferred financing costs. As of December 31, 2024 and December 31, 2023, the term loans had a carrying value of $1.1 billion and $1.2 billion, respectively, net of deferred financing costs.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and the Operating Partnership are borrowers jointly and severally obligated under the 2021 credit facility.</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2021 credit facility includes certain restrictions and covenants (see Restrictive Covenants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33333"/>
        </w:rPr>
        <w:t>CMBS Securities Repurchase Facility</w:t>
      </w:r>
    </w:p>
    <w:p>
      <w:pPr>
        <w:spacing w:after="0" w:line="121"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In December 2024, the Company entered into a repurchase facility for CMBS securities (CMBS Repurchase Facility), which provides us with the ability to sell certain CMBS investments with a simultaneous agreement to repurchase the same at a certain date or on demand. We seek to mitigate risks associated with our repurchase facility by managing the credit quality of our assets, early repayments, interest rate volatility, liquidity, and market value. The margin call provisions under our repurchase facility permit valuation adjustments based on capital markets activity and are not limited to collateral-specific credit marks. To monitor credit risk associated with our CMBS investments, our asset management team regularly reviews our investment portfolio and is in contact with our borrowers in order to monitor the collateral and enforce our rights as necessary. The risk associated with potential margin calls is further mitigated by our ability to collateralize the facility with additional assets from our portfolio of investments, our ability to satisfy margin calls with cash or cash equivalents and our access to additional liquidity. As of December 31, 2024, there have been no margin calls on the CMBS Repurchase Facility. At December 31, 2024, the facility had an outstanding balance of $3.6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Unsecured Notes</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sets forth our senior unsecured notes and other related disclosures as of December 31, 2024 and 2023, respectively, by scheduled maturity date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ind w:left="9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8"/>
                <w:szCs w:val="18"/>
                <w:color w:val="auto"/>
              </w:rPr>
            </w:pPr>
          </w:p>
        </w:tc>
        <w:tc>
          <w:tcPr>
            <w:tcW w:w="152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Unpaid Principal</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7"/>
              </w:rPr>
              <w:t>Accreted</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7"/>
              </w:rPr>
              <w:t>Accreted</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8"/>
              </w:rPr>
              <w:t>Interest Rate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Initial Term</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480" w:type="dxa"/>
            <w:vAlign w:val="bottom"/>
            <w:gridSpan w:val="2"/>
            <w:vMerge w:val="restart"/>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Issuance</w:t>
            </w:r>
          </w:p>
        </w:tc>
        <w:tc>
          <w:tcPr>
            <w:tcW w:w="180" w:type="dxa"/>
            <w:vAlign w:val="bottom"/>
          </w:tcPr>
          <w:p>
            <w:pPr>
              <w:spacing w:after="0"/>
              <w:rPr>
                <w:sz w:val="9"/>
                <w:szCs w:val="9"/>
                <w:color w:val="auto"/>
              </w:rPr>
            </w:pPr>
          </w:p>
        </w:tc>
        <w:tc>
          <w:tcPr>
            <w:tcW w:w="1580" w:type="dxa"/>
            <w:vAlign w:val="bottom"/>
            <w:gridSpan w:val="2"/>
            <w:vMerge w:val="restart"/>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320" w:type="dxa"/>
            <w:vAlign w:val="bottom"/>
          </w:tcPr>
          <w:p>
            <w:pPr>
              <w:spacing w:after="0"/>
              <w:rPr>
                <w:sz w:val="9"/>
                <w:szCs w:val="9"/>
                <w:color w:val="auto"/>
              </w:rPr>
            </w:pPr>
          </w:p>
        </w:tc>
        <w:tc>
          <w:tcPr>
            <w:tcW w:w="1460" w:type="dxa"/>
            <w:vAlign w:val="bottom"/>
            <w:gridSpan w:val="2"/>
            <w:vMerge w:val="restart"/>
          </w:tcPr>
          <w:p>
            <w:pPr>
              <w:jc w:val="center"/>
              <w:ind w:right="4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40" w:type="dxa"/>
            <w:vAlign w:val="bottom"/>
          </w:tcPr>
          <w:p>
            <w:pPr>
              <w:spacing w:after="0"/>
              <w:rPr>
                <w:sz w:val="9"/>
                <w:szCs w:val="9"/>
                <w:color w:val="auto"/>
              </w:rPr>
            </w:pPr>
          </w:p>
        </w:tc>
        <w:tc>
          <w:tcPr>
            <w:tcW w:w="1520" w:type="dxa"/>
            <w:vAlign w:val="bottom"/>
            <w:vMerge w:val="restart"/>
          </w:tcPr>
          <w:p>
            <w:pPr>
              <w:jc w:val="center"/>
              <w:ind w:right="61"/>
              <w:spacing w:after="0" w:line="158" w:lineRule="exact"/>
              <w:rPr>
                <w:sz w:val="20"/>
                <w:szCs w:val="20"/>
                <w:color w:val="auto"/>
              </w:rPr>
            </w:pPr>
            <w:r>
              <w:rPr>
                <w:rFonts w:ascii="Times New Roman" w:cs="Times New Roman" w:eastAsia="Times New Roman" w:hAnsi="Times New Roman"/>
                <w:sz w:val="16"/>
                <w:szCs w:val="16"/>
                <w:b w:val="1"/>
                <w:bCs w:val="1"/>
                <w:color w:val="auto"/>
                <w:w w:val="99"/>
              </w:rPr>
              <w:t>Balance</w:t>
            </w:r>
          </w:p>
        </w:tc>
        <w:tc>
          <w:tcPr>
            <w:tcW w:w="1020" w:type="dxa"/>
            <w:vAlign w:val="bottom"/>
            <w:gridSpan w:val="2"/>
          </w:tcPr>
          <w:p>
            <w:pPr>
              <w:jc w:val="right"/>
              <w:ind w:right="321"/>
              <w:spacing w:after="0" w:line="105" w:lineRule="exact"/>
              <w:rPr>
                <w:sz w:val="20"/>
                <w:szCs w:val="20"/>
                <w:color w:val="auto"/>
              </w:rPr>
            </w:pP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9"/>
                <w:szCs w:val="9"/>
                <w:color w:val="auto"/>
              </w:rPr>
            </w:pPr>
          </w:p>
        </w:tc>
        <w:tc>
          <w:tcPr>
            <w:tcW w:w="1080" w:type="dxa"/>
            <w:vAlign w:val="bottom"/>
            <w:gridSpan w:val="2"/>
            <w:vMerge w:val="restart"/>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(in Years)</w:t>
            </w:r>
          </w:p>
        </w:tc>
        <w:tc>
          <w:tcPr>
            <w:tcW w:w="1360" w:type="dxa"/>
            <w:vAlign w:val="bottom"/>
            <w:vMerge w:val="restart"/>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52"/>
        </w:trPr>
        <w:tc>
          <w:tcPr>
            <w:tcW w:w="24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38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December 17, 2015 </w:t>
            </w:r>
            <w:r>
              <w:rPr>
                <w:rFonts w:ascii="Times New Roman" w:cs="Times New Roman" w:eastAsia="Times New Roman" w:hAnsi="Times New Roman"/>
                <w:sz w:val="20"/>
                <w:szCs w:val="20"/>
                <w:color w:val="auto"/>
                <w:vertAlign w:val="superscript"/>
              </w:rPr>
              <w:t>(2)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4.27 %</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2025</w:t>
            </w:r>
          </w:p>
        </w:tc>
        <w:tc>
          <w:tcPr>
            <w:tcW w:w="0" w:type="dxa"/>
            <w:vAlign w:val="bottom"/>
          </w:tcPr>
          <w:p>
            <w:pPr>
              <w:spacing w:after="0"/>
              <w:rPr>
                <w:sz w:val="1"/>
                <w:szCs w:val="1"/>
                <w:color w:val="auto"/>
              </w:rPr>
            </w:pPr>
          </w:p>
        </w:tc>
      </w:tr>
      <w:tr>
        <w:trPr>
          <w:trHeight w:val="202"/>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financing costs, net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99,897</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99,795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00" w:hanging="395"/>
        <w:spacing w:after="0"/>
        <w:tabs>
          <w:tab w:leader="none" w:pos="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as of December 31, 2024.</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by the Company and the Operating Partnership as co-obligors.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Restrictive Covenants</w:t>
      </w:r>
    </w:p>
    <w:p>
      <w:pPr>
        <w:spacing w:after="0" w:line="121"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terms of the 2021 credit facility and our senior unsecured notes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December 31, 2024 and 2023, we were in compliance with all such covenants.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Junior Subordinated Deferrable Interest Debentures</w:t>
      </w:r>
    </w:p>
    <w:p>
      <w:pPr>
        <w:spacing w:after="0" w:line="12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In June 2005, the Company and the Operating Partnership issued $100.0 million in unsecured trust preferred securities through a newly formed trust, SL Green Capital Trust I, or the Trust, which is a wholly owned subsidiary of the Operating Partnership. The securities mature in 2035 and bear interest at a floating rate of 26 basis points over the three-month Term SOFR. Interest payments may be deferred for a period of up to eight consecutive quarters if the Operating Partnership exercises its right to defer such payments. The Trust preferred securities are redeemable at the option of the Operating Partnership, in whole or in part, with no prepayment premium. We do not consolidate the Trust even though it is a variable interest entity as we are not the primary beneficiary. Because the Trust is not consolidated, we have recorded the debt on our consolidated balance sheets and the related payments are classified as interest expense.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21"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We are exposed to changes in interest rates primarily from our variable rate debt. Our exposure to interest rate fluctuations are managed through the use of interest rate derivative instruments and through our variable rate debt and preferred equity investments. Based on the debt outstanding as of December 31, 2024, a hypothetical 100 basis point increase in the applicable floating interest rate curve would increase our consolidated annual interest cost, net of interest income from variable rate debt and preferred equity investments, by $2.3 million and would increase our share of joint venture annual interest cost by $1.9 million. As of December 31, 2024, $117.0 million, or 38.5%, of our $303.7 million debt and preferred equity portfolio was indexed to SOFR.</w:t>
      </w:r>
    </w:p>
    <w:p>
      <w:pPr>
        <w:spacing w:after="0" w:line="67"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recognize most derivatives on the balance sheet at fair value. Derivatives that are not hedges for accounting purposes are adjusted to fair value through income. If a derivative is considered a hedge for accounting purposes, depending on the nature of the hedge, changes in the fair value of the derivative will either be offset against the change in fair value of the hedged asset, liability, or firm commitment through earnings, or recognized in other comprehensive income (loss) until the hedged item is recognized in earnings.</w:t>
      </w:r>
    </w:p>
    <w:p>
      <w:pPr>
        <w:spacing w:after="0" w:line="6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Our consolidated long-term debt of $3.3 billion bears interest at fixed rates, and therefore the fair value of these instruments is affected by changes in the market interest rates. Our variable rate debt and variable rate joint venture debt as of December 31, 2024 bore interest based on a spread to LIBOR of 145 basis points and Term SOFR of 175 basis points to 275 basis points.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21" w:lineRule="exact"/>
        <w:rPr>
          <w:sz w:val="20"/>
          <w:szCs w:val="20"/>
          <w:color w:val="auto"/>
        </w:rPr>
      </w:pPr>
    </w:p>
    <w:p>
      <w:pPr>
        <w:jc w:val="both"/>
        <w:ind w:firstLine="433"/>
        <w:spacing w:after="0" w:line="269" w:lineRule="auto"/>
        <w:rPr>
          <w:sz w:val="20"/>
          <w:szCs w:val="20"/>
          <w:color w:val="auto"/>
        </w:rPr>
      </w:pPr>
      <w:r>
        <w:rPr>
          <w:rFonts w:ascii="Times New Roman" w:cs="Times New Roman" w:eastAsia="Times New Roman" w:hAnsi="Times New Roman"/>
          <w:sz w:val="17"/>
          <w:szCs w:val="17"/>
          <w:color w:val="auto"/>
        </w:rPr>
        <w:t>We have off-balance sheet investments, including joint ventures and debt and preferred equity investments. These investments all have varying ownership structures. A majority of our joint venture arrangements are accounted for under the equity method of accounting as we have the ability to exercise significant influence over, but not control, the operating and financial decisions of these joint venture arrangements. Our off-balance sheet arrangements are discussed in Note 5, "Debt and Preferred Equity Investments" and Note 6, "Investments in Unconsolidated Joint Ventures" in the accompanying consolidated financial statements.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Dividends/Distributions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expect to pay dividends to our stockholders based on the distributions we receive from our Operating Partnership.</w:t>
      </w:r>
    </w:p>
    <w:p>
      <w:pPr>
        <w:spacing w:after="0" w:line="119"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To maintain our qualification as a REIT, we must pay annual dividends to our stockholders of at least 90% of our REIT taxable income, determined before taking into consideration the dividends paid deduction and net capital gains.</w:t>
      </w:r>
    </w:p>
    <w:p>
      <w:pPr>
        <w:spacing w:after="0" w:line="4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Any dividend we pay may be in the form of cash, stock, or a combination thereof, subject to IRS limitations on the use of stock for dividends. Additionally, if our REIT taxable income in a particular year exceeds the amount of cash dividends we pay in that year, we may pay stock dividends in order to maintain our REIT status and avoid certain REIT-level taxes.</w:t>
      </w:r>
    </w:p>
    <w:p>
      <w:pPr>
        <w:spacing w:after="0" w:line="5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Before we pay any cash dividend, whether for Federal income tax purposes or otherwise, which would only be paid out of available cash to the extent permitted under the 2021 credit facility and senior unsecured notes, we must first meet both our operating requirements and scheduled debt service on our mortgages and loans payable.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One Vanderbilt Avenue Investment</w:t>
      </w:r>
    </w:p>
    <w:p>
      <w:pPr>
        <w:spacing w:after="0" w:line="123"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In December 2016, we entered into agreements with entities owned and controlled by our Chairman, Chief Executive Officer ("CEO") and Interim President, Marc Holliday, and our former President, Andrew Mathias, pursuant to which they agreed to make an investment in our One Vanderbilt project (inclusive of the property and SUMMIT One Vanderbilt) at the appraised fair market value for the interests acquired. This investment entitles these entities to receive a percentage of any profits realized by the Company from its One Vanderbilt project in excess of the Company's capital contributions, of approximately 1.27% and 0.85%, respectively, on account of the property and 1.92% and 1.28%, respectively, on account of SUMMIT One Vanderbilt. The entities had no right to any return of capital. Accordingly, subject to previously disclosed repurchase rights, these interests had no value and these entities were not entitled to any amounts (other than limited distributions to cover tax liabilities incurred) unless and until the Company received distributions from the One Vanderbilt project in excess of the Company's aggregate investment in the project. The entities owned and controlled by Messrs. Holliday and Mathias paid $1.4 million and $1.0 million, respectively, which equaled the fair market value of the interests acquired as of the date the investment agreements were entered into as determined by an independent third-party appraisal that we obtained.</w:t>
      </w:r>
    </w:p>
    <w:p>
      <w:pPr>
        <w:spacing w:after="0" w:line="77"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Messrs. Holliday and Mathias have the right to tender their interests in the project upon stabilization (50% within three years after stabilization and 100% three years or more after stabilization). In addition, the agreement calls for us to repurchase these interests in the event of a sale of One Vanderbilt or a transactional change of control of the Company. We also have the right to repurchase these interests on the seven-year anniversary of the stabilization of the project or upon the occurrence of certain separation events prior to the stabilization of the project relating to each of Messrs. Holliday's and Mathias's continued service with us. The price paid upon a tender of the interests will equal the liquidation value of the interests at the time, with the value based on the project's sale price, if applicable, or fair market value as determined by an independent third party appraiser. In 2022, stabilization of the property (excluding SUMMIT One Vanderbilt) was achieved. Therefore, Messrs. Holiday and Mathias exercised their rights to tender 50% of their interests in the property (excluding SUMMIT One Vanderbilt) in July 2022. In 2023, stabilization of SUMMIT One Vanderbilt was achieved.</w:t>
      </w:r>
    </w:p>
    <w:p>
      <w:pPr>
        <w:spacing w:after="0" w:line="70"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As of December 31, 2024, Messrs. Holiday's and Mathias's remaining interests in the One Vanderbilt project are included in Preferred units and redeemable equity in the mezzanine equity section of the Company's consolidated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One Vanderbilt Avenue Leases</w:t>
      </w:r>
    </w:p>
    <w:p>
      <w:pPr>
        <w:spacing w:after="0" w:line="123"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November 2018, we entered into a lease agreement with the One Vanderbilt Avenue joint venture covering certain floors at the property. In March 2021, the lease commenced and we relocated our corporate headquarters to the leased space. For the years ended December 31, 2024, 2023, and 2022 we recorded $3.0 million, $3.0 million, and $3.0 million respectively, of rent expense under the lease.</w:t>
      </w:r>
    </w:p>
    <w:p>
      <w:pPr>
        <w:spacing w:after="0" w:line="57"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Additionally, in June 2021, we, through a consolidated subsidiary, entered into a lease agreement with the One Vanderbilt Avenue joint venture for SUMMIT One Vanderbilt, which commenced operations in October 2021. For the year ended December 31, 2024, we recorded $41.4 million of rent expense under the lease, including percentage rent, of which $27.7 million was recognized as income as a component of Equity in net income (loss) from unconsolidated joint ventures in our consolidated statements of operations. For the year ended December 31, 2023, we recorded $38.9 million of rent expense under the lease, including percentage rent, of which $26.2 million was recognized as income as a component of Equity in net income (loss) from unconsolidated joint ventures in our consolidated statements of operations. For the year ended December 31, 2022, we recorded $33.0 million of rent expense under the lease, including percentage rent, of which $22.8 million was recognized as income as a component of Equity in net income (loss) from unconsolidated joint ventures in our consolidated statements of operations. See Note 20, "Commitments and Contingencies."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719 Seventh Avenue</w:t>
      </w:r>
    </w:p>
    <w:p>
      <w:pPr>
        <w:spacing w:after="0" w:line="123"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In April 2024, the Company entered into an arrangement to sell the property at 719 Seventh Avenue for $30.5 million to a special purpose entity ("SPE"), of which our former President and current director, Andrew Mathias, is a partner. No amounts from the transaction will be payable to Mr. Mathias. Mr. Mathias is initially expected to own up to 40% of the equity of the SPE, representing an investment by Mr. Mathias of up to approximately $7.0 million in the acquisition of the property. The transaction closed during the second quarter of 2024. See Note 4, "Properties Held for Sale and Property Dispositions."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760 Madison Avenue Condominium Unit</w:t>
      </w:r>
    </w:p>
    <w:p>
      <w:pPr>
        <w:spacing w:after="0" w:line="123"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July 2024, the Company entered into an agreement to sell one of the condominium units located at 760 Madison Avenue to an entity owned by a trust of which the beneficiaries are the family members of our Chairman, CEO and Interim President, Marc Holliday, for $8.4 million. The transaction is expected to close in the first quarter of 2025.</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Insurance</w:t>
      </w:r>
    </w:p>
    <w:p>
      <w:pPr>
        <w:spacing w:after="0" w:line="12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We maintain “all-risk” property and rental value coverage (including coverage regarding the perils of flood, earthquake and terrorism, excluding nuclear, biological, chemical, and radiological terrorism ("NBCR")), within two property insurance programs and liability insurance. Separate property and liability coverage may be purchased on a stand-alone basis for certain assets, such as development projects. Additionally, one of our captive insurance companies, Belmont Insurance Company ("Belmont"), provides coverage for NBCR terrorist acts above a specified trigger. Belmont's retention is reinsured by our other captive insurance company, Ticonderoga Insurance Company ("Ticonderoga"). If Belmont or Ticonderoga are required to pay a claim under our insurance policies, we would ultimately record the loss to the extent of required payments.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by the Company or its affiliates.</w:t>
      </w:r>
    </w:p>
    <w:p>
      <w:pPr>
        <w:spacing w:after="0" w:line="7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Funds from Operations</w:t>
      </w:r>
    </w:p>
    <w:p>
      <w:pPr>
        <w:spacing w:after="0" w:line="12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FFO is a widely recognized non-GAAP financial measure of REIT performance. The Company computes FFO in accordance with standards established by NAREIT, which may not be comparable to FFO reported by other REITs that do not compute FFO in accordance with the NAREIT definition, or that interpret the NAREIT definition differently than the Company does. The revised White Paper on FFO approved by the Board of Governors of NAREIT in April 2002, and subsequently amended in December 2018, defines FFO as net income (loss) (computed in accordance with GAAP), excluding gains (or losses) from sales of properties and real estate related impairment charges, plus real estate related depreciation and amortization and after adjustments for unconsolidated partnerships and joint ventures.</w:t>
      </w:r>
    </w:p>
    <w:p>
      <w:pPr>
        <w:spacing w:after="0" w:line="69"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presents FFO because it considers it an important supplemental measure of the Company's operating performance and believes that it is frequently used by securities analysts, investors and other interested parties in the evaluation of REITs, particularly those that own and operate commercial office properties. The Company also uses FFO as one of several criteria to determine performance-based compensation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the Company's financial performance or to cash flow from operating activities (determined in accordance with GAAP) as a measure of the Company's liquidity, nor is it indicative of funds available to fund the Company's cash needs, including our ability to make cash distributions.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FFO for the years ended December 31, 2024, 2023, and 2022 are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04"/>
        </w:trPr>
        <w:tc>
          <w:tcPr>
            <w:tcW w:w="63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SL Green common stockholders</w:t>
            </w: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7,060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(579,509)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(93,024)</w:t>
            </w:r>
          </w:p>
        </w:tc>
      </w:tr>
      <w:tr>
        <w:trPr>
          <w:trHeight w:val="208"/>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207,443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216,167</w:t>
            </w: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Joint venture depreciation and noncontrolling interest adjustments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287,671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284,284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252,893</w:t>
            </w:r>
          </w:p>
        </w:tc>
      </w:tr>
      <w:tr>
        <w:trPr>
          <w:trHeight w:val="211"/>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(4,672)</w:t>
            </w:r>
          </w:p>
        </w:tc>
      </w:tr>
      <w:tr>
        <w:trPr>
          <w:trHeight w:val="208"/>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gain (loss) on sale of interest in unconsolidated joint venture/real estate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208,144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83,430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sale of real estate,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(84,485)</w:t>
            </w:r>
          </w:p>
        </w:tc>
      </w:tr>
      <w:tr>
        <w:trPr>
          <w:trHeight w:val="209"/>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(104,071)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(6,313)</w:t>
            </w:r>
          </w:p>
        </w:tc>
      </w:tr>
      <w:tr>
        <w:trPr>
          <w:trHeight w:val="211"/>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in unconsolidated joint venture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(263,190)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on non-rental real estate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4,583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3,466</w:t>
            </w:r>
          </w:p>
        </w:tc>
      </w:tr>
      <w:tr>
        <w:trPr>
          <w:trHeight w:val="22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Funds from Operations attributable to SL Green common stockholders and unit holders</w:t>
            </w: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569,822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341,341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458,827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Our business at SUMMIT is subject to tourism trends and weather conditions, resulting in seasonal fluctuation. In 2024 and 2023, approximately 16.0% to 19.0% of our annual SUMMIT revenue was realized in the first quarter, 26.0% to 26.0% was realized in the second quarter, 28.0% to 29.0% was realized in the third quarter, and 27.0% to 29.0% was realized in the fourth quarter. We do not consider any other components of our business to be subject to material seasonal fluctuations.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Climate Change</w:t>
      </w:r>
    </w:p>
    <w:p>
      <w:pPr>
        <w:spacing w:after="0" w:line="121"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Climate regulation in New York City is among the most stringent and requires building owners to comply with ambitious emissions limits. New York City enacted Local Law 97 (LL97) in 2019 under the Climate Mobilization Act, setting carbon caps for large buildings starting in 2024 as part of a broader commitment to reducing greenhouse gas emissions by 40% by 2030, and by 80% by 2050. We expect to be compliant in the first compliance period through 2029, with no material financial impact on our portfolio.</w:t>
      </w:r>
    </w:p>
    <w:p>
      <w:pPr>
        <w:spacing w:after="0" w:line="64" w:lineRule="exact"/>
        <w:rPr>
          <w:sz w:val="20"/>
          <w:szCs w:val="20"/>
          <w:color w:val="auto"/>
        </w:rPr>
      </w:pPr>
    </w:p>
    <w:p>
      <w:pPr>
        <w:ind w:right="180" w:firstLine="433"/>
        <w:spacing w:after="0" w:line="265" w:lineRule="auto"/>
        <w:rPr>
          <w:sz w:val="20"/>
          <w:szCs w:val="20"/>
          <w:color w:val="auto"/>
        </w:rPr>
      </w:pPr>
      <w:r>
        <w:rPr>
          <w:rFonts w:ascii="Times New Roman" w:cs="Times New Roman" w:eastAsia="Times New Roman" w:hAnsi="Times New Roman"/>
          <w:sz w:val="17"/>
          <w:szCs w:val="17"/>
          <w:color w:val="auto"/>
        </w:rPr>
        <w:t>While SL Green's portfolio has not been substantially affected by climate-related events to New York City real estate, such as Hurricane Sandy in 2012, we have continued to develop our approach to physical climate risk assessment, management, and mitigation in order to manage and minimize the impacts of future events. In 2023, the Company released its second TCFD report, which expanded the physical and transition risks and opportunities and progress related to TCFD disclosure originally released in 2021. This report, along with the Company's current ESG Report, is available under "Reports &amp; Resources" in the "Sustainability" section on our website. The Company has approved near-term Scope 1 and Scope 2 science-based emissions reduction targets with the SBTi. Our goal is to reduce emissions for our operationally controlled portfolio to align it with the 1.5 degree Celsius climate scenario.</w:t>
      </w:r>
    </w:p>
    <w:p>
      <w:pPr>
        <w:spacing w:after="0" w:line="69"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We consider the successful management and mitigation of climate-related risks across our portfolio as an opportunity to raise the financial value of our buildings and pass on these benefits to our stakeholders, tenants, and investors. We believe our investments over the last 20 years in energy efficiency improvements and greenhouse gas emissions reductions have minimized the impact of climate legislation on our portfolio and our active development pipeline sets the standard for sustainable new construction and responsible community engagement. We leverage years of operational excellence to incorporate innovative design and technological solutions. We also utilize recommendations from our portfolio-wide New York State Energy Research and Development Authority ("NYSERDA") emissions reduction study to help lower emissions from tenant spaces and base building operations. Together, these measures are expected to minimize our vulnerability to the physical risks of climate change, as well as transition risks covering policy and legal, market, technology, and reputational factors.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 Updates</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Accounting Standards Updates are discussed in Note 2, "Significant Accounting Policies Accounting Standards Updates" in the accompanying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Information</w:t>
      </w:r>
    </w:p>
    <w:p>
      <w:pPr>
        <w:spacing w:after="0" w:line="12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This report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report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occupancy,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spacing w:after="0" w:line="68"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5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Forward-looking statements contained in this report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w:t>
      </w:r>
    </w:p>
    <w:p>
      <w:pPr>
        <w:spacing w:after="0" w:line="57" w:lineRule="exact"/>
        <w:rPr>
          <w:sz w:val="20"/>
          <w:szCs w:val="20"/>
          <w:color w:val="auto"/>
        </w:rPr>
      </w:pPr>
    </w:p>
    <w:p>
      <w:pPr>
        <w:ind w:left="1260" w:hanging="626"/>
        <w:spacing w:after="0"/>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general economic, business and financial conditions, and their effect on the New York City real estate market in particular;</w:t>
      </w:r>
    </w:p>
    <w:p>
      <w:pPr>
        <w:spacing w:after="0" w:line="119"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upon the New York City real estate market;</w:t>
      </w:r>
    </w:p>
    <w:p>
      <w:pPr>
        <w:spacing w:after="0" w:line="119"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of real estate acquisitions, dispositions, development and redevelopment, including the cost of construction delays and cost overruns;</w:t>
      </w:r>
    </w:p>
    <w:p>
      <w:pPr>
        <w:spacing w:after="0" w:line="119"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debt and preferred equity investments;</w:t>
      </w:r>
    </w:p>
    <w:p>
      <w:pPr>
        <w:spacing w:after="0" w:line="119"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and creditworthiness of prospective tenants and borrowers;</w:t>
      </w:r>
    </w:p>
    <w:p>
      <w:pPr>
        <w:spacing w:after="0" w:line="119"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bankruptcy or insolvency of a major tenant or a significant number of smaller tenants or borrowers;</w:t>
      </w:r>
    </w:p>
    <w:p>
      <w:pPr>
        <w:spacing w:after="0" w:line="119" w:lineRule="exact"/>
        <w:rPr>
          <w:rFonts w:ascii="Times New Roman" w:cs="Times New Roman" w:eastAsia="Times New Roman" w:hAnsi="Times New Roman"/>
          <w:sz w:val="17"/>
          <w:szCs w:val="17"/>
          <w:color w:val="auto"/>
        </w:rPr>
      </w:pPr>
    </w:p>
    <w:p>
      <w:pPr>
        <w:ind w:left="1260" w:hanging="626"/>
        <w:spacing w:after="0" w:line="297" w:lineRule="auto"/>
        <w:tabs>
          <w:tab w:leader="none" w:pos="12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the real estate markets, including reduced demand for office space, increasing vacancy, and increasing availability of sublease space;</w:t>
      </w:r>
    </w:p>
    <w:p>
      <w:pPr>
        <w:spacing w:after="0" w:line="40"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debt and equity capital for our operational needs and investment strategy;</w:t>
      </w:r>
    </w:p>
    <w:p>
      <w:pPr>
        <w:spacing w:after="0" w:line="119"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increases in financing and other costs, including a rise in interest rates;</w:t>
      </w:r>
    </w:p>
    <w:p>
      <w:pPr>
        <w:spacing w:after="0" w:line="119"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financial covenants in our debt instruments;</w:t>
      </w:r>
    </w:p>
    <w:p>
      <w:pPr>
        <w:spacing w:after="0" w:line="119"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status as a REIT;</w:t>
      </w:r>
    </w:p>
    <w:p>
      <w:pPr>
        <w:spacing w:after="0" w:line="119"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of investing through joint venture structures, including the fulfillment by our partners of their financial obligations;</w:t>
      </w:r>
    </w:p>
    <w:p>
      <w:pPr>
        <w:spacing w:after="0" w:line="119" w:lineRule="exact"/>
        <w:rPr>
          <w:rFonts w:ascii="Times New Roman" w:cs="Times New Roman" w:eastAsia="Times New Roman" w:hAnsi="Times New Roman"/>
          <w:sz w:val="17"/>
          <w:szCs w:val="17"/>
          <w:color w:val="auto"/>
        </w:rPr>
      </w:pPr>
    </w:p>
    <w:p>
      <w:pPr>
        <w:ind w:left="1260" w:hanging="626"/>
        <w:spacing w:after="0"/>
        <w:tabs>
          <w:tab w:leader="none" w:pos="12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threat of terrorist attacks;</w:t>
      </w:r>
    </w:p>
    <w:p>
      <w:pPr>
        <w:spacing w:after="0" w:line="119" w:lineRule="exact"/>
        <w:rPr>
          <w:rFonts w:ascii="Times New Roman" w:cs="Times New Roman" w:eastAsia="Times New Roman" w:hAnsi="Times New Roman"/>
          <w:sz w:val="17"/>
          <w:szCs w:val="17"/>
          <w:color w:val="auto"/>
        </w:rPr>
      </w:pPr>
    </w:p>
    <w:p>
      <w:pPr>
        <w:ind w:left="1260" w:hanging="626"/>
        <w:spacing w:after="0" w:line="297" w:lineRule="auto"/>
        <w:tabs>
          <w:tab w:leader="none" w:pos="12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adequate insurance coverage at a reasonable cost and the potential for losses in excess of our insurance coverage, including as a result of environmental contamination;</w:t>
      </w:r>
    </w:p>
    <w:p>
      <w:pPr>
        <w:spacing w:after="0" w:line="40" w:lineRule="exact"/>
        <w:rPr>
          <w:rFonts w:ascii="Times New Roman" w:cs="Times New Roman" w:eastAsia="Times New Roman" w:hAnsi="Times New Roman"/>
          <w:sz w:val="17"/>
          <w:szCs w:val="17"/>
          <w:color w:val="auto"/>
        </w:rPr>
      </w:pPr>
    </w:p>
    <w:p>
      <w:pPr>
        <w:ind w:left="1260" w:hanging="626"/>
        <w:spacing w:after="0" w:line="297" w:lineRule="auto"/>
        <w:tabs>
          <w:tab w:leader="none" w:pos="12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asset management business, including our ability to identify suitable investments, manage actual and potential conflicts of interest and comply with regulations on our asset management subsidiary under the Investment Advisers Act of 1940; and</w:t>
      </w:r>
    </w:p>
    <w:p>
      <w:pPr>
        <w:spacing w:after="0" w:line="40" w:lineRule="exact"/>
        <w:rPr>
          <w:rFonts w:ascii="Times New Roman" w:cs="Times New Roman" w:eastAsia="Times New Roman" w:hAnsi="Times New Roman"/>
          <w:sz w:val="17"/>
          <w:szCs w:val="17"/>
          <w:color w:val="auto"/>
        </w:rPr>
      </w:pPr>
    </w:p>
    <w:p>
      <w:pPr>
        <w:ind w:left="1260" w:hanging="626"/>
        <w:spacing w:after="0" w:line="297" w:lineRule="auto"/>
        <w:tabs>
          <w:tab w:leader="none" w:pos="12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4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Other factors and risks to our business, many of which are beyond our control, are described in other sections of this report and in our other filings with the SEC. Except to the extent required by law, we undertake no obligation to publicly update or revise any forward-looking statements, whether as a result of future events, new information or otherwise.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 ABOUT MARKET RISK</w:t>
      </w:r>
    </w:p>
    <w:p>
      <w:pPr>
        <w:spacing w:after="0" w:line="147"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See Item 7, "Management's Discussion and Analysis of Financial Condition and Results of Operations—Market Rate Risk" for additional information regarding our exposure to interest rate fluctuations.</w:t>
      </w:r>
    </w:p>
    <w:p>
      <w:pPr>
        <w:spacing w:after="0" w:line="80"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The table below presents the principal cash flows based upon maturity dates of our debt obligations and debt and preferred equity investments and the weighted-average interest rates by expected maturity dates, including as-of-right extension options, as of December 31, 2024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3"/>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Debt and Preferred</w:t>
            </w: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 xml:space="preserve">Equity Investments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30"/>
        </w:trPr>
        <w:tc>
          <w:tcPr>
            <w:tcW w:w="3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60" w:type="dxa"/>
            <w:vAlign w:val="bottom"/>
          </w:tcPr>
          <w:p>
            <w:pPr>
              <w:spacing w:after="0"/>
              <w:rPr>
                <w:sz w:val="11"/>
                <w:szCs w:val="11"/>
                <w:color w:val="auto"/>
              </w:rPr>
            </w:pPr>
          </w:p>
        </w:tc>
        <w:tc>
          <w:tcPr>
            <w:tcW w:w="1000" w:type="dxa"/>
            <w:vAlign w:val="bottom"/>
            <w:vMerge w:val="restart"/>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10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4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center"/>
              <w:ind w:right="321"/>
              <w:spacing w:after="0" w:line="145"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460" w:type="dxa"/>
            <w:vAlign w:val="bottom"/>
          </w:tcPr>
          <w:p>
            <w:pPr>
              <w:spacing w:after="0"/>
              <w:rPr>
                <w:sz w:val="16"/>
                <w:szCs w:val="16"/>
                <w:color w:val="auto"/>
              </w:rPr>
            </w:pPr>
          </w:p>
        </w:tc>
        <w:tc>
          <w:tcPr>
            <w:tcW w:w="100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16"/>
                <w:szCs w:val="16"/>
                <w:color w:val="auto"/>
              </w:rPr>
            </w:pPr>
          </w:p>
        </w:tc>
        <w:tc>
          <w:tcPr>
            <w:tcW w:w="1500" w:type="dxa"/>
            <w:vAlign w:val="bottom"/>
            <w:gridSpan w:val="3"/>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280" w:type="dxa"/>
            <w:vAlign w:val="bottom"/>
            <w:gridSpan w:val="2"/>
            <w:vMerge w:val="continue"/>
          </w:tcPr>
          <w:p>
            <w:pPr>
              <w:spacing w:after="0"/>
              <w:rPr>
                <w:sz w:val="16"/>
                <w:szCs w:val="16"/>
                <w:color w:val="auto"/>
              </w:rPr>
            </w:pPr>
          </w:p>
        </w:tc>
        <w:tc>
          <w:tcPr>
            <w:tcW w:w="11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470,001</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5.29 %</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3,550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6.34 %</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92,525</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4.35 %</w:t>
            </w:r>
          </w:p>
        </w:tc>
        <w:tc>
          <w:tcPr>
            <w:tcW w:w="0" w:type="dxa"/>
            <w:vAlign w:val="bottom"/>
          </w:tcPr>
          <w:p>
            <w:pPr>
              <w:spacing w:after="0"/>
              <w:rPr>
                <w:sz w:val="1"/>
                <w:szCs w:val="1"/>
                <w:color w:val="auto"/>
              </w:rPr>
            </w:pPr>
          </w:p>
        </w:tc>
      </w:tr>
      <w:tr>
        <w:trPr>
          <w:trHeight w:val="208"/>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290,148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5.30 %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6.17 %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54,481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9.59 %</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1,920,000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360,000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136,720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6.55 %</w:t>
            </w:r>
          </w:p>
        </w:tc>
        <w:tc>
          <w:tcPr>
            <w:tcW w:w="0" w:type="dxa"/>
            <w:vAlign w:val="bottom"/>
          </w:tcPr>
          <w:p>
            <w:pPr>
              <w:spacing w:after="0"/>
              <w:rPr>
                <w:sz w:val="1"/>
                <w:szCs w:val="1"/>
                <w:color w:val="auto"/>
              </w:rPr>
            </w:pPr>
          </w:p>
        </w:tc>
      </w:tr>
      <w:tr>
        <w:trPr>
          <w:trHeight w:val="208"/>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205,000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7.15 %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00" w:type="dxa"/>
            <w:vAlign w:val="bottom"/>
            <w:gridSpan w:val="3"/>
          </w:tcPr>
          <w:p>
            <w:pPr>
              <w:jc w:val="right"/>
              <w:ind w:right="321"/>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8"/>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7.81 %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00" w:type="dxa"/>
            <w:vAlign w:val="bottom"/>
            <w:gridSpan w:val="3"/>
          </w:tcPr>
          <w:p>
            <w:pPr>
              <w:jc w:val="right"/>
              <w:ind w:right="321"/>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8.11 %</w:t>
            </w:r>
          </w:p>
        </w:tc>
        <w:tc>
          <w:tcPr>
            <w:tcW w:w="0" w:type="dxa"/>
            <w:vAlign w:val="bottom"/>
          </w:tcPr>
          <w:p>
            <w:pPr>
              <w:spacing w:after="0"/>
              <w:rPr>
                <w:sz w:val="1"/>
                <w:szCs w:val="1"/>
                <w:color w:val="auto"/>
              </w:rPr>
            </w:pPr>
          </w:p>
        </w:tc>
      </w:tr>
      <w:tr>
        <w:trPr>
          <w:trHeight w:val="230"/>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3,257,474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363,550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0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Fair Value</w:t>
            </w:r>
          </w:p>
        </w:tc>
        <w:tc>
          <w:tcPr>
            <w:tcW w:w="320" w:type="dxa"/>
            <w:vAlign w:val="bottom"/>
            <w:tcBorders>
              <w:bottom w:val="single" w:sz="8" w:color="auto"/>
            </w:tcBorders>
          </w:tcPr>
          <w:p>
            <w:pPr>
              <w:jc w:val="right"/>
              <w:ind w:right="141"/>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3,225,767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81"/>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3"/>
              <w:spacing w:after="0" w:line="182" w:lineRule="exact"/>
              <w:rPr>
                <w:sz w:val="20"/>
                <w:szCs w:val="20"/>
                <w:color w:val="auto"/>
              </w:rPr>
            </w:pPr>
            <w:r>
              <w:rPr>
                <w:rFonts w:ascii="Times New Roman" w:cs="Times New Roman" w:eastAsia="Times New Roman" w:hAnsi="Times New Roman"/>
                <w:sz w:val="16"/>
                <w:szCs w:val="16"/>
                <w:color w:val="auto"/>
              </w:rPr>
              <w:t>355,364</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tabs>
          <w:tab w:leader="none" w:pos="4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debt and preferred equity investments had an estimated fair value of approximately $0.3 billion as of December 31, 2024.</w:t>
      </w:r>
    </w:p>
    <w:p>
      <w:pPr>
        <w:spacing w:after="0" w:line="158"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The table below presents the principal cash flows based upon maturity dates of our share of our joint venture debt obligations and the weighted-average interest rates by expected maturity dates, including as-of-right extension options, as of December 31, 2024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w w:val="99"/>
              </w:rPr>
              <w:t>Long Term Debt</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Debt and Preferred</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Equity Investments</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vMerge w:val="restart"/>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460" w:type="dxa"/>
            <w:vAlign w:val="bottom"/>
          </w:tcPr>
          <w:p>
            <w:pPr>
              <w:spacing w:after="0"/>
              <w:rPr>
                <w:sz w:val="11"/>
                <w:szCs w:val="11"/>
                <w:color w:val="auto"/>
              </w:rPr>
            </w:pPr>
          </w:p>
        </w:tc>
        <w:tc>
          <w:tcPr>
            <w:tcW w:w="1000" w:type="dxa"/>
            <w:vAlign w:val="bottom"/>
            <w:vMerge w:val="restart"/>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10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3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4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center"/>
              <w:ind w:right="321"/>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460" w:type="dxa"/>
            <w:vAlign w:val="bottom"/>
          </w:tcPr>
          <w:p>
            <w:pPr>
              <w:spacing w:after="0"/>
              <w:rPr>
                <w:sz w:val="16"/>
                <w:szCs w:val="16"/>
                <w:color w:val="auto"/>
              </w:rPr>
            </w:pPr>
          </w:p>
        </w:tc>
        <w:tc>
          <w:tcPr>
            <w:tcW w:w="100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16"/>
                <w:szCs w:val="16"/>
                <w:color w:val="auto"/>
              </w:rPr>
            </w:pPr>
          </w:p>
        </w:tc>
        <w:tc>
          <w:tcPr>
            <w:tcW w:w="1500" w:type="dxa"/>
            <w:vAlign w:val="bottom"/>
            <w:gridSpan w:val="3"/>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08"/>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989,934</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96"/>
              </w:rPr>
              <w:t>4.35 %</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208,466</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7.14 %</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8"/>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936,639</w:t>
            </w:r>
          </w:p>
        </w:tc>
        <w:tc>
          <w:tcPr>
            <w:tcW w:w="12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w w:val="96"/>
              </w:rPr>
              <w:t>4.27 %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7.02 %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214,657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8.86 %</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1,619,766</w:t>
            </w:r>
          </w:p>
        </w:tc>
        <w:tc>
          <w:tcPr>
            <w:tcW w:w="12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6"/>
              </w:rPr>
              <w:t>3.99 %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90,463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7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8"/>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382,294</w:t>
            </w:r>
          </w:p>
        </w:tc>
        <w:tc>
          <w:tcPr>
            <w:tcW w:w="12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w w:val="96"/>
              </w:rPr>
              <w:t>2.86 %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00" w:type="dxa"/>
            <w:vAlign w:val="bottom"/>
            <w:gridSpan w:val="3"/>
          </w:tcPr>
          <w:p>
            <w:pPr>
              <w:jc w:val="right"/>
              <w:ind w:right="321"/>
              <w:spacing w:after="0"/>
              <w:rPr>
                <w:sz w:val="20"/>
                <w:szCs w:val="20"/>
                <w:color w:val="auto"/>
              </w:rPr>
            </w:pPr>
            <w:r>
              <w:rPr>
                <w:rFonts w:ascii="Times New Roman" w:cs="Times New Roman" w:eastAsia="Times New Roman" w:hAnsi="Times New Roman"/>
                <w:sz w:val="16"/>
                <w:szCs w:val="16"/>
                <w:color w:val="auto"/>
              </w:rPr>
              <w:t>— %</w:t>
            </w:r>
          </w:p>
        </w:tc>
        <w:tc>
          <w:tcPr>
            <w:tcW w:w="1660" w:type="dxa"/>
            <w:vAlign w:val="bottom"/>
            <w:gridSpan w:val="3"/>
          </w:tcPr>
          <w:p>
            <w:pPr>
              <w:jc w:val="right"/>
              <w:ind w:right="47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2"/>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6"/>
              </w:rPr>
              <w:t>2.86 %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rPr>
              <w:t>— %</w:t>
            </w:r>
          </w:p>
        </w:tc>
        <w:tc>
          <w:tcPr>
            <w:tcW w:w="1660" w:type="dxa"/>
            <w:vAlign w:val="bottom"/>
            <w:gridSpan w:val="3"/>
            <w:shd w:val="clear" w:color="auto" w:fill="CCEEFF"/>
          </w:tcPr>
          <w:p>
            <w:pPr>
              <w:jc w:val="right"/>
              <w:ind w:right="47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8"/>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1,800,300</w:t>
            </w:r>
          </w:p>
        </w:tc>
        <w:tc>
          <w:tcPr>
            <w:tcW w:w="120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w w:val="96"/>
              </w:rPr>
              <w:t>2.86 %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00" w:type="dxa"/>
            <w:vAlign w:val="bottom"/>
            <w:gridSpan w:val="3"/>
          </w:tcPr>
          <w:p>
            <w:pPr>
              <w:jc w:val="right"/>
              <w:ind w:right="321"/>
              <w:spacing w:after="0"/>
              <w:rPr>
                <w:sz w:val="20"/>
                <w:szCs w:val="20"/>
                <w:color w:val="auto"/>
              </w:rPr>
            </w:pPr>
            <w:r>
              <w:rPr>
                <w:rFonts w:ascii="Times New Roman" w:cs="Times New Roman" w:eastAsia="Times New Roman" w:hAnsi="Times New Roman"/>
                <w:sz w:val="16"/>
                <w:szCs w:val="16"/>
                <w:color w:val="auto"/>
              </w:rPr>
              <w:t>— %</w:t>
            </w:r>
          </w:p>
        </w:tc>
        <w:tc>
          <w:tcPr>
            <w:tcW w:w="1660" w:type="dxa"/>
            <w:vAlign w:val="bottom"/>
            <w:gridSpan w:val="3"/>
          </w:tcPr>
          <w:p>
            <w:pPr>
              <w:jc w:val="right"/>
              <w:ind w:right="47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30"/>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5,728,933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96"/>
              </w:rPr>
              <w:t>3.97 %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298,929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0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Fair Value</w:t>
            </w:r>
          </w:p>
        </w:tc>
        <w:tc>
          <w:tcPr>
            <w:tcW w:w="320" w:type="dxa"/>
            <w:vAlign w:val="bottom"/>
            <w:tcBorders>
              <w:bottom w:val="single" w:sz="8" w:color="auto"/>
            </w:tcBorders>
          </w:tcPr>
          <w:p>
            <w:pPr>
              <w:jc w:val="right"/>
              <w:ind w:right="141"/>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5,058,674</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81"/>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3"/>
              <w:spacing w:after="0" w:line="182" w:lineRule="exact"/>
              <w:rPr>
                <w:sz w:val="20"/>
                <w:szCs w:val="20"/>
                <w:color w:val="auto"/>
              </w:rPr>
            </w:pPr>
            <w:r>
              <w:rPr>
                <w:rFonts w:ascii="Times New Roman" w:cs="Times New Roman" w:eastAsia="Times New Roman" w:hAnsi="Times New Roman"/>
                <w:sz w:val="16"/>
                <w:szCs w:val="16"/>
                <w:color w:val="auto"/>
              </w:rPr>
              <w:t>207,929</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table below lists our consolidated derivative instruments, which are hedging variable rate debt, and their related fair values as of December 31, 2024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Benchmark</w:t>
            </w:r>
          </w:p>
        </w:tc>
        <w:tc>
          <w:tcPr>
            <w:tcW w:w="16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Strike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180" w:type="dxa"/>
            <w:vAlign w:val="bottom"/>
          </w:tcPr>
          <w:p>
            <w:pPr>
              <w:spacing w:after="0"/>
              <w:rPr>
                <w:sz w:val="13"/>
                <w:szCs w:val="13"/>
                <w:color w:val="auto"/>
              </w:rPr>
            </w:pPr>
          </w:p>
        </w:tc>
        <w:tc>
          <w:tcPr>
            <w:tcW w:w="7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0"/>
        </w:trPr>
        <w:tc>
          <w:tcPr>
            <w:tcW w:w="24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Hedged</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0" w:type="dxa"/>
            <w:vAlign w:val="bottom"/>
          </w:tcPr>
          <w:p>
            <w:pPr>
              <w:spacing w:after="0"/>
              <w:rPr>
                <w:sz w:val="16"/>
                <w:szCs w:val="16"/>
                <w:color w:val="auto"/>
              </w:rPr>
            </w:pP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8"/>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Mortgage</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SOFR</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205,000</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2024</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2025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08"/>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Mortgage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3.250 %</w:t>
            </w: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2024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2025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w:t>
            </w:r>
          </w:p>
        </w:tc>
      </w:tr>
      <w:tr>
        <w:trPr>
          <w:trHeight w:val="21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3.250 %</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June 2024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June 2025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r>
      <w:tr>
        <w:trPr>
          <w:trHeight w:val="208"/>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68,678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July 2025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2.621 %</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December 2021</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January 2026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r>
      <w:tr>
        <w:trPr>
          <w:trHeight w:val="208"/>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2.662 %</w:t>
            </w: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December 2021</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January 2026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w:t>
            </w:r>
          </w:p>
        </w:tc>
      </w:tr>
      <w:tr>
        <w:trPr>
          <w:trHeight w:val="21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3.667 %</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December 2026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r>
      <w:tr>
        <w:trPr>
          <w:trHeight w:val="208"/>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3.670 %</w:t>
            </w: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December 2026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r>
      <w:tr>
        <w:trPr>
          <w:trHeight w:val="21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2.903 %</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w:t>
            </w:r>
          </w:p>
        </w:tc>
      </w:tr>
      <w:tr>
        <w:trPr>
          <w:trHeight w:val="208"/>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2.733 %</w:t>
            </w: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w:t>
            </w:r>
          </w:p>
        </w:tc>
      </w:tr>
      <w:tr>
        <w:trPr>
          <w:trHeight w:val="21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2.463 %</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r>
      <w:tr>
        <w:trPr>
          <w:trHeight w:val="208"/>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2.591 %</w:t>
            </w: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w:t>
            </w:r>
          </w:p>
        </w:tc>
      </w:tr>
      <w:tr>
        <w:trPr>
          <w:trHeight w:val="21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2.866 %</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July 2023</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May 2027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7,637</w:t>
            </w:r>
          </w:p>
        </w:tc>
      </w:tr>
      <w:tr>
        <w:trPr>
          <w:trHeight w:val="208"/>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3.524 %</w:t>
            </w: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January 2024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May 2027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r>
      <w:tr>
        <w:trPr>
          <w:trHeight w:val="21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3.888 %</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November 2022</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June 2027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208"/>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68,678</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4.466 %</w:t>
            </w: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2027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r>
      <w:tr>
        <w:trPr>
          <w:trHeight w:val="21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4.487 %</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November 2024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November 2027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w:t>
            </w:r>
          </w:p>
        </w:tc>
      </w:tr>
      <w:tr>
        <w:trPr>
          <w:trHeight w:val="208"/>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Credit Facility</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3.756 %</w:t>
            </w: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January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January 2028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r>
      <w:tr>
        <w:trPr>
          <w:trHeight w:val="21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6"/>
              </w:rPr>
              <w:t>Mortgage</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204,963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3.915 %</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2025</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May 2028</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05"/>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Consolidated Hedges</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25,391</w:t>
            </w:r>
          </w:p>
        </w:tc>
      </w:tr>
      <w:tr>
        <w:trPr>
          <w:trHeight w:val="20"/>
        </w:trPr>
        <w:tc>
          <w:tcPr>
            <w:tcW w:w="2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addition to these derivative instruments, some of our joint venture loan agreements require the joint venture to purchase interest rate caps on its debt. All such interest rate caps represented an asset of $1.2 million in the aggregate as of December 31, 2024. We also swapped certain floating rate debt at some of our joint ventures. These swaps represented an asset of $4.7 million in the aggregate as of December 31,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Benchmark</w:t>
            </w:r>
          </w:p>
        </w:tc>
        <w:tc>
          <w:tcPr>
            <w:tcW w:w="16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Strike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180" w:type="dxa"/>
            <w:vAlign w:val="bottom"/>
          </w:tcPr>
          <w:p>
            <w:pPr>
              <w:spacing w:after="0"/>
              <w:rPr>
                <w:sz w:val="13"/>
                <w:szCs w:val="13"/>
                <w:color w:val="auto"/>
              </w:rPr>
            </w:pP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90"/>
        </w:trPr>
        <w:tc>
          <w:tcPr>
            <w:tcW w:w="240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Hedged</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0" w:type="dxa"/>
            <w:vAlign w:val="bottom"/>
          </w:tcPr>
          <w:p>
            <w:pPr>
              <w:spacing w:after="0"/>
              <w:rPr>
                <w:sz w:val="16"/>
                <w:szCs w:val="16"/>
                <w:color w:val="auto"/>
              </w:rPr>
            </w:pPr>
          </w:p>
        </w:tc>
        <w:tc>
          <w:tcPr>
            <w:tcW w:w="72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8"/>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Mortgage</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4"/>
              </w:rPr>
              <w:t>SOFR</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658,357</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2024</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2025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08"/>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Mortgage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285,000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July 2025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1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6"/>
              </w:rPr>
              <w:t>Mortgage</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3.608 %</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April 2023</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r>
      <w:tr>
        <w:trPr>
          <w:trHeight w:val="208"/>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Mortgage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3.608 %</w:t>
            </w: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April 2023</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w:t>
            </w:r>
          </w:p>
        </w:tc>
      </w:tr>
      <w:tr>
        <w:trPr>
          <w:trHeight w:val="21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6"/>
              </w:rPr>
              <w:t>Mortgage</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177,000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1.555 %</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December 2022</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w:t>
            </w:r>
          </w:p>
        </w:tc>
      </w:tr>
      <w:tr>
        <w:trPr>
          <w:trHeight w:val="208"/>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Mortgage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268,750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4.039 %</w:t>
            </w: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July 2024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September 2028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12"/>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6"/>
              </w:rPr>
              <w:t>Mortgage</w:t>
            </w: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268,750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4.058 %</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July 2024</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September 2028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08"/>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40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Mortgage</w:t>
            </w:r>
          </w:p>
        </w:tc>
        <w:tc>
          <w:tcPr>
            <w:tcW w:w="110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4"/>
              </w:rPr>
              <w:t>SOFR</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6"/>
                <w:szCs w:val="16"/>
                <w:color w:val="auto"/>
              </w:rPr>
              <w:t>537,500</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4.065 %</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July 2024</w:t>
            </w:r>
          </w:p>
        </w:tc>
        <w:tc>
          <w:tcPr>
            <w:tcW w:w="164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September 2028</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w:t>
            </w:r>
          </w:p>
        </w:tc>
      </w:tr>
      <w:tr>
        <w:trPr>
          <w:trHeight w:val="23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Unconsolidated Hedges</w:t>
            </w:r>
          </w:p>
        </w:tc>
        <w:tc>
          <w:tcPr>
            <w:tcW w:w="1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5"/>
        </w:trPr>
        <w:tc>
          <w:tcPr>
            <w:tcW w:w="109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66"/>
        </w:trPr>
        <w:tc>
          <w:tcPr>
            <w:tcW w:w="1094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4"/>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860" w:type="dxa"/>
            <w:vAlign w:val="bottom"/>
            <w:gridSpan w:val="11"/>
          </w:tcPr>
          <w:p>
            <w:pPr>
              <w:ind w:left="880"/>
              <w:spacing w:after="0"/>
              <w:rPr>
                <w:sz w:val="20"/>
                <w:szCs w:val="20"/>
                <w:color w:val="auto"/>
              </w:rPr>
            </w:pPr>
            <w:r>
              <w:rPr>
                <w:rFonts w:ascii="Times New Roman" w:cs="Times New Roman" w:eastAsia="Times New Roman" w:hAnsi="Times New Roman"/>
                <w:sz w:val="17"/>
                <w:szCs w:val="17"/>
                <w:b w:val="1"/>
                <w:bCs w:val="1"/>
                <w:color w:val="auto"/>
              </w:rPr>
              <w:t>Index to Financial Statements and Schedules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5"/>
        </w:trPr>
        <w:tc>
          <w:tcPr>
            <w:tcW w:w="20" w:type="dxa"/>
            <w:vAlign w:val="bottom"/>
          </w:tcPr>
          <w:p>
            <w:pPr>
              <w:spacing w:after="0"/>
              <w:rPr>
                <w:sz w:val="24"/>
                <w:szCs w:val="24"/>
                <w:color w:val="auto"/>
              </w:rPr>
            </w:pPr>
          </w:p>
        </w:tc>
        <w:tc>
          <w:tcPr>
            <w:tcW w:w="10920" w:type="dxa"/>
            <w:vAlign w:val="bottom"/>
            <w:gridSpan w:val="13"/>
          </w:tcPr>
          <w:p>
            <w:pPr>
              <w:spacing w:after="0"/>
              <w:rPr>
                <w:sz w:val="20"/>
                <w:szCs w:val="20"/>
                <w:color w:val="auto"/>
              </w:rPr>
            </w:pPr>
            <w:r>
              <w:rPr>
                <w:rFonts w:ascii="Times New Roman" w:cs="Times New Roman" w:eastAsia="Times New Roman" w:hAnsi="Times New Roman"/>
                <w:sz w:val="17"/>
                <w:szCs w:val="17"/>
                <w:b w:val="1"/>
                <w:bCs w:val="1"/>
                <w:color w:val="auto"/>
              </w:rPr>
              <w:t>FINANCIAL STATEMENTS OF SL GREEN REALTY CORP.</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0920" w:type="dxa"/>
            <w:vAlign w:val="bottom"/>
            <w:gridSpan w:val="13"/>
          </w:tcPr>
          <w:p>
            <w:pPr>
              <w:spacing w:after="0" w:line="189" w:lineRule="exact"/>
              <w:rPr>
                <w:sz w:val="20"/>
                <w:szCs w:val="20"/>
                <w:color w:val="auto"/>
              </w:rPr>
            </w:pPr>
            <w:r>
              <w:rPr>
                <w:rFonts w:ascii="Times New Roman" w:cs="Times New Roman" w:eastAsia="Times New Roman" w:hAnsi="Times New Roman"/>
                <w:sz w:val="17"/>
                <w:szCs w:val="17"/>
                <w:color w:val="auto"/>
              </w:rPr>
              <w:t>Report of Independent Registered Public Accounting Firm (Deloitte &amp; Touche LLP; PCAOB ID: No. 34)</w:t>
            </w:r>
          </w:p>
        </w:tc>
        <w:tc>
          <w:tcPr>
            <w:tcW w:w="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FF"/>
              </w:rPr>
              <w:t>54</w:t>
            </w:r>
          </w:p>
        </w:tc>
      </w:tr>
      <w:tr>
        <w:trPr>
          <w:trHeight w:val="203"/>
        </w:trPr>
        <w:tc>
          <w:tcPr>
            <w:tcW w:w="20" w:type="dxa"/>
            <w:vAlign w:val="bottom"/>
          </w:tcPr>
          <w:p>
            <w:pPr>
              <w:spacing w:after="0"/>
              <w:rPr>
                <w:sz w:val="17"/>
                <w:szCs w:val="17"/>
                <w:color w:val="auto"/>
              </w:rPr>
            </w:pPr>
          </w:p>
        </w:tc>
        <w:tc>
          <w:tcPr>
            <w:tcW w:w="7140" w:type="dxa"/>
            <w:vAlign w:val="bottom"/>
            <w:tcBorders>
              <w:top w:val="single" w:sz="8" w:color="auto"/>
              <w:bottom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(Ernst &amp; Young LLP; PCAOB ID: No. 42)</w:t>
            </w:r>
          </w:p>
        </w:tc>
        <w:tc>
          <w:tcPr>
            <w:tcW w:w="240" w:type="dxa"/>
            <w:vAlign w:val="bottom"/>
            <w:tcBorders>
              <w:top w:val="single" w:sz="8" w:color="auto"/>
            </w:tcBorders>
          </w:tcPr>
          <w:p>
            <w:pPr>
              <w:spacing w:after="0"/>
              <w:rPr>
                <w:sz w:val="17"/>
                <w:szCs w:val="17"/>
                <w:color w:val="auto"/>
              </w:rPr>
            </w:pPr>
          </w:p>
        </w:tc>
        <w:tc>
          <w:tcPr>
            <w:tcW w:w="35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57</w:t>
            </w:r>
          </w:p>
        </w:tc>
      </w:tr>
      <w:tr>
        <w:trPr>
          <w:trHeight w:val="203"/>
        </w:trPr>
        <w:tc>
          <w:tcPr>
            <w:tcW w:w="20" w:type="dxa"/>
            <w:vAlign w:val="bottom"/>
          </w:tcPr>
          <w:p>
            <w:pPr>
              <w:spacing w:after="0"/>
              <w:rPr>
                <w:sz w:val="17"/>
                <w:szCs w:val="17"/>
                <w:color w:val="auto"/>
              </w:rPr>
            </w:pPr>
          </w:p>
        </w:tc>
        <w:tc>
          <w:tcPr>
            <w:tcW w:w="4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Consolidated Balance Sheets as of December 31, 2024 and 2023</w:t>
            </w:r>
          </w:p>
        </w:tc>
        <w:tc>
          <w:tcPr>
            <w:tcW w:w="640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58</w:t>
            </w:r>
          </w:p>
        </w:tc>
      </w:tr>
      <w:tr>
        <w:trPr>
          <w:trHeight w:val="203"/>
        </w:trPr>
        <w:tc>
          <w:tcPr>
            <w:tcW w:w="20" w:type="dxa"/>
            <w:vAlign w:val="bottom"/>
          </w:tcPr>
          <w:p>
            <w:pPr>
              <w:spacing w:after="0"/>
              <w:rPr>
                <w:sz w:val="17"/>
                <w:szCs w:val="17"/>
                <w:color w:val="auto"/>
              </w:rPr>
            </w:pPr>
          </w:p>
        </w:tc>
        <w:tc>
          <w:tcPr>
            <w:tcW w:w="66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Consolidated Statements of Operations for the years ended December 31, 2024, 2023 and 2022</w:t>
            </w:r>
          </w:p>
        </w:tc>
        <w:tc>
          <w:tcPr>
            <w:tcW w:w="426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60</w:t>
            </w:r>
          </w:p>
        </w:tc>
      </w:tr>
      <w:tr>
        <w:trPr>
          <w:trHeight w:val="203"/>
        </w:trPr>
        <w:tc>
          <w:tcPr>
            <w:tcW w:w="20" w:type="dxa"/>
            <w:vAlign w:val="bottom"/>
          </w:tcPr>
          <w:p>
            <w:pPr>
              <w:spacing w:after="0"/>
              <w:rPr>
                <w:sz w:val="17"/>
                <w:szCs w:val="17"/>
                <w:color w:val="auto"/>
              </w:rPr>
            </w:pPr>
          </w:p>
        </w:tc>
        <w:tc>
          <w:tcPr>
            <w:tcW w:w="109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Consolidated Statements of Comprehensive Income (Loss) for the years ended December 31, 2024, 2023 and 2022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61</w:t>
            </w:r>
          </w:p>
        </w:tc>
      </w:tr>
      <w:tr>
        <w:trPr>
          <w:trHeight w:val="203"/>
        </w:trPr>
        <w:tc>
          <w:tcPr>
            <w:tcW w:w="20" w:type="dxa"/>
            <w:vAlign w:val="bottom"/>
          </w:tcPr>
          <w:p>
            <w:pPr>
              <w:spacing w:after="0"/>
              <w:rPr>
                <w:sz w:val="17"/>
                <w:szCs w:val="17"/>
                <w:color w:val="auto"/>
              </w:rPr>
            </w:pPr>
          </w:p>
        </w:tc>
        <w:tc>
          <w:tcPr>
            <w:tcW w:w="636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Consolidated Statements of Equity for the years ended December 31, 2024, 2023 and 2022</w:t>
            </w:r>
          </w:p>
        </w:tc>
        <w:tc>
          <w:tcPr>
            <w:tcW w:w="1680" w:type="dxa"/>
            <w:vAlign w:val="bottom"/>
            <w:tcBorders>
              <w:top w:val="single" w:sz="8" w:color="auto"/>
            </w:tcBorders>
            <w:gridSpan w:val="6"/>
          </w:tcPr>
          <w:p>
            <w:pPr>
              <w:spacing w:after="0"/>
              <w:rPr>
                <w:sz w:val="17"/>
                <w:szCs w:val="17"/>
                <w:color w:val="auto"/>
              </w:rPr>
            </w:pP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62</w:t>
            </w:r>
          </w:p>
        </w:tc>
      </w:tr>
      <w:tr>
        <w:trPr>
          <w:trHeight w:val="203"/>
        </w:trPr>
        <w:tc>
          <w:tcPr>
            <w:tcW w:w="20" w:type="dxa"/>
            <w:vAlign w:val="bottom"/>
          </w:tcPr>
          <w:p>
            <w:pPr>
              <w:spacing w:after="0"/>
              <w:rPr>
                <w:sz w:val="17"/>
                <w:szCs w:val="17"/>
                <w:color w:val="auto"/>
              </w:rPr>
            </w:pPr>
          </w:p>
        </w:tc>
        <w:tc>
          <w:tcPr>
            <w:tcW w:w="67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2024, 2023 and 2022</w:t>
            </w:r>
          </w:p>
        </w:tc>
        <w:tc>
          <w:tcPr>
            <w:tcW w:w="420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63</w:t>
            </w:r>
          </w:p>
        </w:tc>
      </w:tr>
      <w:tr>
        <w:trPr>
          <w:trHeight w:val="237"/>
        </w:trPr>
        <w:tc>
          <w:tcPr>
            <w:tcW w:w="20" w:type="dxa"/>
            <w:vAlign w:val="bottom"/>
          </w:tcPr>
          <w:p>
            <w:pPr>
              <w:spacing w:after="0"/>
              <w:rPr>
                <w:sz w:val="20"/>
                <w:szCs w:val="20"/>
                <w:color w:val="auto"/>
              </w:rPr>
            </w:pPr>
          </w:p>
        </w:tc>
        <w:tc>
          <w:tcPr>
            <w:tcW w:w="10920" w:type="dxa"/>
            <w:vAlign w:val="bottom"/>
            <w:gridSpan w:val="13"/>
          </w:tcPr>
          <w:p>
            <w:pPr>
              <w:spacing w:after="0"/>
              <w:rPr>
                <w:sz w:val="20"/>
                <w:szCs w:val="20"/>
                <w:color w:val="auto"/>
              </w:rPr>
            </w:pPr>
            <w:r>
              <w:rPr>
                <w:rFonts w:ascii="Times New Roman" w:cs="Times New Roman" w:eastAsia="Times New Roman" w:hAnsi="Times New Roman"/>
                <w:sz w:val="17"/>
                <w:szCs w:val="17"/>
                <w:b w:val="1"/>
                <w:bCs w:val="1"/>
                <w:color w:val="auto"/>
              </w:rPr>
              <w:t>FINANCIAL STATEMENTS OF SL GREEN OPERATING PARTNERSHIP, L.P.</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5640" w:type="dxa"/>
            <w:vAlign w:val="bottom"/>
            <w:tcBorders>
              <w:bottom w:val="single" w:sz="8" w:color="auto"/>
            </w:tcBorders>
            <w:gridSpan w:val="4"/>
          </w:tcPr>
          <w:p>
            <w:pPr>
              <w:spacing w:after="0" w:line="189" w:lineRule="exact"/>
              <w:rPr>
                <w:sz w:val="20"/>
                <w:szCs w:val="20"/>
                <w:color w:val="auto"/>
              </w:rPr>
            </w:pPr>
            <w:r>
              <w:rPr>
                <w:rFonts w:ascii="Times New Roman" w:cs="Times New Roman" w:eastAsia="Times New Roman" w:hAnsi="Times New Roman"/>
                <w:sz w:val="17"/>
                <w:szCs w:val="17"/>
                <w:color w:val="auto"/>
              </w:rPr>
              <w:t>Report of Independent Registered Public Accounting Firm (PCAOB ID: No. 34)</w:t>
            </w:r>
          </w:p>
        </w:tc>
        <w:tc>
          <w:tcPr>
            <w:tcW w:w="5280" w:type="dxa"/>
            <w:vAlign w:val="bottom"/>
            <w:gridSpan w:val="9"/>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7"/>
                <w:szCs w:val="17"/>
                <w:color w:val="0000FF"/>
                <w:w w:val="93"/>
              </w:rPr>
              <w:t>66</w:t>
            </w:r>
          </w:p>
        </w:tc>
      </w:tr>
      <w:tr>
        <w:trPr>
          <w:trHeight w:val="203"/>
        </w:trPr>
        <w:tc>
          <w:tcPr>
            <w:tcW w:w="20" w:type="dxa"/>
            <w:vAlign w:val="bottom"/>
          </w:tcPr>
          <w:p>
            <w:pPr>
              <w:spacing w:after="0"/>
              <w:rPr>
                <w:sz w:val="17"/>
                <w:szCs w:val="17"/>
                <w:color w:val="auto"/>
              </w:rPr>
            </w:pPr>
          </w:p>
        </w:tc>
        <w:tc>
          <w:tcPr>
            <w:tcW w:w="714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(Ernst &amp; Young LLP; PCAOB ID: No. 42)</w:t>
            </w:r>
          </w:p>
        </w:tc>
        <w:tc>
          <w:tcPr>
            <w:tcW w:w="378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69</w:t>
            </w:r>
          </w:p>
        </w:tc>
      </w:tr>
      <w:tr>
        <w:trPr>
          <w:trHeight w:val="203"/>
        </w:trPr>
        <w:tc>
          <w:tcPr>
            <w:tcW w:w="20" w:type="dxa"/>
            <w:vAlign w:val="bottom"/>
          </w:tcPr>
          <w:p>
            <w:pPr>
              <w:spacing w:after="0"/>
              <w:rPr>
                <w:sz w:val="17"/>
                <w:szCs w:val="17"/>
                <w:color w:val="auto"/>
              </w:rPr>
            </w:pPr>
          </w:p>
        </w:tc>
        <w:tc>
          <w:tcPr>
            <w:tcW w:w="4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Consolidated Balance Sheets as of December 31, 2024 and 2023</w:t>
            </w:r>
          </w:p>
        </w:tc>
        <w:tc>
          <w:tcPr>
            <w:tcW w:w="640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70</w:t>
            </w:r>
          </w:p>
        </w:tc>
      </w:tr>
      <w:tr>
        <w:trPr>
          <w:trHeight w:val="203"/>
        </w:trPr>
        <w:tc>
          <w:tcPr>
            <w:tcW w:w="20" w:type="dxa"/>
            <w:vAlign w:val="bottom"/>
          </w:tcPr>
          <w:p>
            <w:pPr>
              <w:spacing w:after="0"/>
              <w:rPr>
                <w:sz w:val="17"/>
                <w:szCs w:val="17"/>
                <w:color w:val="auto"/>
              </w:rPr>
            </w:pPr>
          </w:p>
        </w:tc>
        <w:tc>
          <w:tcPr>
            <w:tcW w:w="666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Consolidated Statements of Operations for the years ended December 31, 2024, 2023 and 2022</w:t>
            </w:r>
          </w:p>
        </w:tc>
        <w:tc>
          <w:tcPr>
            <w:tcW w:w="426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72</w:t>
            </w:r>
          </w:p>
        </w:tc>
      </w:tr>
      <w:tr>
        <w:trPr>
          <w:trHeight w:val="203"/>
        </w:trPr>
        <w:tc>
          <w:tcPr>
            <w:tcW w:w="20" w:type="dxa"/>
            <w:vAlign w:val="bottom"/>
          </w:tcPr>
          <w:p>
            <w:pPr>
              <w:spacing w:after="0"/>
              <w:rPr>
                <w:sz w:val="17"/>
                <w:szCs w:val="17"/>
                <w:color w:val="auto"/>
              </w:rPr>
            </w:pPr>
          </w:p>
        </w:tc>
        <w:tc>
          <w:tcPr>
            <w:tcW w:w="109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Consolidated Statements of Comprehensive Income (Loss) for the years ended December 31, 2024, 2023 and 2022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73</w:t>
            </w:r>
          </w:p>
        </w:tc>
      </w:tr>
      <w:tr>
        <w:trPr>
          <w:trHeight w:val="203"/>
        </w:trPr>
        <w:tc>
          <w:tcPr>
            <w:tcW w:w="20" w:type="dxa"/>
            <w:vAlign w:val="bottom"/>
          </w:tcPr>
          <w:p>
            <w:pPr>
              <w:spacing w:after="0"/>
              <w:rPr>
                <w:sz w:val="17"/>
                <w:szCs w:val="17"/>
                <w:color w:val="auto"/>
              </w:rPr>
            </w:pPr>
          </w:p>
        </w:tc>
        <w:tc>
          <w:tcPr>
            <w:tcW w:w="640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auto"/>
              </w:rPr>
              <w:t>Consolidated Statements of Capital for the years ended December 31, 2024, 2023 and 2022</w:t>
            </w:r>
          </w:p>
        </w:tc>
        <w:tc>
          <w:tcPr>
            <w:tcW w:w="1640" w:type="dxa"/>
            <w:vAlign w:val="bottom"/>
            <w:tcBorders>
              <w:top w:val="single" w:sz="8" w:color="auto"/>
            </w:tcBorders>
            <w:gridSpan w:val="5"/>
          </w:tcPr>
          <w:p>
            <w:pPr>
              <w:spacing w:after="0"/>
              <w:rPr>
                <w:sz w:val="17"/>
                <w:szCs w:val="17"/>
                <w:color w:val="auto"/>
              </w:rPr>
            </w:pP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74</w:t>
            </w:r>
          </w:p>
        </w:tc>
      </w:tr>
      <w:tr>
        <w:trPr>
          <w:trHeight w:val="203"/>
        </w:trPr>
        <w:tc>
          <w:tcPr>
            <w:tcW w:w="20" w:type="dxa"/>
            <w:vAlign w:val="bottom"/>
          </w:tcPr>
          <w:p>
            <w:pPr>
              <w:spacing w:after="0"/>
              <w:rPr>
                <w:sz w:val="17"/>
                <w:szCs w:val="17"/>
                <w:color w:val="auto"/>
              </w:rPr>
            </w:pPr>
          </w:p>
        </w:tc>
        <w:tc>
          <w:tcPr>
            <w:tcW w:w="67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2024, 2023 and 2022</w:t>
            </w:r>
          </w:p>
        </w:tc>
        <w:tc>
          <w:tcPr>
            <w:tcW w:w="420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75</w:t>
            </w:r>
          </w:p>
        </w:tc>
      </w:tr>
      <w:tr>
        <w:trPr>
          <w:trHeight w:val="203"/>
        </w:trPr>
        <w:tc>
          <w:tcPr>
            <w:tcW w:w="20" w:type="dxa"/>
            <w:vAlign w:val="bottom"/>
          </w:tcPr>
          <w:p>
            <w:pPr>
              <w:spacing w:after="0"/>
              <w:rPr>
                <w:sz w:val="17"/>
                <w:szCs w:val="17"/>
                <w:color w:val="auto"/>
              </w:rPr>
            </w:pPr>
          </w:p>
        </w:tc>
        <w:tc>
          <w:tcPr>
            <w:tcW w:w="109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78</w:t>
            </w:r>
          </w:p>
        </w:tc>
      </w:tr>
      <w:tr>
        <w:trPr>
          <w:trHeight w:val="237"/>
        </w:trPr>
        <w:tc>
          <w:tcPr>
            <w:tcW w:w="20" w:type="dxa"/>
            <w:vAlign w:val="bottom"/>
          </w:tcPr>
          <w:p>
            <w:pPr>
              <w:spacing w:after="0"/>
              <w:rPr>
                <w:sz w:val="20"/>
                <w:szCs w:val="20"/>
                <w:color w:val="auto"/>
              </w:rPr>
            </w:pPr>
          </w:p>
        </w:tc>
        <w:tc>
          <w:tcPr>
            <w:tcW w:w="30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Schedules</w:t>
            </w:r>
          </w:p>
        </w:tc>
        <w:tc>
          <w:tcPr>
            <w:tcW w:w="7860" w:type="dxa"/>
            <w:vAlign w:val="bottom"/>
            <w:gridSpan w:val="11"/>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10920" w:type="dxa"/>
            <w:vAlign w:val="bottom"/>
            <w:gridSpan w:val="13"/>
          </w:tcPr>
          <w:p>
            <w:pPr>
              <w:spacing w:after="0" w:line="189" w:lineRule="exact"/>
              <w:rPr>
                <w:sz w:val="20"/>
                <w:szCs w:val="20"/>
                <w:color w:val="auto"/>
              </w:rPr>
            </w:pPr>
            <w:r>
              <w:rPr>
                <w:rFonts w:ascii="Times New Roman" w:cs="Times New Roman" w:eastAsia="Times New Roman" w:hAnsi="Times New Roman"/>
                <w:sz w:val="17"/>
                <w:szCs w:val="17"/>
                <w:color w:val="auto"/>
              </w:rPr>
              <w:t>Schedule III- Real Estate and Accumulated Depreciation as of December 31, 2024</w:t>
            </w:r>
          </w:p>
        </w:tc>
        <w:tc>
          <w:tcPr>
            <w:tcW w:w="26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FF"/>
                <w:w w:val="93"/>
              </w:rPr>
              <w:t>126</w:t>
            </w:r>
          </w:p>
        </w:tc>
      </w:tr>
      <w:tr>
        <w:trPr>
          <w:trHeight w:val="20"/>
        </w:trPr>
        <w:tc>
          <w:tcPr>
            <w:tcW w:w="20" w:type="dxa"/>
            <w:vAlign w:val="bottom"/>
          </w:tcPr>
          <w:p>
            <w:pPr>
              <w:spacing w:after="0" w:line="20" w:lineRule="exact"/>
              <w:rPr>
                <w:sz w:val="1"/>
                <w:szCs w:val="1"/>
                <w:color w:val="auto"/>
              </w:rPr>
            </w:pPr>
          </w:p>
        </w:tc>
        <w:tc>
          <w:tcPr>
            <w:tcW w:w="5760" w:type="dxa"/>
            <w:vAlign w:val="bottom"/>
            <w:gridSpan w:val="5"/>
            <w:shd w:val="clear" w:color="auto" w:fill="000000"/>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1092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All other schedules are omitted because they are not required or the required information is shown in the financial statements or notes thereto.</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3420" w:firstLine="3431"/>
        <w:spacing w:after="0" w:line="549"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Stockholders and the Board of Directors of SL Green Realty Corp. </w:t>
      </w:r>
      <w:r>
        <w:rPr>
          <w:rFonts w:ascii="Times New Roman" w:cs="Times New Roman" w:eastAsia="Times New Roman" w:hAnsi="Times New Roman"/>
          <w:sz w:val="17"/>
          <w:szCs w:val="17"/>
          <w:b w:val="1"/>
          <w:bCs w:val="1"/>
          <w:color w:val="auto"/>
        </w:rPr>
        <w:t>Opinion on the Financial Statements</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SL Green Realty Corp. and subsidiaries (the "Company") as of December 31, 2024, the related consolidated statements of operations, comprehensive income (loss), equity, and cash flows, for the year ended December 31, 2024, and the related notes and the schedule listed in the Index at Item 15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and our report dated February 14, 2025, expressed an unqualified opinion on the Company's internal control over financial reporting.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7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15"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Impairment of Investments in Commercial Real Estate Properties and Investments in Unconsolidated Joint Ventures — Refer to Notes 2, 6 and 16 to the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17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Company’s investments in commercial real estate properties are evaluated for impairment quarterly, or whenever events or changes in circumstances indicate that the carrying amount may not be recoverable. The Company’s evaluation of the recoverability of commercial real estate properties involves the comparison of undiscounted future cash flows expected to be generated by each commercial real estate property over the Company’s estimated holding period, including the future terminal value, to the respective carrying amount. The Company also assesses their investments in unconsolidated joint ventures for recoverability, and if it is determined that a loss in value of the investment is other than temporary, the Company writes down the investment to its estimated fair value. The Company’s investments in unconsolidated joint ventures are evaluated for impairment based on each joint venture’s actual and projected cash flows. To the extent an impairment has occurred on either a commercial real estate property or investment in unconsolidated joint venture, the impairment loss will be measured as the excess of the carrying amount over the estimated fair value of the underlying asset. The Company’s recoverability assessment and estimated fair value, requires management to make significant estimates, including appropriate future market rental rates, capitalization rates, and discount rates.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Given the Company’s estimated future market rental rates, capitalization rates, and discount rates are significant assumptions made by management in their impairment assessments, performing audit procedures to evaluate the reasonableness of management’s recoverability assessment and estimated fair value that utilize these assumptions required a high degree of auditor judgment and an increased extent of effort, including the need to involve our fair value specialists.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74"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7"/>
          <w:szCs w:val="17"/>
          <w:color w:val="auto"/>
        </w:rPr>
        <w:t>Our audit procedures related to the Company's estimated future market rental rates, capitalization rates, and discount rates used in the evaluation of impairment, included the following, among others:</w:t>
      </w:r>
    </w:p>
    <w:p>
      <w:pPr>
        <w:spacing w:after="0" w:line="93" w:lineRule="exact"/>
        <w:rPr>
          <w:sz w:val="20"/>
          <w:szCs w:val="20"/>
          <w:color w:val="auto"/>
        </w:rPr>
      </w:pPr>
    </w:p>
    <w:p>
      <w:pPr>
        <w:ind w:left="640" w:right="40" w:hanging="320"/>
        <w:spacing w:after="0" w:line="277"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evaluation of the recoverability and estimated fair value of both commercial real estate properties and investments in unconsolidated joint ventures, including those over estimated future market rental rates, capitalization rates, and discount rates.</w:t>
      </w:r>
    </w:p>
    <w:p>
      <w:pPr>
        <w:spacing w:after="0" w:line="57" w:lineRule="exact"/>
        <w:rPr>
          <w:rFonts w:ascii="Times New Roman" w:cs="Times New Roman" w:eastAsia="Times New Roman" w:hAnsi="Times New Roman"/>
          <w:sz w:val="17"/>
          <w:szCs w:val="17"/>
          <w:color w:val="auto"/>
        </w:rPr>
      </w:pPr>
    </w:p>
    <w:p>
      <w:pPr>
        <w:ind w:left="640" w:right="620" w:hanging="320"/>
        <w:spacing w:after="0" w:line="297"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inquired with management regarding their determination of estimated future market rental rates, capitalization rates, and discount rates and evaluated the consistency in determining the rates with evidence obtained in other areas of our audit.</w:t>
      </w:r>
    </w:p>
    <w:p>
      <w:pPr>
        <w:spacing w:after="0" w:line="93" w:lineRule="exact"/>
        <w:rPr>
          <w:rFonts w:ascii="Times New Roman" w:cs="Times New Roman" w:eastAsia="Times New Roman" w:hAnsi="Times New Roman"/>
          <w:sz w:val="17"/>
          <w:szCs w:val="17"/>
          <w:color w:val="auto"/>
        </w:rPr>
      </w:pPr>
    </w:p>
    <w:p>
      <w:pPr>
        <w:ind w:left="640" w:right="160" w:hanging="320"/>
        <w:spacing w:after="0" w:line="297" w:lineRule="auto"/>
        <w:tabs>
          <w:tab w:leader="none" w:pos="6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evaluated the reasonableness of the Company's estimated future market rental rates, capitalization rates, and discount rates by:</w:t>
      </w:r>
    </w:p>
    <w:p>
      <w:pPr>
        <w:spacing w:after="0" w:line="93" w:lineRule="exact"/>
        <w:rPr>
          <w:rFonts w:ascii="Times New Roman" w:cs="Times New Roman" w:eastAsia="Times New Roman" w:hAnsi="Times New Roman"/>
          <w:sz w:val="17"/>
          <w:szCs w:val="17"/>
          <w:color w:val="auto"/>
        </w:rPr>
      </w:pPr>
    </w:p>
    <w:p>
      <w:pPr>
        <w:jc w:val="both"/>
        <w:ind w:left="1260" w:right="60" w:hanging="311"/>
        <w:spacing w:after="0" w:line="277" w:lineRule="auto"/>
        <w:tabs>
          <w:tab w:leader="none" w:pos="1256"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source information underlying the determination of the estimated future market rental rates, capitalization rates, and discount rates used by management by evaluating the reasonableness of these assumptions with independent market data, focusing on key factors, including geographical location, tenant composition, and property type.</w:t>
      </w:r>
    </w:p>
    <w:p>
      <w:pPr>
        <w:spacing w:after="0" w:line="57" w:lineRule="exact"/>
        <w:rPr>
          <w:rFonts w:ascii="Times New Roman" w:cs="Times New Roman" w:eastAsia="Times New Roman" w:hAnsi="Times New Roman"/>
          <w:sz w:val="17"/>
          <w:szCs w:val="17"/>
          <w:color w:val="auto"/>
        </w:rPr>
      </w:pPr>
    </w:p>
    <w:p>
      <w:pPr>
        <w:ind w:left="1260" w:right="340" w:hanging="311"/>
        <w:spacing w:after="0" w:line="297" w:lineRule="auto"/>
        <w:tabs>
          <w:tab w:leader="none" w:pos="1256"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Using comparable market transaction details to further evaluate management's selected estimated future market rental rates, capitalization rates, and discount rates, as applicable.</w:t>
      </w:r>
    </w:p>
    <w:p>
      <w:pPr>
        <w:spacing w:after="0" w:line="93" w:lineRule="exact"/>
        <w:rPr>
          <w:rFonts w:ascii="Times New Roman" w:cs="Times New Roman" w:eastAsia="Times New Roman" w:hAnsi="Times New Roman"/>
          <w:sz w:val="17"/>
          <w:szCs w:val="17"/>
          <w:color w:val="auto"/>
        </w:rPr>
      </w:pPr>
    </w:p>
    <w:p>
      <w:pPr>
        <w:ind w:left="1260" w:right="140" w:hanging="311"/>
        <w:spacing w:after="0" w:line="297" w:lineRule="auto"/>
        <w:tabs>
          <w:tab w:leader="none" w:pos="1256"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range of independent estimates of future market rental rates, capitalization rates, and discount rates and comparing those to the amounts selected by management.</w:t>
      </w:r>
    </w:p>
    <w:p>
      <w:pPr>
        <w:spacing w:after="0" w:line="89" w:lineRule="exact"/>
        <w:rPr>
          <w:sz w:val="20"/>
          <w:szCs w:val="20"/>
          <w:color w:val="auto"/>
        </w:rPr>
      </w:pPr>
    </w:p>
    <w:p>
      <w:pPr>
        <w:ind w:right="4040"/>
        <w:spacing w:after="0" w:line="4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Consolidation of Investments in Joint Ventures — Refer to Notes 2 and 6 to the financial statements </w:t>
      </w:r>
      <w:r>
        <w:rPr>
          <w:rFonts w:ascii="Times New Roman" w:cs="Times New Roman" w:eastAsia="Times New Roman" w:hAnsi="Times New Roman"/>
          <w:sz w:val="17"/>
          <w:szCs w:val="17"/>
          <w:i w:val="1"/>
          <w:iCs w:val="1"/>
          <w:color w:val="auto"/>
        </w:rPr>
        <w:t>Critical Audit Matter Description</w:t>
      </w:r>
    </w:p>
    <w:p>
      <w:pPr>
        <w:spacing w:after="0" w:line="262" w:lineRule="auto"/>
        <w:rPr>
          <w:sz w:val="20"/>
          <w:szCs w:val="20"/>
          <w:color w:val="auto"/>
        </w:rPr>
      </w:pPr>
      <w:r>
        <w:rPr>
          <w:rFonts w:ascii="Times New Roman" w:cs="Times New Roman" w:eastAsia="Times New Roman" w:hAnsi="Times New Roman"/>
          <w:sz w:val="17"/>
          <w:szCs w:val="17"/>
          <w:color w:val="auto"/>
        </w:rPr>
        <w:t>The Company assesses the accounting treatment for each joint venture upon formation, as well as any reconsideration event over the life of the investment, to determine whether consolidation is required. This assessment includes a review of each joint venture agreement to determine the rights provided to each party and whether those rights are protective or participating. The Company consolidates those joint ventures they control, or which are variable interest entities (each, a "VIE") where the Company is considered to be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 The Company accounts for their investments in unconsolidated joint ventures under the equity method of accounting in cases where they exercise significant influence over, but do not control, these entities and are not considered to be the primary beneficiary. The evaluation of these investments for consolidation, including determining whether the joint venture is a VIE, and if so, whether the Company is the primary beneficiary requires management to make significant judgments due to the complex nature of these investments.</w:t>
      </w:r>
    </w:p>
    <w:p>
      <w:pPr>
        <w:spacing w:after="0" w:line="73"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Given the Company's determination of consolidation is a significant judgement made by management for certain of these investments, performing audit procedures to evaluate the reasonableness of management's consolidation, including VIE and primary beneficiary assessment required a high degree of auditor judgment and an increased extent of effort.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74"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7"/>
          <w:szCs w:val="17"/>
          <w:color w:val="auto"/>
        </w:rPr>
        <w:t>Our audit procedures related to the Company's accounting determination for the consolidation of investments in joint ventures included the following, among others:</w:t>
      </w:r>
    </w:p>
    <w:p>
      <w:pPr>
        <w:spacing w:after="0" w:line="93" w:lineRule="exact"/>
        <w:rPr>
          <w:sz w:val="20"/>
          <w:szCs w:val="20"/>
          <w:color w:val="auto"/>
        </w:rPr>
      </w:pPr>
    </w:p>
    <w:p>
      <w:pPr>
        <w:ind w:left="640" w:right="320" w:hanging="320"/>
        <w:spacing w:after="0" w:line="297"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evaluation of the initial accounting assessment for consolidation and over management's evaluation of reconsideration events.</w:t>
      </w:r>
    </w:p>
    <w:p>
      <w:pPr>
        <w:spacing w:after="0" w:line="93" w:lineRule="exact"/>
        <w:rPr>
          <w:rFonts w:ascii="Times New Roman" w:cs="Times New Roman" w:eastAsia="Times New Roman" w:hAnsi="Times New Roman"/>
          <w:sz w:val="17"/>
          <w:szCs w:val="17"/>
          <w:color w:val="auto"/>
        </w:rPr>
      </w:pPr>
    </w:p>
    <w:p>
      <w:pPr>
        <w:ind w:left="640" w:right="240" w:hanging="320"/>
        <w:spacing w:after="0" w:line="297" w:lineRule="auto"/>
        <w:tabs>
          <w:tab w:leader="none" w:pos="6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selected a sample of unconsolidated and consolidated joint ventures and evaluated the appropriateness of the Company's accounting conclusions upon formation and reconsideration events by: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1260" w:right="320" w:hanging="311"/>
        <w:spacing w:after="0" w:line="297" w:lineRule="auto"/>
        <w:tabs>
          <w:tab w:leader="none" w:pos="125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Reading the joint venture agreements and other related documents and evaluating the structure and terms of the agreement, as well as any reconsideration events which took place during the year, to determine if the joint venture should be classified as a VIE.</w:t>
      </w:r>
    </w:p>
    <w:p>
      <w:pPr>
        <w:spacing w:after="0" w:line="93" w:lineRule="exact"/>
        <w:rPr>
          <w:rFonts w:ascii="Times New Roman" w:cs="Times New Roman" w:eastAsia="Times New Roman" w:hAnsi="Times New Roman"/>
          <w:sz w:val="17"/>
          <w:szCs w:val="17"/>
          <w:color w:val="auto"/>
        </w:rPr>
      </w:pPr>
    </w:p>
    <w:p>
      <w:pPr>
        <w:ind w:left="1260" w:hanging="311"/>
        <w:spacing w:after="0" w:line="270" w:lineRule="auto"/>
        <w:tabs>
          <w:tab w:leader="none" w:pos="125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entity is determined to be a VIE, considering whether the Company appropriately determined the primary beneficiary by evaluating the contractual arrangements of the entity to determine if the Company has the power to direct activities that most significantly impact the VIE's economic performance, and if the Company has the obligation to absorb losses of the entity or the right to receive benefits from the entity that could be significant to the VIE.</w:t>
      </w:r>
    </w:p>
    <w:p>
      <w:pPr>
        <w:spacing w:after="0" w:line="116" w:lineRule="exact"/>
        <w:rPr>
          <w:rFonts w:ascii="Times New Roman" w:cs="Times New Roman" w:eastAsia="Times New Roman" w:hAnsi="Times New Roman"/>
          <w:sz w:val="17"/>
          <w:szCs w:val="17"/>
          <w:color w:val="auto"/>
        </w:rPr>
      </w:pPr>
    </w:p>
    <w:p>
      <w:pPr>
        <w:ind w:left="1260" w:right="520" w:hanging="311"/>
        <w:spacing w:after="0" w:line="297" w:lineRule="auto"/>
        <w:tabs>
          <w:tab w:leader="none" w:pos="125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whether any reconsideration events occurred during the year that would result in consolidation or deconsolidation, and if so, verified that this occurred properly.</w:t>
      </w:r>
    </w:p>
    <w:p>
      <w:pPr>
        <w:spacing w:after="0" w:line="93" w:lineRule="exact"/>
        <w:rPr>
          <w:rFonts w:ascii="Times New Roman" w:cs="Times New Roman" w:eastAsia="Times New Roman" w:hAnsi="Times New Roman"/>
          <w:sz w:val="17"/>
          <w:szCs w:val="17"/>
          <w:color w:val="auto"/>
        </w:rPr>
      </w:pPr>
    </w:p>
    <w:p>
      <w:pPr>
        <w:ind w:left="1260" w:right="240" w:hanging="311"/>
        <w:spacing w:after="0" w:line="277" w:lineRule="auto"/>
        <w:tabs>
          <w:tab w:leader="none" w:pos="1256"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evidence obtained in other areas of the audit to determine if there were additional reconsideration events that had not been identified by the Company, including, among others, reading board minutes and agreeing the terms of certain joint venture agreements and side agreements, if any.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420" w:firstLine="3431"/>
        <w:spacing w:after="0" w:line="549"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Shareholders and the Board of Directors of SL Green Realty Corp. </w:t>
      </w:r>
      <w:r>
        <w:rPr>
          <w:rFonts w:ascii="Times New Roman" w:cs="Times New Roman" w:eastAsia="Times New Roman" w:hAnsi="Times New Roman"/>
          <w:sz w:val="17"/>
          <w:szCs w:val="17"/>
          <w:b w:val="1"/>
          <w:bCs w:val="1"/>
          <w:color w:val="auto"/>
        </w:rPr>
        <w:t>Opinion on the Financial Statements</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have audited, before the effects of the adjustments to retrospectively apply the change in accounting for segment information described in Note 21, the accompanying consolidated balance sheet of SL Green Realty Corp. (the Company) as of December 31, 2023, the related consolidated statements of operations, comprehensive (loss) income, equity and cash flows for each of the two years in the period ended December 31, 2023, and the related notes and financial statement schedule listed in the Index at Item 15(a)(2) (collectively referred to as the “consolidated financial statements”). The 2023 and 2022 consolidated financial statements, before the effects of the adjustments discussed in Note 21, are not presented herein. In our opinion, the consolidated financial statements, before the effects of the adjustments to retrospectively apply the change in method for accounting for segment information described in Note 21, present fairly, in all material respects, the financial position of the Company at December 31, 2023, and the results of its operations and its cash flows for each of the two years in the period ended December 31, 2023, in conformity with U.S. generally accepted accounting principles.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 in Accounting Principle</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were not engaged to audit, review, or apply any procedures to the adjustments to retrospectively apply the change in accounting for segment information described in Note 21 and, accordingly, we do not express an opinion or any other form of assurance about whether such adjustments are appropriate and have been properly applied. Those adjustments were audited by Deloitte &amp; Touche LLP.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from 1997 to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379"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58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3"/>
        </w:trPr>
        <w:tc>
          <w:tcPr>
            <w:tcW w:w="7200" w:type="dxa"/>
            <w:vAlign w:val="bottom"/>
            <w:tcBorders>
              <w:top w:val="single" w:sz="8" w:color="CCEEFF"/>
              <w:left w:val="single" w:sz="8" w:color="CCEEFF"/>
            </w:tcBorders>
            <w:gridSpan w:val="3"/>
            <w:shd w:val="clear" w:color="auto" w:fill="CCEEFF"/>
          </w:tcPr>
          <w:p>
            <w:pPr>
              <w:ind w:left="20"/>
              <w:spacing w:after="0" w:line="153"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440" w:type="dxa"/>
            <w:vAlign w:val="bottom"/>
            <w:tcBorders>
              <w:left w:val="single" w:sz="8" w:color="CCEEFF"/>
            </w:tcBorders>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5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Commercial real estate properties, at cost:</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interests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1,357,041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1,092,671</w:t>
            </w: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Building and improvements</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3,862,224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3,655,624</w:t>
            </w:r>
          </w:p>
        </w:tc>
        <w:tc>
          <w:tcPr>
            <w:tcW w:w="0" w:type="dxa"/>
            <w:vAlign w:val="bottom"/>
          </w:tcPr>
          <w:p>
            <w:pPr>
              <w:spacing w:after="0"/>
              <w:rPr>
                <w:sz w:val="1"/>
                <w:szCs w:val="1"/>
                <w:color w:val="auto"/>
              </w:rPr>
            </w:pPr>
          </w:p>
        </w:tc>
      </w:tr>
      <w:tr>
        <w:trPr>
          <w:trHeight w:val="210"/>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leasehold and improvements</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1,388,476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1,354,569</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6,607,741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6,102,864</w:t>
            </w:r>
          </w:p>
        </w:tc>
        <w:tc>
          <w:tcPr>
            <w:tcW w:w="0" w:type="dxa"/>
            <w:vAlign w:val="bottom"/>
          </w:tcPr>
          <w:p>
            <w:pPr>
              <w:spacing w:after="0"/>
              <w:rPr>
                <w:sz w:val="1"/>
                <w:szCs w:val="1"/>
                <w:color w:val="auto"/>
              </w:rPr>
            </w:pPr>
          </w:p>
        </w:tc>
      </w:tr>
      <w:tr>
        <w:trPr>
          <w:trHeight w:val="210"/>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(2,126,081)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(1,968,004)</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4,481,660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4,134,860</w:t>
            </w: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184,294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221,823</w:t>
            </w: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147,344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113,696</w:t>
            </w: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22,812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44,055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33,270</w:t>
            </w: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26,865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12,168</w:t>
            </w: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266,428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264,653</w:t>
            </w:r>
          </w:p>
        </w:tc>
        <w:tc>
          <w:tcPr>
            <w:tcW w:w="0" w:type="dxa"/>
            <w:vAlign w:val="bottom"/>
          </w:tcPr>
          <w:p>
            <w:pPr>
              <w:spacing w:after="0"/>
              <w:rPr>
                <w:sz w:val="1"/>
                <w:szCs w:val="1"/>
                <w:color w:val="auto"/>
              </w:rPr>
            </w:pPr>
          </w:p>
        </w:tc>
      </w:tr>
      <w:tr>
        <w:trPr>
          <w:trHeight w:val="158"/>
        </w:trPr>
        <w:tc>
          <w:tcPr>
            <w:tcW w:w="7200" w:type="dxa"/>
            <w:vAlign w:val="bottom"/>
            <w:tcBorders>
              <w:left w:val="single" w:sz="8" w:color="CCEEFF"/>
            </w:tcBorders>
            <w:gridSpan w:val="3"/>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Debt and preferred equity investments, net of discounts and deferred origination fees of $1,618 and $1,630 and</w:t>
            </w:r>
          </w:p>
        </w:tc>
        <w:tc>
          <w:tcPr>
            <w:tcW w:w="18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303,726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346,745</w:t>
            </w:r>
          </w:p>
        </w:tc>
        <w:tc>
          <w:tcPr>
            <w:tcW w:w="0" w:type="dxa"/>
            <w:vAlign w:val="bottom"/>
          </w:tcPr>
          <w:p>
            <w:pPr>
              <w:spacing w:after="0"/>
              <w:rPr>
                <w:sz w:val="1"/>
                <w:szCs w:val="1"/>
                <w:color w:val="auto"/>
              </w:rPr>
            </w:pPr>
          </w:p>
        </w:tc>
      </w:tr>
      <w:tr>
        <w:trPr>
          <w:trHeight w:val="127"/>
        </w:trPr>
        <w:tc>
          <w:tcPr>
            <w:tcW w:w="7200" w:type="dxa"/>
            <w:vAlign w:val="bottom"/>
            <w:tcBorders>
              <w:lef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allowances of $13,520 and $13,520 in 2024 and 2023, respectively</w:t>
            </w:r>
          </w:p>
        </w:tc>
        <w:tc>
          <w:tcPr>
            <w:tcW w:w="180" w:type="dxa"/>
            <w:vAlign w:val="bottom"/>
            <w:shd w:val="clear" w:color="auto" w:fill="CCEEFF"/>
          </w:tcPr>
          <w:p>
            <w:pPr>
              <w:spacing w:after="0"/>
              <w:rPr>
                <w:sz w:val="11"/>
                <w:szCs w:val="11"/>
                <w:color w:val="auto"/>
              </w:rPr>
            </w:pPr>
          </w:p>
        </w:tc>
        <w:tc>
          <w:tcPr>
            <w:tcW w:w="16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200" w:type="dxa"/>
            <w:vAlign w:val="bottom"/>
            <w:tcBorders>
              <w:left w:val="single" w:sz="8" w:color="CCEEFF"/>
            </w:tcBorders>
            <w:gridSpan w:val="3"/>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2,690,138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2,983,313</w:t>
            </w: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costs, net</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117,132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111,463</w:t>
            </w: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865,639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885,929</w:t>
            </w:r>
          </w:p>
        </w:tc>
        <w:tc>
          <w:tcPr>
            <w:tcW w:w="0" w:type="dxa"/>
            <w:vAlign w:val="bottom"/>
          </w:tcPr>
          <w:p>
            <w:pPr>
              <w:spacing w:after="0"/>
              <w:rPr>
                <w:sz w:val="1"/>
                <w:szCs w:val="1"/>
                <w:color w:val="auto"/>
              </w:rPr>
            </w:pPr>
          </w:p>
        </w:tc>
      </w:tr>
      <w:tr>
        <w:trPr>
          <w:trHeight w:val="158"/>
        </w:trPr>
        <w:tc>
          <w:tcPr>
            <w:tcW w:w="7200" w:type="dxa"/>
            <w:vAlign w:val="bottom"/>
            <w:tcBorders>
              <w:left w:val="single" w:sz="8" w:color="CCEEFF"/>
            </w:tcBorders>
            <w:gridSpan w:val="3"/>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Real estate loans held by consolidated securitization vehicles (includes $584,134 and $— at fair value as of</w:t>
            </w:r>
          </w:p>
        </w:tc>
        <w:tc>
          <w:tcPr>
            <w:tcW w:w="18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709,095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 and December 31, 2023, respectively)</w:t>
            </w: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610,911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413,670</w:t>
            </w:r>
          </w:p>
        </w:tc>
        <w:tc>
          <w:tcPr>
            <w:tcW w:w="0" w:type="dxa"/>
            <w:vAlign w:val="bottom"/>
          </w:tcPr>
          <w:p>
            <w:pPr>
              <w:spacing w:after="0"/>
              <w:rPr>
                <w:sz w:val="1"/>
                <w:szCs w:val="1"/>
                <w:color w:val="auto"/>
              </w:rPr>
            </w:pPr>
          </w:p>
        </w:tc>
      </w:tr>
      <w:tr>
        <w:trPr>
          <w:trHeight w:val="229"/>
        </w:trPr>
        <w:tc>
          <w:tcPr>
            <w:tcW w:w="7200" w:type="dxa"/>
            <w:vAlign w:val="bottom"/>
            <w:tcBorders>
              <w:left w:val="single" w:sz="8" w:color="CCEEFF"/>
              <w:bottom w:val="single" w:sz="8" w:color="CCEEFF"/>
            </w:tcBorders>
            <w:gridSpan w:val="3"/>
            <w:shd w:val="clear" w:color="auto" w:fill="CCEEFF"/>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0"/>
                <w:szCs w:val="20"/>
                <w:color w:val="auto"/>
                <w:vertAlign w:val="superscript"/>
              </w:rPr>
              <w:t>(1)</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10,470,099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9,531,181</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bottom w:val="single" w:sz="8" w:color="CCEEFF"/>
            </w:tcBorders>
            <w:gridSpan w:val="2"/>
            <w:vMerge w:val="restart"/>
          </w:tcPr>
          <w:p>
            <w:pPr>
              <w:ind w:left="20"/>
              <w:spacing w:after="0" w:line="157" w:lineRule="exact"/>
              <w:rPr>
                <w:sz w:val="20"/>
                <w:szCs w:val="20"/>
                <w:color w:val="auto"/>
              </w:rPr>
            </w:pPr>
            <w:r>
              <w:rPr>
                <w:rFonts w:ascii="Times New Roman" w:cs="Times New Roman" w:eastAsia="Times New Roman" w:hAnsi="Times New Roman"/>
                <w:sz w:val="16"/>
                <w:szCs w:val="16"/>
                <w:b w:val="1"/>
                <w:bCs w:val="1"/>
                <w:color w:val="auto"/>
                <w:w w:val="96"/>
              </w:rPr>
              <w:t>Liabilities</w:t>
            </w:r>
          </w:p>
        </w:tc>
        <w:tc>
          <w:tcPr>
            <w:tcW w:w="65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700" w:type="dxa"/>
            <w:vAlign w:val="bottom"/>
            <w:tcBorders>
              <w:bottom w:val="single" w:sz="8" w:color="auto"/>
            </w:tcBorders>
            <w:gridSpan w:val="2"/>
            <w:vMerge w:val="continue"/>
          </w:tcPr>
          <w:p>
            <w:pPr>
              <w:spacing w:after="0"/>
              <w:rPr>
                <w:sz w:val="10"/>
                <w:szCs w:val="10"/>
                <w:color w:val="auto"/>
              </w:rPr>
            </w:pPr>
          </w:p>
        </w:tc>
        <w:tc>
          <w:tcPr>
            <w:tcW w:w="65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Mortgages and other loans payable, net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1,944,635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1,491,319</w:t>
            </w: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Revolving credit facility, net</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316,240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554,752</w:t>
            </w: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term loans, net</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1,146,010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1,244,881</w:t>
            </w: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Unsecured notes, net</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99,897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99,795</w:t>
            </w: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16,527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17,930</w:t>
            </w:r>
          </w:p>
        </w:tc>
        <w:tc>
          <w:tcPr>
            <w:tcW w:w="0" w:type="dxa"/>
            <w:vAlign w:val="bottom"/>
          </w:tcPr>
          <w:p>
            <w:pPr>
              <w:spacing w:after="0"/>
              <w:rPr>
                <w:sz w:val="1"/>
                <w:szCs w:val="1"/>
                <w:color w:val="auto"/>
              </w:rPr>
            </w:pPr>
          </w:p>
        </w:tc>
      </w:tr>
      <w:tr>
        <w:trPr>
          <w:trHeight w:val="157"/>
        </w:trPr>
        <w:tc>
          <w:tcPr>
            <w:tcW w:w="72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color w:val="auto"/>
              </w:rPr>
              <w:t>Senior obligations of consolidated securitization vehicles (includes $567,487 and $— at fair value as of</w:t>
            </w:r>
          </w:p>
        </w:tc>
        <w:tc>
          <w:tcPr>
            <w:tcW w:w="180" w:type="dxa"/>
            <w:vAlign w:val="bottom"/>
          </w:tcPr>
          <w:p>
            <w:pPr>
              <w:spacing w:after="0"/>
              <w:rPr>
                <w:sz w:val="13"/>
                <w:szCs w:val="13"/>
                <w:color w:val="auto"/>
              </w:rPr>
            </w:pPr>
          </w:p>
        </w:tc>
        <w:tc>
          <w:tcPr>
            <w:tcW w:w="1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590,131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December 31, 2024 and December 31, 2023, respectively)</w:t>
            </w:r>
          </w:p>
        </w:tc>
        <w:tc>
          <w:tcPr>
            <w:tcW w:w="1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200" w:type="dxa"/>
            <w:vAlign w:val="bottom"/>
            <w:tcBorders>
              <w:left w:val="single" w:sz="8" w:color="CCEEFF"/>
            </w:tcBorders>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w w:val="98"/>
              </w:rPr>
              <w:t>Other liabilities (includes $251,096 and $259,392 at fair value as of December 31, 2024 and December 31, 2023,</w:t>
            </w:r>
          </w:p>
        </w:tc>
        <w:tc>
          <w:tcPr>
            <w:tcW w:w="18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414,153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471,401</w:t>
            </w:r>
          </w:p>
        </w:tc>
        <w:tc>
          <w:tcPr>
            <w:tcW w:w="0" w:type="dxa"/>
            <w:vAlign w:val="bottom"/>
          </w:tcPr>
          <w:p>
            <w:pPr>
              <w:spacing w:after="0"/>
              <w:rPr>
                <w:sz w:val="1"/>
                <w:szCs w:val="1"/>
                <w:color w:val="auto"/>
              </w:rPr>
            </w:pPr>
          </w:p>
        </w:tc>
      </w:tr>
      <w:tr>
        <w:trPr>
          <w:trHeight w:val="210"/>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122,674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153,164</w:t>
            </w: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164,887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134,053</w:t>
            </w: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Lease liability - financing leases</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106,853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105,531</w:t>
            </w: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810,989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827,692</w:t>
            </w:r>
          </w:p>
        </w:tc>
        <w:tc>
          <w:tcPr>
            <w:tcW w:w="0" w:type="dxa"/>
            <w:vAlign w:val="bottom"/>
          </w:tcPr>
          <w:p>
            <w:pPr>
              <w:spacing w:after="0"/>
              <w:rPr>
                <w:sz w:val="1"/>
                <w:szCs w:val="1"/>
                <w:color w:val="auto"/>
              </w:rPr>
            </w:pPr>
          </w:p>
        </w:tc>
      </w:tr>
      <w:tr>
        <w:trPr>
          <w:trHeight w:val="209"/>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Dividend and distributions payable</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20,280</w:t>
            </w:r>
          </w:p>
        </w:tc>
        <w:tc>
          <w:tcPr>
            <w:tcW w:w="0" w:type="dxa"/>
            <w:vAlign w:val="bottom"/>
          </w:tcPr>
          <w:p>
            <w:pPr>
              <w:spacing w:after="0"/>
              <w:rPr>
                <w:sz w:val="1"/>
                <w:szCs w:val="1"/>
                <w:color w:val="auto"/>
              </w:rPr>
            </w:pPr>
          </w:p>
        </w:tc>
      </w:tr>
      <w:tr>
        <w:trPr>
          <w:trHeight w:val="211"/>
        </w:trPr>
        <w:tc>
          <w:tcPr>
            <w:tcW w:w="72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49,906</w:t>
            </w:r>
          </w:p>
        </w:tc>
        <w:tc>
          <w:tcPr>
            <w:tcW w:w="0" w:type="dxa"/>
            <w:vAlign w:val="bottom"/>
          </w:tcPr>
          <w:p>
            <w:pPr>
              <w:spacing w:after="0"/>
              <w:rPr>
                <w:sz w:val="1"/>
                <w:szCs w:val="1"/>
                <w:color w:val="auto"/>
              </w:rPr>
            </w:pPr>
          </w:p>
        </w:tc>
      </w:tr>
      <w:tr>
        <w:trPr>
          <w:trHeight w:val="209"/>
        </w:trPr>
        <w:tc>
          <w:tcPr>
            <w:tcW w:w="72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Junior subordinated deferrable interest debentures held by trusts that issued trust preferred securities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4"/>
        </w:trPr>
        <w:tc>
          <w:tcPr>
            <w:tcW w:w="7200" w:type="dxa"/>
            <w:vAlign w:val="bottom"/>
            <w:tcBorders>
              <w:left w:val="single" w:sz="8" w:color="CCEEFF"/>
            </w:tcBorders>
            <w:gridSpan w:val="3"/>
            <w:shd w:val="clear" w:color="auto" w:fill="CCEEFF"/>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Total liabilities </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5,915,143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5,270,704</w:t>
            </w:r>
          </w:p>
        </w:tc>
        <w:tc>
          <w:tcPr>
            <w:tcW w:w="0" w:type="dxa"/>
            <w:vAlign w:val="bottom"/>
          </w:tcPr>
          <w:p>
            <w:pPr>
              <w:spacing w:after="0"/>
              <w:rPr>
                <w:sz w:val="1"/>
                <w:szCs w:val="1"/>
                <w:color w:val="auto"/>
              </w:rPr>
            </w:pPr>
          </w:p>
        </w:tc>
      </w:tr>
      <w:tr>
        <w:trPr>
          <w:trHeight w:val="206"/>
        </w:trPr>
        <w:tc>
          <w:tcPr>
            <w:tcW w:w="7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20)</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58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7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 in Operating Partnership</w:t>
            </w: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288,941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238,051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Preferred units and redeemable equity</w:t>
            </w:r>
          </w:p>
        </w:tc>
        <w:tc>
          <w:tcPr>
            <w:tcW w:w="18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196,064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166,501</w:t>
            </w: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w w:val="95"/>
              </w:rPr>
              <w:t>Equity</w:t>
            </w:r>
          </w:p>
        </w:tc>
        <w:tc>
          <w:tcPr>
            <w:tcW w:w="67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SL Green stockholders' equity:</w:t>
            </w: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718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Series I Preferred Stock, $0.01 par value, $25.00 liquidation preference, 9,200 issued and outstanding at both</w:t>
            </w:r>
          </w:p>
        </w:tc>
        <w:tc>
          <w:tcPr>
            <w:tcW w:w="18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221,932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221,932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 and 2023</w:t>
            </w: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1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Common stock, $0.01 par value, 160,000 shares authorized and 71,097 and 65,786 issued and outstanding at</w:t>
            </w:r>
          </w:p>
        </w:tc>
        <w:tc>
          <w:tcPr>
            <w:tcW w:w="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18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December 31, 2024 and 2023, respectively (including 0 and 1,060 shares held in treasury at December 31, 2024</w:t>
            </w:r>
          </w:p>
        </w:tc>
        <w:tc>
          <w:tcPr>
            <w:tcW w:w="180" w:type="dxa"/>
            <w:vAlign w:val="bottom"/>
          </w:tcPr>
          <w:p>
            <w:pPr>
              <w:spacing w:after="0"/>
              <w:rPr>
                <w:sz w:val="13"/>
                <w:szCs w:val="13"/>
                <w:color w:val="auto"/>
              </w:rPr>
            </w:pPr>
          </w:p>
        </w:tc>
        <w:tc>
          <w:tcPr>
            <w:tcW w:w="160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711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2023, respectively)</w:t>
            </w:r>
          </w:p>
        </w:tc>
        <w:tc>
          <w:tcPr>
            <w:tcW w:w="18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paid-in-capital</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4,159,562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3,826,452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Treasury stock at cost</w:t>
            </w:r>
          </w:p>
        </w:tc>
        <w:tc>
          <w:tcPr>
            <w:tcW w:w="18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(128,655)</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18,196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7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Retained deficit</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(449,101)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(151,551)</w:t>
            </w: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SL Green stockholders' equity</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3,951,300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3,786,315</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71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118,651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69,610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equity</w:t>
            </w: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4,069,951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3,855,925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10,470,099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9,531,181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left="20" w:firstLine="2"/>
        <w:spacing w:after="0" w:line="217" w:lineRule="auto"/>
        <w:tabs>
          <w:tab w:leader="none" w:pos="24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consolidated balance sheets include assets and liabilities of consolidated variable interest entities ("VIEs"). See Note 2. The consolidated balance sheets include the following amounts related to our consolidated VIEs, excluding the Operating Partnership: $236.7 million and $41.2 million of land, $159.1 million and $40.5 million of building and improvements, $— million and $— million of building and leasehold improvements, $— million and $— million of right of use assets, $4.1 million and $5.4 million of accumulated depreciation, 709.1 million and — million of real estate loans held by consolidated securitization vehicles, $830.3 million and $676.9 million of other assets included in other line items, $357.9 million and $50.0 million of real estate debt, net, $1.1 million and $0.9 million of accrued interest payable, $— million and $— million of lease liabilities, 590.1 million and — million of senior obligations of consolidated securitization vehicles and $324.8 million and $306.5 million of other liabilities included in other line items as of December 31, 2024 and December 31, 2023, respectively.</w:t>
      </w:r>
    </w:p>
    <w:p>
      <w:pPr>
        <w:spacing w:after="0" w:line="25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3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revenue, net</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605,999</w:t>
            </w:r>
          </w:p>
        </w:tc>
        <w:tc>
          <w:tcPr>
            <w:tcW w:w="4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683,335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671,500</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133,214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89,048</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24,353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81,113</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from real estate loans held by consolidated securitization vehicles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18,980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103,726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77,793</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886,272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913,710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919,454</w:t>
            </w:r>
          </w:p>
        </w:tc>
        <w:tc>
          <w:tcPr>
            <w:tcW w:w="0" w:type="dxa"/>
            <w:vAlign w:val="bottom"/>
          </w:tcPr>
          <w:p>
            <w:pPr>
              <w:spacing w:after="0"/>
              <w:rPr>
                <w:sz w:val="1"/>
                <w:szCs w:val="1"/>
                <w:color w:val="auto"/>
              </w:rPr>
            </w:pPr>
          </w:p>
        </w:tc>
      </w:tr>
      <w:tr>
        <w:trPr>
          <w:trHeight w:val="18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Operating expenses, including related party expenses of $7 in 2024, $5 in 2023 and $5,701 in</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189,598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196,696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174,063</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128,187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138,228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24,423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26,943</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111,739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89,207</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147,220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89,473</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6,619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tax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senior obligations of consolidated securitization vehicles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14,634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207,443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216,167</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85,187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111,389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93,798</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916,181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990,296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838,752</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net loss from unconsolidated joint ventures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(179,695)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net gain (loss) on sale of interest in unconsolidated joint venture/real estate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208,144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88,966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sale of real estate,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(84,485)</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(104,071)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early extinguishment of debt</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43,762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30,222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(76,303)</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in the Operating Partnership</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Preferred units distributions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(8,643)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(6,443)</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SL Green</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22,010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(564,559)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(78,074)</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Perpetual preferred stock dividends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(14,950)</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SL Green common stockholders</w:t>
            </w: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7,060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(579,509)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0.08</w:t>
            </w:r>
          </w:p>
        </w:tc>
        <w:tc>
          <w:tcPr>
            <w:tcW w:w="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0.08</w:t>
            </w:r>
          </w:p>
        </w:tc>
        <w:tc>
          <w:tcPr>
            <w:tcW w:w="4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50"/>
        </w:trPr>
        <w:tc>
          <w:tcPr>
            <w:tcW w:w="6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shares outstanding</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65,062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63,917</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shares and common share equivalents outstanding</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65,688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67,929</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3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30,222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(599,337)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(76,303)</w:t>
            </w:r>
          </w:p>
        </w:tc>
        <w:tc>
          <w:tcPr>
            <w:tcW w:w="0" w:type="dxa"/>
            <w:vAlign w:val="bottom"/>
          </w:tcPr>
          <w:p>
            <w:pPr>
              <w:spacing w:after="0"/>
              <w:rPr>
                <w:sz w:val="1"/>
                <w:szCs w:val="1"/>
                <w:color w:val="auto"/>
              </w:rPr>
            </w:pPr>
          </w:p>
        </w:tc>
      </w:tr>
      <w:tr>
        <w:trPr>
          <w:trHeight w:val="208"/>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3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Increase (decrease) in unrealized value of derivative instruments, including SL Green's share of</w:t>
            </w:r>
          </w:p>
        </w:tc>
        <w:tc>
          <w:tcPr>
            <w:tcW w:w="10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103,629</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joint venture derivative instruments</w:t>
            </w:r>
          </w:p>
        </w:tc>
        <w:tc>
          <w:tcPr>
            <w:tcW w:w="10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Increase (decrease) in unrealized value of marketable securities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870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102,189</w:t>
            </w:r>
          </w:p>
        </w:tc>
        <w:tc>
          <w:tcPr>
            <w:tcW w:w="0" w:type="dxa"/>
            <w:vAlign w:val="bottom"/>
          </w:tcPr>
          <w:p>
            <w:pPr>
              <w:spacing w:after="0"/>
              <w:rPr>
                <w:sz w:val="1"/>
                <w:szCs w:val="1"/>
                <w:color w:val="auto"/>
              </w:rPr>
            </w:pP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00" w:type="dxa"/>
            <w:vAlign w:val="bottom"/>
          </w:tcPr>
          <w:p>
            <w:pPr>
              <w:spacing w:after="0"/>
              <w:rPr>
                <w:sz w:val="17"/>
                <w:szCs w:val="17"/>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31,092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(633,424)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25,886</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 and preferred units distributions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attributable to noncontrolling interests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SL Green</w:t>
            </w:r>
          </w:p>
        </w:tc>
        <w:tc>
          <w:tcPr>
            <w:tcW w:w="100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22,729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(596,686)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00" w:lineRule="exact"/>
        <w:rPr>
          <w:sz w:val="20"/>
          <w:szCs w:val="20"/>
          <w:color w:val="auto"/>
        </w:rPr>
      </w:pPr>
    </w:p>
    <w:p>
      <w:pPr>
        <w:spacing w:after="0" w:line="27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SL Green Realty Corp.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29845</wp:posOffset>
            </wp:positionV>
            <wp:extent cx="39135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913505" cy="8255"/>
                    </a:xfrm>
                    <a:prstGeom prst="rect">
                      <a:avLst/>
                    </a:prstGeom>
                    <a:noFill/>
                  </pic:spPr>
                </pic:pic>
              </a:graphicData>
            </a:graphic>
          </wp:anchor>
        </w:drawing>
      </w:r>
    </w:p>
    <w:p>
      <w:pPr>
        <w:spacing w:after="0" w:line="5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2"/>
          <w:szCs w:val="1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24765</wp:posOffset>
            </wp:positionV>
            <wp:extent cx="8496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Series I</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Par</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10"/>
                <w:szCs w:val="10"/>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80" w:type="dxa"/>
            <w:vAlign w:val="bottom"/>
          </w:tcPr>
          <w:p>
            <w:pPr>
              <w:spacing w:after="0"/>
              <w:rPr>
                <w:sz w:val="10"/>
                <w:szCs w:val="1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Accumulated Other</w:t>
            </w:r>
          </w:p>
        </w:tc>
        <w:tc>
          <w:tcPr>
            <w:tcW w:w="140" w:type="dxa"/>
            <w:vAlign w:val="bottom"/>
          </w:tcPr>
          <w:p>
            <w:pPr>
              <w:spacing w:after="0"/>
              <w:rPr>
                <w:sz w:val="10"/>
                <w:szCs w:val="10"/>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0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0"/>
                <w:szCs w:val="10"/>
                <w:b w:val="1"/>
                <w:bCs w:val="1"/>
                <w:color w:val="auto"/>
              </w:rPr>
              <w:t>Preferred</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0"/>
                <w:szCs w:val="10"/>
                <w:b w:val="1"/>
                <w:bCs w:val="1"/>
                <w:color w:val="auto"/>
              </w:rPr>
              <w:t>Paid-</w:t>
            </w: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40" w:type="dxa"/>
            <w:vAlign w:val="bottom"/>
          </w:tcPr>
          <w:p>
            <w:pPr>
              <w:spacing w:after="0"/>
              <w:rPr>
                <w:sz w:val="9"/>
                <w:szCs w:val="9"/>
                <w:color w:val="auto"/>
              </w:rPr>
            </w:pPr>
          </w:p>
        </w:tc>
        <w:tc>
          <w:tcPr>
            <w:tcW w:w="78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0"/>
                <w:szCs w:val="10"/>
                <w:b w:val="1"/>
                <w:bCs w:val="1"/>
                <w:color w:val="auto"/>
              </w:rPr>
              <w:t>Earnings</w:t>
            </w: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vMerge w:val="restart"/>
          </w:tcPr>
          <w:p>
            <w:pPr>
              <w:jc w:val="right"/>
              <w:ind w:right="219"/>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50"/>
        </w:trPr>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Value</w:t>
            </w:r>
          </w:p>
        </w:tc>
        <w:tc>
          <w:tcPr>
            <w:tcW w:w="12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In-Capital</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80" w:type="dxa"/>
            <w:vAlign w:val="bottom"/>
          </w:tcPr>
          <w:p>
            <w:pPr>
              <w:spacing w:after="0"/>
              <w:rPr>
                <w:sz w:val="13"/>
                <w:szCs w:val="13"/>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6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64,105</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3,739,409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(126,160)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(46,758)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975,781</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13,377</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4,778,253</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(78,074)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(76,952)</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Acquisition of subsidiary interest from noncontrolling interest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(29,817)</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96,362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96,362</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Perpetual preferred stock dividends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DRSPP proceeds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Measurement adjustment for redeemable noncontrolling</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39,974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39,974</w:t>
            </w:r>
          </w:p>
        </w:tc>
        <w:tc>
          <w:tcPr>
            <w:tcW w:w="0" w:type="dxa"/>
            <w:vAlign w:val="bottom"/>
          </w:tcPr>
          <w:p>
            <w:pPr>
              <w:spacing w:after="0"/>
              <w:rPr>
                <w:sz w:val="1"/>
                <w:szCs w:val="1"/>
                <w:color w:val="auto"/>
              </w:rPr>
            </w:pPr>
          </w:p>
        </w:tc>
      </w:tr>
      <w:tr>
        <w:trPr>
          <w:trHeight w:val="118"/>
        </w:trPr>
        <w:tc>
          <w:tcPr>
            <w:tcW w:w="32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Deferred compensation plan and stock awards, net of</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forfeitures and tax withholdings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32,034</w:t>
            </w:r>
          </w:p>
        </w:tc>
        <w:tc>
          <w:tcPr>
            <w:tcW w:w="0" w:type="dxa"/>
            <w:vAlign w:val="bottom"/>
          </w:tcPr>
          <w:p>
            <w:pPr>
              <w:spacing w:after="0"/>
              <w:rPr>
                <w:sz w:val="1"/>
                <w:szCs w:val="1"/>
                <w:color w:val="auto"/>
              </w:rPr>
            </w:pPr>
          </w:p>
        </w:tc>
      </w:tr>
      <w:tr>
        <w:trPr>
          <w:trHeight w:val="17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(114,979)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(151,197)</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Contributions to consolidated joint venture interests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52,164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52,164</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(4,699)</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special dividend paid in stock</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163,115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160,620</w:t>
            </w: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Cash distributions declared ($3.6896 per common share, none</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of which represented a return of capital for federal income tax</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purposes)</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(235,395)</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(235,395)</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64,380</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3,790,358</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(128,655)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49,604</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651,138</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61,889</w:t>
            </w:r>
          </w:p>
        </w:tc>
        <w:tc>
          <w:tcPr>
            <w:tcW w:w="120" w:type="dxa"/>
            <w:vAlign w:val="bottom"/>
          </w:tcPr>
          <w:p>
            <w:pPr>
              <w:spacing w:after="0"/>
              <w:rPr>
                <w:sz w:val="13"/>
                <w:szCs w:val="13"/>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4,646,922</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(564,559)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(569,127)</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(32,127)</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Perpetual preferred stock dividends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DRSPP proceeds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Measurement adjustment for redeemable noncontrolling</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(15,486)</w:t>
            </w:r>
          </w:p>
        </w:tc>
        <w:tc>
          <w:tcPr>
            <w:tcW w:w="0" w:type="dxa"/>
            <w:vAlign w:val="bottom"/>
          </w:tcPr>
          <w:p>
            <w:pPr>
              <w:spacing w:after="0"/>
              <w:rPr>
                <w:sz w:val="1"/>
                <w:szCs w:val="1"/>
                <w:color w:val="auto"/>
              </w:rPr>
            </w:pPr>
          </w:p>
        </w:tc>
      </w:tr>
      <w:tr>
        <w:trPr>
          <w:trHeight w:val="118"/>
        </w:trPr>
        <w:tc>
          <w:tcPr>
            <w:tcW w:w="32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Deferred compensation plan and stock awards, net of</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forfeitures and tax withholdings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35,573</w:t>
            </w:r>
          </w:p>
        </w:tc>
        <w:tc>
          <w:tcPr>
            <w:tcW w:w="0" w:type="dxa"/>
            <w:vAlign w:val="bottom"/>
          </w:tcPr>
          <w:p>
            <w:pPr>
              <w:spacing w:after="0"/>
              <w:rPr>
                <w:sz w:val="1"/>
                <w:szCs w:val="1"/>
                <w:color w:val="auto"/>
              </w:rPr>
            </w:pPr>
          </w:p>
        </w:tc>
      </w:tr>
      <w:tr>
        <w:trPr>
          <w:trHeight w:val="17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Contributions to consolidated joint venture interests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15,066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15,066</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(2,777)</w:t>
            </w: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Cash distributions declared ($3.2288 per common share, none</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2"/>
                <w:szCs w:val="12"/>
                <w:color w:val="auto"/>
              </w:rPr>
              <w:t>of which represented a return of capital for federal income tax</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purposes)</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(207,694)</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(207,694)</w:t>
            </w:r>
          </w:p>
        </w:tc>
        <w:tc>
          <w:tcPr>
            <w:tcW w:w="0" w:type="dxa"/>
            <w:vAlign w:val="bottom"/>
          </w:tcPr>
          <w:p>
            <w:pPr>
              <w:spacing w:after="0"/>
              <w:rPr>
                <w:sz w:val="1"/>
                <w:szCs w:val="1"/>
                <w:color w:val="auto"/>
              </w:rPr>
            </w:pPr>
          </w:p>
        </w:tc>
      </w:tr>
      <w:tr>
        <w:trPr>
          <w:trHeight w:val="158"/>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64,726</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3,826,452</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(128,655)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17,477</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(151,551)</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69,610</w:t>
            </w:r>
          </w:p>
        </w:tc>
        <w:tc>
          <w:tcPr>
            <w:tcW w:w="120" w:type="dxa"/>
            <w:vAlign w:val="bottom"/>
          </w:tcPr>
          <w:p>
            <w:pPr>
              <w:spacing w:after="0"/>
              <w:rPr>
                <w:sz w:val="13"/>
                <w:szCs w:val="13"/>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3,855,925</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22,010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21,082</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Acquisition of subsidiary interest from noncontrolling interest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(9,216)</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Perpetual preferred stock dividends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DRSPP proceeds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52,308</w:t>
            </w:r>
          </w:p>
        </w:tc>
        <w:tc>
          <w:tcPr>
            <w:tcW w:w="0" w:type="dxa"/>
            <w:vAlign w:val="bottom"/>
          </w:tcPr>
          <w:p>
            <w:pPr>
              <w:spacing w:after="0"/>
              <w:rPr>
                <w:sz w:val="1"/>
                <w:szCs w:val="1"/>
                <w:color w:val="auto"/>
              </w:rPr>
            </w:pPr>
          </w:p>
        </w:tc>
      </w:tr>
      <w:tr>
        <w:trPr>
          <w:trHeight w:val="118"/>
        </w:trPr>
        <w:tc>
          <w:tcPr>
            <w:tcW w:w="32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Conversion of units in the Operating Partnership to common</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6"/>
        </w:trPr>
        <w:tc>
          <w:tcPr>
            <w:tcW w:w="32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Measurement adjustment for redeemable noncontrolling</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(107,631)</w:t>
            </w:r>
          </w:p>
        </w:tc>
        <w:tc>
          <w:tcPr>
            <w:tcW w:w="0" w:type="dxa"/>
            <w:vAlign w:val="bottom"/>
          </w:tcPr>
          <w:p>
            <w:pPr>
              <w:spacing w:after="0"/>
              <w:rPr>
                <w:sz w:val="1"/>
                <w:szCs w:val="1"/>
                <w:color w:val="auto"/>
              </w:rPr>
            </w:pPr>
          </w:p>
        </w:tc>
      </w:tr>
      <w:tr>
        <w:trPr>
          <w:trHeight w:val="118"/>
        </w:trPr>
        <w:tc>
          <w:tcPr>
            <w:tcW w:w="32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Deferred compensation plan and stock awards, net of</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forfeitures and tax withholdings</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26,848</w:t>
            </w:r>
          </w:p>
        </w:tc>
        <w:tc>
          <w:tcPr>
            <w:tcW w:w="0" w:type="dxa"/>
            <w:vAlign w:val="bottom"/>
          </w:tcPr>
          <w:p>
            <w:pPr>
              <w:spacing w:after="0"/>
              <w:rPr>
                <w:sz w:val="1"/>
                <w:szCs w:val="1"/>
                <w:color w:val="auto"/>
              </w:rPr>
            </w:pPr>
          </w:p>
        </w:tc>
      </w:tr>
      <w:tr>
        <w:trPr>
          <w:trHeight w:val="17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issuance of common stock</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386,739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386,790</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(128,644)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128,655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Contributions to consolidated joint venture interests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6,656</w:t>
            </w:r>
          </w:p>
        </w:tc>
        <w:tc>
          <w:tcPr>
            <w:tcW w:w="0" w:type="dxa"/>
            <w:vAlign w:val="bottom"/>
          </w:tcPr>
          <w:p>
            <w:pPr>
              <w:spacing w:after="0"/>
              <w:rPr>
                <w:sz w:val="1"/>
                <w:szCs w:val="1"/>
                <w:color w:val="auto"/>
              </w:rPr>
            </w:pPr>
          </w:p>
        </w:tc>
      </w:tr>
      <w:tr>
        <w:trPr>
          <w:trHeight w:val="165"/>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Consolidation of partially owned entity</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59,452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59,452</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(11,053)</w:t>
            </w:r>
          </w:p>
        </w:tc>
        <w:tc>
          <w:tcPr>
            <w:tcW w:w="0" w:type="dxa"/>
            <w:vAlign w:val="bottom"/>
          </w:tcPr>
          <w:p>
            <w:pPr>
              <w:spacing w:after="0"/>
              <w:rPr>
                <w:sz w:val="1"/>
                <w:szCs w:val="1"/>
                <w:color w:val="auto"/>
              </w:rPr>
            </w:pPr>
          </w:p>
        </w:tc>
      </w:tr>
      <w:tr>
        <w:trPr>
          <w:trHeight w:val="118"/>
        </w:trPr>
        <w:tc>
          <w:tcPr>
            <w:tcW w:w="32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Cash distributions declared ($3.0075 per common share, none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20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auto"/>
              </w:rPr>
              <w:t>of which represented a return of capital for federal income tax</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purposes)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(196,979)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(196,979)</w:t>
            </w: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71,097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4,159,562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18,196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(449,101)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118,651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4,069,951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4"/>
        </w:trPr>
        <w:tc>
          <w:tcPr>
            <w:tcW w:w="7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30,222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(599,337)</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(76,303)</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214,062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223,984</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loss from unconsolidated joint ventures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179,695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57,958</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of cumulative earnings from unconsolidated joint ventures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12,992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(gain) loss on sale of interest in unconsolidated joint venture/real estate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(208,144)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(88,966)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8,118</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104,071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6,313</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sale of real estate,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84,485</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early extinguishment of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(43,762)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22,403</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46,219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14,370</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lease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(21,792)</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15,968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(28,204)</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other liabilities and security deposits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(74,501)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(30,839)</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18,332</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02"/>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129,595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229,503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276,088</w:t>
            </w:r>
          </w:p>
        </w:tc>
      </w:tr>
      <w:tr>
        <w:trPr>
          <w:trHeight w:val="19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of real estate property</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(64,491)</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land, buildings and improvements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(211,869)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(300,770)</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deposits and deferred purchase price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(23,050)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(451,233)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(184,518)</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in excess of cumulative earnings from unconsolidated joint ventures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161,474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141,742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disposition of real estate/joint venture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729,025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626,364</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restricted cash assumed from acquisition and consolidation of real estate investment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60,494</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or redemption of marketable securities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15,626</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real estate loans held by consolidated securitization vehicles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(117,894)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Origination of debt and preferred equity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(51,367)</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or redemption of debt and preferred equity investments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63,496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181,293</w:t>
            </w:r>
          </w:p>
        </w:tc>
      </w:tr>
      <w:tr>
        <w:trPr>
          <w:trHeight w:val="204"/>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118,753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171,345</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425,805</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mortgages and other loans payable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381,980</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mortgages and other loans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(68,977)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(292,364)</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term loans and senior unsecured notes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1,170,000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1,524,000</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term loans and senior unsecured notes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(1,864,000)</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4"/>
        </w:trPr>
        <w:tc>
          <w:tcPr>
            <w:tcW w:w="7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options exercised and DRSPP issuance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52,308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386,790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(151,197)</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preferred stock</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(17,967)</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 units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(38,177)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(40,901)</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other partnerships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 in other partnerships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6,584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52,164</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subsidiary interest from noncontrolling interest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(29,817)</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the Operating Partnership</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(16,272)</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on common and preferred stock</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(218,823)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(262,136)</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obligation related to secured borrowing</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77,874</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withholdings related to restricted share awards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(3,915)</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loan costs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(1,442)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r>
      <w:tr>
        <w:trPr>
          <w:trHeight w:val="202"/>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(252,229)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(449,383)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(654,823)</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47,070</w:t>
            </w:r>
          </w:p>
        </w:tc>
      </w:tr>
      <w:tr>
        <w:trPr>
          <w:trHeight w:val="20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335,519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384,054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336,984</w:t>
            </w:r>
          </w:p>
        </w:tc>
      </w:tr>
      <w:tr>
        <w:trPr>
          <w:trHeight w:val="229"/>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331,638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335,519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384,054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7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200,752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229,119</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169,519</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9,001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5,358</w:t>
            </w:r>
          </w:p>
        </w:tc>
      </w:tr>
      <w:tr>
        <w:trPr>
          <w:trHeight w:val="249"/>
        </w:trPr>
        <w:tc>
          <w:tcPr>
            <w:tcW w:w="7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 of preferred equity investment for real estate or equity in joint venture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190,652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of debt investment for real estate or equity in joint venture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193,995</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Assumption of mortgage and mezzanine loans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1,712,750</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special dividend paid in stock</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160,620</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Tenant improvements and capital expenditures payable</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18,518</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subsidiary interest from noncontrolling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Measurement adjustment for redeemable noncontrolling interest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107,632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39,974</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Consolidation of a subsidiary</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50,377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10,639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47,135</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Deconsolidation of a subsidiary</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 debt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1,712,750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and preferred equity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Extinguishment of debt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46,835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Removal of fully depreciated commercial real estate properties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6,903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30,359</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 to consolidated joint venture by noncontrolling interest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repurchase or redemption payable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9,514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Recognition of right of use assets and related lease liabilities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57,938</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600,521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liabilities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600,521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00" w:lineRule="exact"/>
        <w:rPr>
          <w:sz w:val="20"/>
          <w:szCs w:val="20"/>
          <w:color w:val="auto"/>
        </w:rPr>
      </w:pP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December 2024, the Company declared a regular monthly distribution per share of $0.2575 that was paid in cash. This distribution was paid in January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 In December 2023, the Company declared a regular monthly distribution per share of $0.2500 that was paid in cash. This distribution was paid in January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In December 2022, the Company declared a regular monthly distribution per share of $0.2708 that was paid in cash. This distribution was paid in January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w:t>
      </w:r>
    </w:p>
    <w:p>
      <w:pPr>
        <w:spacing w:after="0" w:line="128"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4"/>
        </w:trPr>
        <w:tc>
          <w:tcPr>
            <w:tcW w:w="7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184,294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203,273</w:t>
            </w:r>
          </w:p>
        </w:tc>
      </w:tr>
      <w:tr>
        <w:trPr>
          <w:trHeight w:val="20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147,344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180,781</w:t>
            </w:r>
          </w:p>
        </w:tc>
      </w:tr>
      <w:tr>
        <w:trPr>
          <w:trHeight w:val="204"/>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331,638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335,519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384,054</w:t>
            </w:r>
          </w:p>
        </w:tc>
      </w:tr>
    </w:tbl>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420" w:firstLine="3431"/>
        <w:spacing w:after="0" w:line="451"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Partners of SL Green Operating Partnership, L.P. and the Board of Directors of SL Green Realty Corp. </w:t>
      </w:r>
      <w:r>
        <w:rPr>
          <w:rFonts w:ascii="Times New Roman" w:cs="Times New Roman" w:eastAsia="Times New Roman" w:hAnsi="Times New Roman"/>
          <w:sz w:val="17"/>
          <w:szCs w:val="17"/>
          <w:b w:val="1"/>
          <w:bCs w:val="1"/>
          <w:color w:val="auto"/>
        </w:rPr>
        <w:t>Opinion on the Financial Statements</w:t>
      </w:r>
    </w:p>
    <w:p>
      <w:pPr>
        <w:spacing w:after="0" w:line="1"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SL Green Operating Partnership, L.P. and subsidiaries (the "Partnership") as of December 31, 2024, the related consolidated statements of operations, comprehensive income (loss), capital, and cash flows, for the year ended December 31, 2024, and the related notes and the schedule listed in the Index at Item 15 (collectively referred to as the "financial statements"). In our opinion, the financial statements present fairly, in all material respects, the financial position of the Partnership as of December 31, 2024, and the results of its operations and its cash flows for the year ended December 31, 2024, in conformity with accounting principles generally accepted in the United States of America.</w:t>
      </w:r>
    </w:p>
    <w:p>
      <w:pPr>
        <w:spacing w:after="0" w:line="11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Partnership's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14, 2025, expressed an unqualified opinion on the Partnership's internal control over financial reporting.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4"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These financial statements are the responsibility of the Partnership's management. Our responsibility is to express an opinion on the Partnership's financial statements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17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15" w:lineRule="exact"/>
        <w:rPr>
          <w:sz w:val="20"/>
          <w:szCs w:val="20"/>
          <w:color w:val="auto"/>
        </w:rPr>
      </w:pPr>
    </w:p>
    <w:p>
      <w:pPr>
        <w:ind w:right="280"/>
        <w:spacing w:after="0" w:line="302" w:lineRule="auto"/>
        <w:rPr>
          <w:sz w:val="20"/>
          <w:szCs w:val="20"/>
          <w:color w:val="auto"/>
        </w:rPr>
      </w:pPr>
      <w:r>
        <w:rPr>
          <w:rFonts w:ascii="Times New Roman" w:cs="Times New Roman" w:eastAsia="Times New Roman" w:hAnsi="Times New Roman"/>
          <w:sz w:val="17"/>
          <w:szCs w:val="17"/>
          <w:b w:val="1"/>
          <w:bCs w:val="1"/>
          <w:i w:val="1"/>
          <w:iCs w:val="1"/>
          <w:color w:val="auto"/>
        </w:rPr>
        <w:t>Impairment of Investments in Commercial Real Estate Properties and Investments in Unconsolidated Joint Ventures — Refer to Notes 2, 6 and 16 to the financial statements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17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Partnership’s investments in commercial real estate properties are evaluated for impairment quarterly, or whenever events or changes in circumstances indicate that the carrying amount may not be recoverable. The Partnership’s evaluation of the recoverability of commercial real estate properties involves the comparison of undiscounted future cash flows expected to be generated by each commercial real estate property over the Partnership’s estimated holding period, including the future terminal value, to the respective carrying amount. The Partnership also assesses their investments in unconsolidated joint ventures for recoverability, and if it is determined that a loss in value of the investment is other than temporary, the Partnership writes down the investment to its estimated fair value. The Partnership’s investments in unconsolidated joint ventures are evaluated for impairment based on each joint venture’s actual and projected cash flows. To the extent an impairment has occurred on either a commercial real estate property or investment in unconsolidated joint venture, the impairment loss will be measured as the excess of the carrying amount over the estimated fair value of the underlying asset. The Partnership’s recoverability assessment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7"/>
          <w:szCs w:val="17"/>
          <w:color w:val="auto"/>
        </w:rPr>
        <w:t>and estimated fair value, requires management to make significant estimates, including appropriate future market rental rates, capitalization rates, and discount rates.</w:t>
      </w:r>
    </w:p>
    <w:p>
      <w:pPr>
        <w:spacing w:after="0" w:line="41" w:lineRule="exact"/>
        <w:rPr>
          <w:sz w:val="20"/>
          <w:szCs w:val="20"/>
          <w:color w:val="auto"/>
        </w:rPr>
      </w:pPr>
    </w:p>
    <w:p>
      <w:pPr>
        <w:jc w:val="both"/>
        <w:ind w:right="200"/>
        <w:spacing w:after="0" w:line="277" w:lineRule="auto"/>
        <w:rPr>
          <w:sz w:val="20"/>
          <w:szCs w:val="20"/>
          <w:color w:val="auto"/>
        </w:rPr>
      </w:pPr>
      <w:r>
        <w:rPr>
          <w:rFonts w:ascii="Times New Roman" w:cs="Times New Roman" w:eastAsia="Times New Roman" w:hAnsi="Times New Roman"/>
          <w:sz w:val="17"/>
          <w:szCs w:val="17"/>
          <w:color w:val="auto"/>
        </w:rPr>
        <w:t>Given the Partnership’s estimated future market rental rates, capitalization rates, and discount rates are significant assumptions made by management in their impairment assessments, performing audit procedures to evaluate the reasonableness of management’s recoverability assessment and estimated fair value that utilize these assumptions required a high degree of auditor judgment and an increased extent of effort, including the need to involve our fair value specialists.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74" w:lineRule="exact"/>
        <w:rPr>
          <w:sz w:val="20"/>
          <w:szCs w:val="20"/>
          <w:color w:val="auto"/>
        </w:rPr>
      </w:pPr>
    </w:p>
    <w:p>
      <w:pPr>
        <w:ind w:right="840"/>
        <w:spacing w:after="0" w:line="297" w:lineRule="auto"/>
        <w:rPr>
          <w:sz w:val="20"/>
          <w:szCs w:val="20"/>
          <w:color w:val="auto"/>
        </w:rPr>
      </w:pPr>
      <w:r>
        <w:rPr>
          <w:rFonts w:ascii="Times New Roman" w:cs="Times New Roman" w:eastAsia="Times New Roman" w:hAnsi="Times New Roman"/>
          <w:sz w:val="17"/>
          <w:szCs w:val="17"/>
          <w:color w:val="auto"/>
        </w:rPr>
        <w:t>Our audit procedures related to the Partnership's estimated future market rental rates, capitalization rates, and discount rates used in the evaluation of impairment, included the following, among others:</w:t>
      </w:r>
    </w:p>
    <w:p>
      <w:pPr>
        <w:spacing w:after="0" w:line="93" w:lineRule="exact"/>
        <w:rPr>
          <w:sz w:val="20"/>
          <w:szCs w:val="20"/>
          <w:color w:val="auto"/>
        </w:rPr>
      </w:pPr>
    </w:p>
    <w:p>
      <w:pPr>
        <w:ind w:left="640" w:right="40" w:hanging="320"/>
        <w:spacing w:after="0" w:line="277" w:lineRule="auto"/>
        <w:tabs>
          <w:tab w:leader="none" w:pos="63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evaluation of the recoverability and estimated fair value of both commercial real estate properties and investments in unconsolidated joint ventures, including those over estimated future market rental rates, capitalization rates, and discount rates.</w:t>
      </w:r>
    </w:p>
    <w:p>
      <w:pPr>
        <w:spacing w:after="0" w:line="109" w:lineRule="exact"/>
        <w:rPr>
          <w:rFonts w:ascii="Times New Roman" w:cs="Times New Roman" w:eastAsia="Times New Roman" w:hAnsi="Times New Roman"/>
          <w:sz w:val="17"/>
          <w:szCs w:val="17"/>
          <w:color w:val="auto"/>
        </w:rPr>
      </w:pPr>
    </w:p>
    <w:p>
      <w:pPr>
        <w:ind w:left="640" w:right="620" w:hanging="320"/>
        <w:spacing w:after="0" w:line="297" w:lineRule="auto"/>
        <w:tabs>
          <w:tab w:leader="none" w:pos="63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inquired with management regarding their determination of estimated future market rental rates, capitalization rates, and discount rates and evaluated the consistency in determining the rates with evidence obtained in other areas of our audit.</w:t>
      </w:r>
    </w:p>
    <w:p>
      <w:pPr>
        <w:spacing w:after="0" w:line="93" w:lineRule="exact"/>
        <w:rPr>
          <w:rFonts w:ascii="Times New Roman" w:cs="Times New Roman" w:eastAsia="Times New Roman" w:hAnsi="Times New Roman"/>
          <w:sz w:val="17"/>
          <w:szCs w:val="17"/>
          <w:color w:val="auto"/>
        </w:rPr>
      </w:pPr>
    </w:p>
    <w:p>
      <w:pPr>
        <w:ind w:left="640" w:right="40" w:hanging="320"/>
        <w:spacing w:after="0" w:line="297" w:lineRule="auto"/>
        <w:tabs>
          <w:tab w:leader="none" w:pos="63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evaluated the reasonableness of the Partnership's estimated future market rental rates, capitalization rates, and discount rates by:</w:t>
      </w:r>
    </w:p>
    <w:p>
      <w:pPr>
        <w:spacing w:after="0" w:line="93" w:lineRule="exact"/>
        <w:rPr>
          <w:rFonts w:ascii="Times New Roman" w:cs="Times New Roman" w:eastAsia="Times New Roman" w:hAnsi="Times New Roman"/>
          <w:sz w:val="17"/>
          <w:szCs w:val="17"/>
          <w:color w:val="auto"/>
        </w:rPr>
      </w:pPr>
    </w:p>
    <w:p>
      <w:pPr>
        <w:jc w:val="both"/>
        <w:ind w:left="1260" w:right="60" w:hanging="311"/>
        <w:spacing w:after="0" w:line="277" w:lineRule="auto"/>
        <w:tabs>
          <w:tab w:leader="none" w:pos="1256"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source information underlying the determination of the estimated future market rental rates, capitalization rates, and discount rates used by management by evaluating the reasonableness of these assumptions with independent market data, focusing on key factors, including geographical location, tenant composition, and property type.</w:t>
      </w:r>
    </w:p>
    <w:p>
      <w:pPr>
        <w:spacing w:after="0" w:line="57" w:lineRule="exact"/>
        <w:rPr>
          <w:rFonts w:ascii="Times New Roman" w:cs="Times New Roman" w:eastAsia="Times New Roman" w:hAnsi="Times New Roman"/>
          <w:sz w:val="17"/>
          <w:szCs w:val="17"/>
          <w:color w:val="auto"/>
        </w:rPr>
      </w:pPr>
    </w:p>
    <w:p>
      <w:pPr>
        <w:ind w:left="1260" w:right="340" w:hanging="311"/>
        <w:spacing w:after="0" w:line="297" w:lineRule="auto"/>
        <w:tabs>
          <w:tab w:leader="none" w:pos="1256"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Using comparable market transaction details to further evaluate management's selected estimated future market rental rates, capitalization rates, and discount rates, as applicable.</w:t>
      </w:r>
    </w:p>
    <w:p>
      <w:pPr>
        <w:spacing w:after="0" w:line="93" w:lineRule="exact"/>
        <w:rPr>
          <w:rFonts w:ascii="Times New Roman" w:cs="Times New Roman" w:eastAsia="Times New Roman" w:hAnsi="Times New Roman"/>
          <w:sz w:val="17"/>
          <w:szCs w:val="17"/>
          <w:color w:val="auto"/>
        </w:rPr>
      </w:pPr>
    </w:p>
    <w:p>
      <w:pPr>
        <w:ind w:left="1260" w:right="140" w:hanging="311"/>
        <w:spacing w:after="0" w:line="297" w:lineRule="auto"/>
        <w:tabs>
          <w:tab w:leader="none" w:pos="1256"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 range of independent estimates of future market rental rates, capitalization rates, and discount rates and comparing those to the amounts selected by management.</w:t>
      </w:r>
    </w:p>
    <w:p>
      <w:pPr>
        <w:spacing w:after="0" w:line="89" w:lineRule="exact"/>
        <w:rPr>
          <w:sz w:val="20"/>
          <w:szCs w:val="20"/>
          <w:color w:val="auto"/>
        </w:rPr>
      </w:pPr>
    </w:p>
    <w:p>
      <w:pPr>
        <w:ind w:right="4040"/>
        <w:spacing w:after="0" w:line="4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Consolidation of Investments in Joint Ventures — Refer to Notes 2 and 6 to the financial statements </w:t>
      </w:r>
      <w:r>
        <w:rPr>
          <w:rFonts w:ascii="Times New Roman" w:cs="Times New Roman" w:eastAsia="Times New Roman" w:hAnsi="Times New Roman"/>
          <w:sz w:val="17"/>
          <w:szCs w:val="17"/>
          <w:i w:val="1"/>
          <w:iCs w:val="1"/>
          <w:color w:val="auto"/>
        </w:rPr>
        <w:t>Critical Audit Matter Description</w:t>
      </w:r>
    </w:p>
    <w:p>
      <w:pPr>
        <w:spacing w:after="0" w:line="262" w:lineRule="auto"/>
        <w:rPr>
          <w:sz w:val="20"/>
          <w:szCs w:val="20"/>
          <w:color w:val="auto"/>
        </w:rPr>
      </w:pPr>
      <w:r>
        <w:rPr>
          <w:rFonts w:ascii="Times New Roman" w:cs="Times New Roman" w:eastAsia="Times New Roman" w:hAnsi="Times New Roman"/>
          <w:sz w:val="17"/>
          <w:szCs w:val="17"/>
          <w:color w:val="auto"/>
        </w:rPr>
        <w:t>The Partnership assesses the accounting treatment for each joint venture upon formation, as well as any reconsideration event over the life of the investment, to determine whether consolidation is required. This assessment includes a review of each joint venture agreement to determine the rights provided to each party and whether those rights are protective or participating. The Partnership consolidates those joint ventures they control, or which are variable interest entities (each, a "VIE") where the Partnership is considered to be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 The Partnership accounts for their investments in unconsolidated joint ventures under the equity method of accounting in cases where they exercise significant influence over, but do not control, these entities and are not considered to be the primary beneficiary. The evaluation of these investments for consolidation, including determining whether the joint venture is a VIE, and if so, whether the Partnership is the primary beneficiary requires management to make significant judgments due to the complex nature of these investments.</w:t>
      </w:r>
    </w:p>
    <w:p>
      <w:pPr>
        <w:spacing w:after="0" w:line="73"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Given the Partnership’s determination of consolidation is a significant judgement made by management for certain of these investments, performing audit procedures to evaluate the reasonableness of management’s consolidation, including VIE and primary beneficiary assessment, required a high degree of auditor judgment and an increased extent of effort.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174"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7"/>
          <w:szCs w:val="17"/>
          <w:color w:val="auto"/>
        </w:rPr>
        <w:t>Our audit procedures related to the Partnership's accounting determination for the consolidation of investments in joint ventures included the following, among others:</w:t>
      </w:r>
    </w:p>
    <w:p>
      <w:pPr>
        <w:spacing w:after="0" w:line="93" w:lineRule="exact"/>
        <w:rPr>
          <w:sz w:val="20"/>
          <w:szCs w:val="20"/>
          <w:color w:val="auto"/>
        </w:rPr>
      </w:pPr>
    </w:p>
    <w:p>
      <w:pPr>
        <w:ind w:left="640" w:right="320" w:hanging="320"/>
        <w:spacing w:after="0" w:line="297" w:lineRule="auto"/>
        <w:tabs>
          <w:tab w:leader="none" w:pos="63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over management's evaluation of the initial accounting assessment for consolidation and over management's evaluation of reconsideration events.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640" w:right="100" w:hanging="320"/>
        <w:spacing w:after="0" w:line="297" w:lineRule="auto"/>
        <w:tabs>
          <w:tab w:leader="none" w:pos="63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selected a sample of unconsolidated and consolidated joint ventures and evaluated the appropriateness of the Partnership's accounting conclusions upon formation and reconsideration events by:</w:t>
      </w:r>
    </w:p>
    <w:p>
      <w:pPr>
        <w:spacing w:after="0" w:line="93" w:lineRule="exact"/>
        <w:rPr>
          <w:rFonts w:ascii="Times New Roman" w:cs="Times New Roman" w:eastAsia="Times New Roman" w:hAnsi="Times New Roman"/>
          <w:sz w:val="17"/>
          <w:szCs w:val="17"/>
          <w:color w:val="auto"/>
        </w:rPr>
      </w:pPr>
    </w:p>
    <w:p>
      <w:pPr>
        <w:ind w:left="1260" w:right="340" w:hanging="311"/>
        <w:spacing w:after="0" w:line="297" w:lineRule="auto"/>
        <w:tabs>
          <w:tab w:leader="none" w:pos="1256"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Reading the joint venture agreements and other related documents and evaluating the structure and terms of the agreement, as well as any reconsideration events which took place during the year, to determine if the joint venture should be classified as a VIE.</w:t>
      </w:r>
    </w:p>
    <w:p>
      <w:pPr>
        <w:spacing w:after="0" w:line="93" w:lineRule="exact"/>
        <w:rPr>
          <w:rFonts w:ascii="Times New Roman" w:cs="Times New Roman" w:eastAsia="Times New Roman" w:hAnsi="Times New Roman"/>
          <w:sz w:val="17"/>
          <w:szCs w:val="17"/>
          <w:color w:val="auto"/>
        </w:rPr>
      </w:pPr>
    </w:p>
    <w:p>
      <w:pPr>
        <w:ind w:left="1260" w:hanging="311"/>
        <w:spacing w:after="0" w:line="270" w:lineRule="auto"/>
        <w:tabs>
          <w:tab w:leader="none" w:pos="1256"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entity is determined to be a VIE, considering whether the Partnership appropriately determined the primary beneficiary by evaluating the contractual arrangements of the entity to determine if the Partnership has the power to direct activities that most significantly impact the VIE's economic performance, and if the Partnership has the obligation to absorb losses of the entity or the right to receive benefits from the entity that could be significant to the VIE.</w:t>
      </w:r>
    </w:p>
    <w:p>
      <w:pPr>
        <w:spacing w:after="0" w:line="116" w:lineRule="exact"/>
        <w:rPr>
          <w:rFonts w:ascii="Times New Roman" w:cs="Times New Roman" w:eastAsia="Times New Roman" w:hAnsi="Times New Roman"/>
          <w:sz w:val="17"/>
          <w:szCs w:val="17"/>
          <w:color w:val="auto"/>
        </w:rPr>
      </w:pPr>
    </w:p>
    <w:p>
      <w:pPr>
        <w:ind w:left="1260" w:right="540" w:hanging="311"/>
        <w:spacing w:after="0" w:line="297" w:lineRule="auto"/>
        <w:tabs>
          <w:tab w:leader="none" w:pos="1256"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whether any reconsideration events occurred during the year that would result in consolidation or deconsolidation, and if so, verified that this occurred properly.</w:t>
      </w:r>
    </w:p>
    <w:p>
      <w:pPr>
        <w:spacing w:after="0" w:line="93" w:lineRule="exact"/>
        <w:rPr>
          <w:rFonts w:ascii="Times New Roman" w:cs="Times New Roman" w:eastAsia="Times New Roman" w:hAnsi="Times New Roman"/>
          <w:sz w:val="17"/>
          <w:szCs w:val="17"/>
          <w:color w:val="auto"/>
        </w:rPr>
      </w:pPr>
    </w:p>
    <w:p>
      <w:pPr>
        <w:ind w:left="1260" w:right="140" w:hanging="311"/>
        <w:spacing w:after="0" w:line="277" w:lineRule="auto"/>
        <w:tabs>
          <w:tab w:leader="none" w:pos="1256"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the evidence obtained in other areas of the audit to determine if there were additional reconsideration events that had not been identified by the Partnership, including, among others, reading board minutes and agreeing the terms of certain joint venture agreements and side agreements, if any.</w:t>
      </w:r>
    </w:p>
    <w:p>
      <w:pPr>
        <w:spacing w:after="0" w:line="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Partnership's auditor since 2023.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Partners of SL Green Operating Partnership, 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have audited, before the effects of the adjustments to retrospectively apply the change in accounting for segment information described in Note 21, the accompanying consolidated balance sheet of SL Green Operating Partnership, L.P. (the Operating Partnership) as of December 31, 2023, the related consolidated statements of operations, comprehensive (loss) income, capital and cash flows for each of the two years in the period ended December 31, 2023, and the related notes and financial statement schedule listed in the Index at Item 15(a)(2) (collectively referred to as the “consolidated financial statements”). The 2023 and 2022 consolidated financial statements, before the effects of the adjustments discussed in Note 21, are not presented herein. In our opinion, the consolidated financial statements, before the effects of the adjustments to retrospectively apply the change in method for accounting for segment information described in Note 21, present fairly, in all material respects, the financial position of the Operating Partnership at December 31, 2023, and the results of its operations and its cash flows for each of the two years in the period ended December 31, 2023, in conformity with U.S. generally accepted accounting principles.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 in Accounting Principle</w:t>
      </w:r>
    </w:p>
    <w:p>
      <w:pPr>
        <w:spacing w:after="0" w:line="12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were not engaged to audit, review, or apply any procedures to the adjustments to retrospectively apply the change in accounting for segment information described in Note 21 and, accordingly, we do not express an opinion or any other form of assurance about whether such adjustments are appropriate and have been properly applied. Those adjustments were audited by Deloitte &amp; Touche LLP.</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Operating Partnership’s management. Our responsibility is to express an opinion on the Operating Partnership’s financial statements based on our audits. We are a public accounting firm registered with the PCAOB and are required to be independent with respect to the Operating Partnership in accordance with the U.S. federal securities laws and the applicable rules and regulations of the Securities and Exchange Commission and the PCAOB.</w:t>
      </w:r>
    </w:p>
    <w:p>
      <w:pPr>
        <w:spacing w:after="0" w:line="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Operating Partnership's auditor from 2010 to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unit data)</w:t>
      </w:r>
    </w:p>
    <w:p>
      <w:pPr>
        <w:spacing w:after="0" w:line="200" w:lineRule="exact"/>
        <w:rPr>
          <w:sz w:val="20"/>
          <w:szCs w:val="20"/>
          <w:color w:val="auto"/>
        </w:rPr>
      </w:pP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66"/>
        </w:trPr>
        <w:tc>
          <w:tcPr>
            <w:tcW w:w="7500" w:type="dxa"/>
            <w:vAlign w:val="bottom"/>
            <w:tcBorders>
              <w:top w:val="single" w:sz="8" w:color="CCEEFF"/>
              <w:left w:val="single" w:sz="8" w:color="CCEEFF"/>
            </w:tcBorders>
            <w:gridSpan w:val="3"/>
            <w:shd w:val="clear" w:color="auto" w:fill="CCEEFF"/>
          </w:tcPr>
          <w:p>
            <w:pPr>
              <w:ind w:left="20"/>
              <w:spacing w:after="0" w:line="166" w:lineRule="exact"/>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40" w:type="dxa"/>
            <w:vAlign w:val="bottom"/>
            <w:tcBorders>
              <w:left w:val="single" w:sz="8" w:color="CCEEFF"/>
            </w:tcBorders>
            <w:shd w:val="clear" w:color="auto" w:fill="000000"/>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8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Commercial real estate properties, at cost:</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interests</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1,357,041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1,092,671</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Building and improvements</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3,862,224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3,655,624</w:t>
            </w:r>
          </w:p>
        </w:tc>
        <w:tc>
          <w:tcPr>
            <w:tcW w:w="0" w:type="dxa"/>
            <w:vAlign w:val="bottom"/>
          </w:tcPr>
          <w:p>
            <w:pPr>
              <w:spacing w:after="0"/>
              <w:rPr>
                <w:sz w:val="1"/>
                <w:szCs w:val="1"/>
                <w:color w:val="auto"/>
              </w:rPr>
            </w:pPr>
          </w:p>
        </w:tc>
      </w:tr>
      <w:tr>
        <w:trPr>
          <w:trHeight w:val="210"/>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leasehold and improvements</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1,388,476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1,354,569</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6,607,741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6,102,864</w:t>
            </w:r>
          </w:p>
        </w:tc>
        <w:tc>
          <w:tcPr>
            <w:tcW w:w="0" w:type="dxa"/>
            <w:vAlign w:val="bottom"/>
          </w:tcPr>
          <w:p>
            <w:pPr>
              <w:spacing w:after="0"/>
              <w:rPr>
                <w:sz w:val="1"/>
                <w:szCs w:val="1"/>
                <w:color w:val="auto"/>
              </w:rPr>
            </w:pPr>
          </w:p>
        </w:tc>
      </w:tr>
      <w:tr>
        <w:trPr>
          <w:trHeight w:val="210"/>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(2,126,081)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(1,968,004)</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4,481,660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4,134,860</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184,294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221,823</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147,344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113,696</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22,812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44,055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33,270</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26,865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12,168</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266,428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264,653</w:t>
            </w:r>
          </w:p>
        </w:tc>
        <w:tc>
          <w:tcPr>
            <w:tcW w:w="0" w:type="dxa"/>
            <w:vAlign w:val="bottom"/>
          </w:tcPr>
          <w:p>
            <w:pPr>
              <w:spacing w:after="0"/>
              <w:rPr>
                <w:sz w:val="1"/>
                <w:szCs w:val="1"/>
                <w:color w:val="auto"/>
              </w:rPr>
            </w:pPr>
          </w:p>
        </w:tc>
      </w:tr>
      <w:tr>
        <w:trPr>
          <w:trHeight w:val="158"/>
        </w:trPr>
        <w:tc>
          <w:tcPr>
            <w:tcW w:w="7500" w:type="dxa"/>
            <w:vAlign w:val="bottom"/>
            <w:tcBorders>
              <w:left w:val="single" w:sz="8" w:color="CCEEFF"/>
            </w:tcBorders>
            <w:gridSpan w:val="3"/>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Debt and preferred equity investments, net of discounts and deferred origination fees of $1,618 and $1,630 and</w:t>
            </w: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303,726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346,745</w:t>
            </w:r>
          </w:p>
        </w:tc>
        <w:tc>
          <w:tcPr>
            <w:tcW w:w="0" w:type="dxa"/>
            <w:vAlign w:val="bottom"/>
          </w:tcPr>
          <w:p>
            <w:pPr>
              <w:spacing w:after="0"/>
              <w:rPr>
                <w:sz w:val="1"/>
                <w:szCs w:val="1"/>
                <w:color w:val="auto"/>
              </w:rPr>
            </w:pPr>
          </w:p>
        </w:tc>
      </w:tr>
      <w:tr>
        <w:trPr>
          <w:trHeight w:val="210"/>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allowances of $13,520 and $13,520 in 2024 and 2023, respectively</w:t>
            </w: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2,690,138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2,983,313</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costs, net</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111,463</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Right of use asset - operating leases</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865,639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885,929</w:t>
            </w:r>
          </w:p>
        </w:tc>
        <w:tc>
          <w:tcPr>
            <w:tcW w:w="0" w:type="dxa"/>
            <w:vAlign w:val="bottom"/>
          </w:tcPr>
          <w:p>
            <w:pPr>
              <w:spacing w:after="0"/>
              <w:rPr>
                <w:sz w:val="1"/>
                <w:szCs w:val="1"/>
                <w:color w:val="auto"/>
              </w:rPr>
            </w:pPr>
          </w:p>
        </w:tc>
      </w:tr>
      <w:tr>
        <w:trPr>
          <w:trHeight w:val="158"/>
        </w:trPr>
        <w:tc>
          <w:tcPr>
            <w:tcW w:w="7500" w:type="dxa"/>
            <w:vAlign w:val="bottom"/>
            <w:tcBorders>
              <w:left w:val="single" w:sz="8" w:color="CCEEFF"/>
            </w:tcBorders>
            <w:gridSpan w:val="3"/>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Real estate loans held by consolidated securitization vehicles (includes $584,134 and $— at fair value as of</w:t>
            </w: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709,095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 and December 31, 2023, respectively)</w:t>
            </w: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610,911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413,670</w:t>
            </w:r>
          </w:p>
        </w:tc>
        <w:tc>
          <w:tcPr>
            <w:tcW w:w="0" w:type="dxa"/>
            <w:vAlign w:val="bottom"/>
          </w:tcPr>
          <w:p>
            <w:pPr>
              <w:spacing w:after="0"/>
              <w:rPr>
                <w:sz w:val="1"/>
                <w:szCs w:val="1"/>
                <w:color w:val="auto"/>
              </w:rPr>
            </w:pPr>
          </w:p>
        </w:tc>
      </w:tr>
      <w:tr>
        <w:trPr>
          <w:trHeight w:val="229"/>
        </w:trPr>
        <w:tc>
          <w:tcPr>
            <w:tcW w:w="7500" w:type="dxa"/>
            <w:vAlign w:val="bottom"/>
            <w:tcBorders>
              <w:left w:val="single" w:sz="8" w:color="CCEEFF"/>
              <w:bottom w:val="single" w:sz="8" w:color="CCEEFF"/>
            </w:tcBorders>
            <w:gridSpan w:val="3"/>
            <w:shd w:val="clear" w:color="auto" w:fill="CCEEFF"/>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Total assets </w:t>
            </w:r>
            <w:r>
              <w:rPr>
                <w:rFonts w:ascii="Times New Roman" w:cs="Times New Roman" w:eastAsia="Times New Roman" w:hAnsi="Times New Roman"/>
                <w:sz w:val="20"/>
                <w:szCs w:val="20"/>
                <w:color w:val="auto"/>
                <w:vertAlign w:val="superscript"/>
              </w:rPr>
              <w:t>(1)</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10,470,099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9,531,181</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bottom w:val="single" w:sz="8" w:color="CCEEFF"/>
            </w:tcBorders>
            <w:gridSpan w:val="2"/>
            <w:vMerge w:val="restart"/>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w w:val="96"/>
              </w:rPr>
              <w:t>Liabilities</w:t>
            </w:r>
          </w:p>
        </w:tc>
        <w:tc>
          <w:tcPr>
            <w:tcW w:w="68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00" w:type="dxa"/>
            <w:vAlign w:val="bottom"/>
            <w:tcBorders>
              <w:bottom w:val="single" w:sz="8" w:color="auto"/>
            </w:tcBorders>
            <w:gridSpan w:val="2"/>
            <w:vMerge w:val="continue"/>
          </w:tcPr>
          <w:p>
            <w:pPr>
              <w:spacing w:after="0"/>
              <w:rPr>
                <w:sz w:val="13"/>
                <w:szCs w:val="13"/>
                <w:color w:val="auto"/>
              </w:rPr>
            </w:pPr>
          </w:p>
        </w:tc>
        <w:tc>
          <w:tcPr>
            <w:tcW w:w="68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Mortgages and other loans payable, net</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1,944,635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1,491,319</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Revolving credit facility, net</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316,240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554,752</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term loans, net</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1,146,010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1,244,881</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Unsecured notes, net</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99,897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99,795</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16,527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17,930</w:t>
            </w:r>
          </w:p>
        </w:tc>
        <w:tc>
          <w:tcPr>
            <w:tcW w:w="0" w:type="dxa"/>
            <w:vAlign w:val="bottom"/>
          </w:tcPr>
          <w:p>
            <w:pPr>
              <w:spacing w:after="0"/>
              <w:rPr>
                <w:sz w:val="1"/>
                <w:szCs w:val="1"/>
                <w:color w:val="auto"/>
              </w:rPr>
            </w:pPr>
          </w:p>
        </w:tc>
      </w:tr>
      <w:tr>
        <w:trPr>
          <w:trHeight w:val="157"/>
        </w:trPr>
        <w:tc>
          <w:tcPr>
            <w:tcW w:w="750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color w:val="auto"/>
              </w:rPr>
              <w:t>Senior obligations of consolidated securitization vehicles (includes $567,487 and $— at fair value as of December</w:t>
            </w:r>
          </w:p>
        </w:tc>
        <w:tc>
          <w:tcPr>
            <w:tcW w:w="180" w:type="dxa"/>
            <w:vAlign w:val="bottom"/>
          </w:tcPr>
          <w:p>
            <w:pPr>
              <w:spacing w:after="0"/>
              <w:rPr>
                <w:sz w:val="13"/>
                <w:szCs w:val="13"/>
                <w:color w:val="auto"/>
              </w:rPr>
            </w:pPr>
          </w:p>
        </w:tc>
        <w:tc>
          <w:tcPr>
            <w:tcW w:w="1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590,131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31, 2024 and December 31, 2023, respectively)</w:t>
            </w: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500" w:type="dxa"/>
            <w:vAlign w:val="bottom"/>
            <w:tcBorders>
              <w:left w:val="single" w:sz="8" w:color="CCEEFF"/>
            </w:tcBorders>
            <w:gridSpan w:val="3"/>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Other liabilities (includes $251,096 and $259,392 at fair value as of December 31, 2024 and December 31, 2023,</w:t>
            </w: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414,153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471,401</w:t>
            </w:r>
          </w:p>
        </w:tc>
        <w:tc>
          <w:tcPr>
            <w:tcW w:w="0" w:type="dxa"/>
            <w:vAlign w:val="bottom"/>
          </w:tcPr>
          <w:p>
            <w:pPr>
              <w:spacing w:after="0"/>
              <w:rPr>
                <w:sz w:val="1"/>
                <w:szCs w:val="1"/>
                <w:color w:val="auto"/>
              </w:rPr>
            </w:pPr>
          </w:p>
        </w:tc>
      </w:tr>
      <w:tr>
        <w:trPr>
          <w:trHeight w:val="210"/>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122,674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153,164</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164,887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134,053</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Lease liability - financing leases</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106,853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105,531</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810,989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827,692</w:t>
            </w:r>
          </w:p>
        </w:tc>
        <w:tc>
          <w:tcPr>
            <w:tcW w:w="0" w:type="dxa"/>
            <w:vAlign w:val="bottom"/>
          </w:tcPr>
          <w:p>
            <w:pPr>
              <w:spacing w:after="0"/>
              <w:rPr>
                <w:sz w:val="1"/>
                <w:szCs w:val="1"/>
                <w:color w:val="auto"/>
              </w:rPr>
            </w:pPr>
          </w:p>
        </w:tc>
      </w:tr>
      <w:tr>
        <w:trPr>
          <w:trHeight w:val="20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Dividend and distributions payable</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20,280</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deposits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49,906</w:t>
            </w:r>
          </w:p>
        </w:tc>
        <w:tc>
          <w:tcPr>
            <w:tcW w:w="0" w:type="dxa"/>
            <w:vAlign w:val="bottom"/>
          </w:tcPr>
          <w:p>
            <w:pPr>
              <w:spacing w:after="0"/>
              <w:rPr>
                <w:sz w:val="1"/>
                <w:szCs w:val="1"/>
                <w:color w:val="auto"/>
              </w:rPr>
            </w:pPr>
          </w:p>
        </w:tc>
      </w:tr>
      <w:tr>
        <w:trPr>
          <w:trHeight w:val="209"/>
        </w:trPr>
        <w:tc>
          <w:tcPr>
            <w:tcW w:w="7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Junior subordinated deferrable interest debentures held by trusts that issued trust preferred securities</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4"/>
        </w:trPr>
        <w:tc>
          <w:tcPr>
            <w:tcW w:w="7500" w:type="dxa"/>
            <w:vAlign w:val="bottom"/>
            <w:tcBorders>
              <w:left w:val="single" w:sz="8" w:color="CCEEFF"/>
            </w:tcBorders>
            <w:gridSpan w:val="3"/>
            <w:shd w:val="clear" w:color="auto" w:fill="CCEEFF"/>
          </w:tcPr>
          <w:p>
            <w:pPr>
              <w:ind w:left="140"/>
              <w:spacing w:after="0" w:line="204" w:lineRule="exact"/>
              <w:rPr>
                <w:sz w:val="20"/>
                <w:szCs w:val="20"/>
                <w:color w:val="auto"/>
              </w:rPr>
            </w:pPr>
            <w:r>
              <w:rPr>
                <w:rFonts w:ascii="Times New Roman" w:cs="Times New Roman" w:eastAsia="Times New Roman" w:hAnsi="Times New Roman"/>
                <w:sz w:val="16"/>
                <w:szCs w:val="16"/>
                <w:color w:val="auto"/>
              </w:rPr>
              <w:t xml:space="preserve">Total liabilities </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5,915,143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5,270,704</w:t>
            </w:r>
          </w:p>
        </w:tc>
        <w:tc>
          <w:tcPr>
            <w:tcW w:w="0" w:type="dxa"/>
            <w:vAlign w:val="bottom"/>
          </w:tcPr>
          <w:p>
            <w:pPr>
              <w:spacing w:after="0"/>
              <w:rPr>
                <w:sz w:val="1"/>
                <w:szCs w:val="1"/>
                <w:color w:val="auto"/>
              </w:rPr>
            </w:pPr>
          </w:p>
        </w:tc>
      </w:tr>
      <w:tr>
        <w:trPr>
          <w:trHeight w:val="206"/>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(See Note 20)</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unit data)</w:t>
      </w:r>
    </w:p>
    <w:p>
      <w:pPr>
        <w:spacing w:after="0" w:line="200" w:lineRule="exact"/>
        <w:rPr>
          <w:sz w:val="20"/>
          <w:szCs w:val="20"/>
          <w:color w:val="auto"/>
        </w:rPr>
      </w:pP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40"/>
        </w:trPr>
        <w:tc>
          <w:tcPr>
            <w:tcW w:w="7500" w:type="dxa"/>
            <w:vAlign w:val="bottom"/>
            <w:tcBorders>
              <w:top w:val="single" w:sz="8" w:color="CCEEFF"/>
              <w:left w:val="single" w:sz="8" w:color="CCEEFF"/>
            </w:tcBorders>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Limited partner interests in SLGOP (4,510 and 3,949 limited partner common units outstanding at December 31,</w:t>
            </w:r>
          </w:p>
        </w:tc>
        <w:tc>
          <w:tcPr>
            <w:tcW w:w="18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288,941</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238,051</w:t>
            </w:r>
          </w:p>
        </w:tc>
        <w:tc>
          <w:tcPr>
            <w:tcW w:w="0" w:type="dxa"/>
            <w:vAlign w:val="bottom"/>
          </w:tcPr>
          <w:p>
            <w:pPr>
              <w:spacing w:after="0"/>
              <w:rPr>
                <w:sz w:val="1"/>
                <w:szCs w:val="1"/>
                <w:color w:val="auto"/>
              </w:rPr>
            </w:pPr>
          </w:p>
        </w:tc>
      </w:tr>
      <w:tr>
        <w:trPr>
          <w:trHeight w:val="210"/>
        </w:trPr>
        <w:tc>
          <w:tcPr>
            <w:tcW w:w="75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and 2023, respectively)</w:t>
            </w: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Preferred units and redeemable equity</w:t>
            </w:r>
          </w:p>
        </w:tc>
        <w:tc>
          <w:tcPr>
            <w:tcW w:w="180" w:type="dxa"/>
            <w:vAlign w:val="bottom"/>
          </w:tcPr>
          <w:p>
            <w:pPr>
              <w:spacing w:after="0"/>
              <w:rPr>
                <w:sz w:val="18"/>
                <w:szCs w:val="18"/>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196,064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166,501</w:t>
            </w:r>
          </w:p>
        </w:tc>
        <w:tc>
          <w:tcPr>
            <w:tcW w:w="0" w:type="dxa"/>
            <w:vAlign w:val="bottom"/>
          </w:tcPr>
          <w:p>
            <w:pPr>
              <w:spacing w:after="0"/>
              <w:rPr>
                <w:sz w:val="1"/>
                <w:szCs w:val="1"/>
                <w:color w:val="auto"/>
              </w:rPr>
            </w:pPr>
          </w:p>
        </w:tc>
      </w:tr>
      <w:tr>
        <w:trPr>
          <w:trHeight w:val="171"/>
        </w:trPr>
        <w:tc>
          <w:tcPr>
            <w:tcW w:w="7500" w:type="dxa"/>
            <w:vAlign w:val="bottom"/>
            <w:tcBorders>
              <w:left w:val="single" w:sz="8" w:color="CCEEFF"/>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520" w:type="dxa"/>
            <w:vAlign w:val="bottom"/>
            <w:tcBorders>
              <w:left w:val="single" w:sz="8" w:color="CCEEFF"/>
            </w:tcBorders>
            <w:shd w:val="clear" w:color="auto" w:fill="000000"/>
          </w:tcPr>
          <w:p>
            <w:pPr>
              <w:spacing w:after="0"/>
              <w:rPr>
                <w:sz w:val="3"/>
                <w:szCs w:val="3"/>
                <w:color w:val="auto"/>
              </w:rPr>
            </w:pPr>
          </w:p>
        </w:tc>
        <w:tc>
          <w:tcPr>
            <w:tcW w:w="69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SLGOP partners' capital:</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7500" w:type="dxa"/>
            <w:vAlign w:val="bottom"/>
            <w:tcBorders>
              <w:left w:val="single" w:sz="8" w:color="CCEEFF"/>
            </w:tcBorders>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w w:val="99"/>
              </w:rPr>
              <w:t>Series I Preferred Units, $25.00 liquidation preference, 9,200 issued and outstanding at both December 31, 2024 and</w:t>
            </w: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221,932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221,932</w:t>
            </w:r>
          </w:p>
        </w:tc>
        <w:tc>
          <w:tcPr>
            <w:tcW w:w="0" w:type="dxa"/>
            <w:vAlign w:val="bottom"/>
          </w:tcPr>
          <w:p>
            <w:pPr>
              <w:spacing w:after="0"/>
              <w:rPr>
                <w:sz w:val="1"/>
                <w:szCs w:val="1"/>
                <w:color w:val="auto"/>
              </w:rPr>
            </w:pPr>
          </w:p>
        </w:tc>
      </w:tr>
      <w:tr>
        <w:trPr>
          <w:trHeight w:val="210"/>
        </w:trPr>
        <w:tc>
          <w:tcPr>
            <w:tcW w:w="52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6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5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SL Green partners' capital (756 and 687 general partner common units, and 70,341 and 64,039 limited partner</w:t>
            </w:r>
          </w:p>
        </w:tc>
        <w:tc>
          <w:tcPr>
            <w:tcW w:w="18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3,711,172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3,546,906</w:t>
            </w:r>
          </w:p>
        </w:tc>
        <w:tc>
          <w:tcPr>
            <w:tcW w:w="0" w:type="dxa"/>
            <w:vAlign w:val="bottom"/>
          </w:tcPr>
          <w:p>
            <w:pPr>
              <w:spacing w:after="0"/>
              <w:rPr>
                <w:sz w:val="1"/>
                <w:szCs w:val="1"/>
                <w:color w:val="auto"/>
              </w:rPr>
            </w:pPr>
          </w:p>
        </w:tc>
      </w:tr>
      <w:tr>
        <w:trPr>
          <w:trHeight w:val="208"/>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common units outstanding at December 31, 2024 and 2023, respectively)</w:t>
            </w: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18,196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0" w:type="dxa"/>
            <w:vAlign w:val="bottom"/>
          </w:tcPr>
          <w:p>
            <w:pPr>
              <w:spacing w:after="0"/>
              <w:rPr>
                <w:sz w:val="1"/>
                <w:szCs w:val="1"/>
                <w:color w:val="auto"/>
              </w:rPr>
            </w:pPr>
          </w:p>
        </w:tc>
      </w:tr>
      <w:tr>
        <w:trPr>
          <w:trHeight w:val="202"/>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SLGOP partners' capital</w:t>
            </w:r>
          </w:p>
        </w:tc>
        <w:tc>
          <w:tcPr>
            <w:tcW w:w="180" w:type="dxa"/>
            <w:vAlign w:val="bottom"/>
          </w:tcPr>
          <w:p>
            <w:pPr>
              <w:spacing w:after="0"/>
              <w:rPr>
                <w:sz w:val="17"/>
                <w:szCs w:val="17"/>
                <w:color w:val="auto"/>
              </w:rPr>
            </w:pP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3,951,300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3,786,315</w:t>
            </w:r>
          </w:p>
        </w:tc>
        <w:tc>
          <w:tcPr>
            <w:tcW w:w="0" w:type="dxa"/>
            <w:vAlign w:val="bottom"/>
          </w:tcPr>
          <w:p>
            <w:pPr>
              <w:spacing w:after="0"/>
              <w:rPr>
                <w:sz w:val="1"/>
                <w:szCs w:val="1"/>
                <w:color w:val="auto"/>
              </w:rPr>
            </w:pPr>
          </w:p>
        </w:tc>
      </w:tr>
      <w:tr>
        <w:trPr>
          <w:trHeight w:val="211"/>
        </w:trPr>
        <w:tc>
          <w:tcPr>
            <w:tcW w:w="750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118,651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69,610</w:t>
            </w:r>
          </w:p>
        </w:tc>
        <w:tc>
          <w:tcPr>
            <w:tcW w:w="0" w:type="dxa"/>
            <w:vAlign w:val="bottom"/>
          </w:tcPr>
          <w:p>
            <w:pPr>
              <w:spacing w:after="0"/>
              <w:rPr>
                <w:sz w:val="1"/>
                <w:szCs w:val="1"/>
                <w:color w:val="auto"/>
              </w:rPr>
            </w:pPr>
          </w:p>
        </w:tc>
      </w:tr>
      <w:tr>
        <w:trPr>
          <w:trHeight w:val="202"/>
        </w:trPr>
        <w:tc>
          <w:tcPr>
            <w:tcW w:w="75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capital</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4,069,951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3,855,925</w:t>
            </w:r>
          </w:p>
        </w:tc>
        <w:tc>
          <w:tcPr>
            <w:tcW w:w="0" w:type="dxa"/>
            <w:vAlign w:val="bottom"/>
          </w:tcPr>
          <w:p>
            <w:pPr>
              <w:spacing w:after="0"/>
              <w:rPr>
                <w:sz w:val="1"/>
                <w:szCs w:val="1"/>
                <w:color w:val="auto"/>
              </w:rPr>
            </w:pPr>
          </w:p>
        </w:tc>
      </w:tr>
      <w:tr>
        <w:trPr>
          <w:trHeight w:val="229"/>
        </w:trPr>
        <w:tc>
          <w:tcPr>
            <w:tcW w:w="750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capital</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10,470,099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9,531,181</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left="20" w:right="20" w:firstLine="2"/>
        <w:spacing w:after="0" w:line="217" w:lineRule="auto"/>
        <w:tabs>
          <w:tab w:leader="none" w:pos="228"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Partnership's consolidated balance sheets include assets and liabilities of consolidated variable interest entities ("VIEs"). See Note 2. The consolidated balance sheets include the following amounts related to our consolidated VIEs, excluding the Operating Partnership: $236.7 million and $41.2 million of land, $159.1 million and $40.5 million of building and improvements, $</w:t>
      </w:r>
    </w:p>
    <w:p>
      <w:pPr>
        <w:jc w:val="both"/>
        <w:ind w:left="20" w:right="20"/>
        <w:spacing w:after="0" w:line="21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million and $— million of building and leasehold improvements, $— million and $— million of right of use assets, $4.1 million and $5.4 million of accumulated depreciation, 709.1 million and — million of real estate loans held by consolidated securitization vehicles, $830.3 million and $676.9 million of other assets included in other line items, $357.9 million and $50.0 million of real estate debt, net, $1.1 million and $0.9 million of accrued interest payable, $— million and $— million of lease liabilities, 590.1 million and — million of senior obligations of consolidated securitization vehicles and $324.8 million and $306.5 million of other liabilities included in other line items as of December 31, 2024 and December 31, 2023, respectively.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unit data)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3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Rental revenue, net</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605,999</w:t>
            </w:r>
          </w:p>
        </w:tc>
        <w:tc>
          <w:tcPr>
            <w:tcW w:w="4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683,335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671,500</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133,214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89,048</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24,353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81,113</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from real estate loans held by consolidated securitization vehicles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18,980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103,726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77,410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77,793</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886,272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913,710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919,454</w:t>
            </w:r>
          </w:p>
        </w:tc>
        <w:tc>
          <w:tcPr>
            <w:tcW w:w="0" w:type="dxa"/>
            <w:vAlign w:val="bottom"/>
          </w:tcPr>
          <w:p>
            <w:pPr>
              <w:spacing w:after="0"/>
              <w:rPr>
                <w:sz w:val="1"/>
                <w:szCs w:val="1"/>
                <w:color w:val="auto"/>
              </w:rPr>
            </w:pPr>
          </w:p>
        </w:tc>
      </w:tr>
      <w:tr>
        <w:trPr>
          <w:trHeight w:val="18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3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Operating expenses, including related party expenses of $7 in 2024, $5 in 2023 and $5,701 in</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189,598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196,696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174,063</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128,187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138,228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24,423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26,943</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111,739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89,207</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147,220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89,473</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6,619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Operator tax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senior obligations of consolidated securitization vehicles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14,634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207,443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247,810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216,167</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85,187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111,389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93,798</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916,181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990,296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838,752</w:t>
            </w:r>
          </w:p>
        </w:tc>
        <w:tc>
          <w:tcPr>
            <w:tcW w:w="0" w:type="dxa"/>
            <w:vAlign w:val="bottom"/>
          </w:tcPr>
          <w:p>
            <w:pPr>
              <w:spacing w:after="0"/>
              <w:rPr>
                <w:sz w:val="1"/>
                <w:szCs w:val="1"/>
                <w:color w:val="auto"/>
              </w:rPr>
            </w:pP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net loss from unconsolidated joint ventures</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(179,695)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(76,509)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net gain (loss) on sale of interest in unconsolidated joint venture/real estate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208,144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88,966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(8,118)</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sale of real estate,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(84,485)</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(104,071)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(382,374)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early extinguishment of debt</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43,762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60" w:type="dxa"/>
            <w:vAlign w:val="bottom"/>
          </w:tcPr>
          <w:p>
            <w:pPr>
              <w:spacing w:after="0"/>
              <w:rPr>
                <w:sz w:val="17"/>
                <w:szCs w:val="17"/>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30,222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(599,337)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(76,303)</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in other partnerships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Preferred units distributions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(8,643)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(6,443)</w:t>
            </w: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SLGOP</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22,507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(602,024)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(83,868)</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Perpetual preferred unit dividends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(14,950)</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SLGOP common unitholders</w:t>
            </w: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7,557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(616,974)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(98,818)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(loss) per unit</w:t>
            </w: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0.04</w:t>
            </w:r>
          </w:p>
        </w:tc>
        <w:tc>
          <w:tcPr>
            <w:tcW w:w="4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(loss) per unit</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0.04</w:t>
            </w:r>
          </w:p>
        </w:tc>
        <w:tc>
          <w:tcPr>
            <w:tcW w:w="4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50"/>
        </w:trPr>
        <w:tc>
          <w:tcPr>
            <w:tcW w:w="6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weighted average common units outstanding</w:t>
            </w: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68,736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67,929</w:t>
            </w:r>
          </w:p>
        </w:tc>
        <w:tc>
          <w:tcPr>
            <w:tcW w:w="0" w:type="dxa"/>
            <w:vAlign w:val="bottom"/>
          </w:tcPr>
          <w:p>
            <w:pPr>
              <w:spacing w:after="0"/>
              <w:rPr>
                <w:sz w:val="1"/>
                <w:szCs w:val="1"/>
                <w:color w:val="auto"/>
              </w:rPr>
            </w:pPr>
          </w:p>
        </w:tc>
      </w:tr>
      <w:tr>
        <w:trPr>
          <w:trHeight w:val="21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units and common unit equivalents outstanding</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69,605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67,929</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3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0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30,222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(599,337)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(76,303)</w:t>
            </w:r>
          </w:p>
        </w:tc>
        <w:tc>
          <w:tcPr>
            <w:tcW w:w="0" w:type="dxa"/>
            <w:vAlign w:val="bottom"/>
          </w:tcPr>
          <w:p>
            <w:pPr>
              <w:spacing w:after="0"/>
              <w:rPr>
                <w:sz w:val="1"/>
                <w:szCs w:val="1"/>
                <w:color w:val="auto"/>
              </w:rPr>
            </w:pPr>
          </w:p>
        </w:tc>
      </w:tr>
      <w:tr>
        <w:trPr>
          <w:trHeight w:val="208"/>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3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Increase (decrease) in unrealized value of derivative instruments, including SL Green's share of</w:t>
            </w:r>
          </w:p>
        </w:tc>
        <w:tc>
          <w:tcPr>
            <w:tcW w:w="10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(32,437)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103,629</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joint venture derivative instruments</w:t>
            </w:r>
          </w:p>
        </w:tc>
        <w:tc>
          <w:tcPr>
            <w:tcW w:w="100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Increase (decrease) in unrealized value of marketable securities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0" w:type="dxa"/>
            <w:vAlign w:val="bottom"/>
          </w:tcPr>
          <w:p>
            <w:pPr>
              <w:spacing w:after="0"/>
              <w:rPr>
                <w:sz w:val="1"/>
                <w:szCs w:val="1"/>
                <w:color w:val="auto"/>
              </w:rPr>
            </w:pPr>
          </w:p>
        </w:tc>
      </w:tr>
      <w:tr>
        <w:trPr>
          <w:trHeight w:val="204"/>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102,189</w:t>
            </w:r>
          </w:p>
        </w:tc>
        <w:tc>
          <w:tcPr>
            <w:tcW w:w="0" w:type="dxa"/>
            <w:vAlign w:val="bottom"/>
          </w:tcPr>
          <w:p>
            <w:pPr>
              <w:spacing w:after="0"/>
              <w:rPr>
                <w:sz w:val="1"/>
                <w:szCs w:val="1"/>
                <w:color w:val="auto"/>
              </w:rPr>
            </w:pPr>
          </w:p>
        </w:tc>
      </w:tr>
      <w:tr>
        <w:trPr>
          <w:trHeight w:val="202"/>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31,092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(633,424)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25,886</w:t>
            </w:r>
          </w:p>
        </w:tc>
        <w:tc>
          <w:tcPr>
            <w:tcW w:w="0" w:type="dxa"/>
            <w:vAlign w:val="bottom"/>
          </w:tcPr>
          <w:p>
            <w:pPr>
              <w:spacing w:after="0"/>
              <w:rPr>
                <w:sz w:val="1"/>
                <w:szCs w:val="1"/>
                <w:color w:val="auto"/>
              </w:rPr>
            </w:pPr>
          </w:p>
        </w:tc>
      </w:tr>
      <w:tr>
        <w:trPr>
          <w:trHeight w:val="211"/>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 attributable to noncontrolling interests</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attributable to noncontrolling interests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1,960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SLGOP</w:t>
            </w: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31,869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(626,896)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Consolidated Statements of Capital</w:t>
      </w:r>
    </w:p>
    <w:p>
      <w:pPr>
        <w:spacing w:after="0" w:line="14"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(in thousands, except per unit data)</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10"/>
          </w:tcPr>
          <w:p>
            <w:pPr>
              <w:ind w:left="560"/>
              <w:spacing w:after="0"/>
              <w:rPr>
                <w:sz w:val="20"/>
                <w:szCs w:val="20"/>
                <w:color w:val="auto"/>
              </w:rPr>
            </w:pPr>
            <w:r>
              <w:rPr>
                <w:rFonts w:ascii="Times New Roman" w:cs="Times New Roman" w:eastAsia="Times New Roman" w:hAnsi="Times New Roman"/>
                <w:sz w:val="14"/>
                <w:szCs w:val="14"/>
                <w:b w:val="1"/>
                <w:bCs w:val="1"/>
                <w:color w:val="auto"/>
              </w:rPr>
              <w:t>SL Green Operating Partnership Unitholders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2"/>
                <w:szCs w:val="12"/>
                <w:b w:val="1"/>
                <w:bCs w:val="1"/>
                <w:color w:val="auto"/>
              </w:rPr>
              <w:t>Partners' Interest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5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220"/>
              <w:spacing w:after="0" w:line="105" w:lineRule="exact"/>
              <w:rPr>
                <w:sz w:val="20"/>
                <w:szCs w:val="20"/>
                <w:color w:val="auto"/>
              </w:rPr>
            </w:pPr>
            <w:r>
              <w:rPr>
                <w:rFonts w:ascii="Times New Roman" w:cs="Times New Roman" w:eastAsia="Times New Roman" w:hAnsi="Times New Roman"/>
                <w:sz w:val="12"/>
                <w:szCs w:val="12"/>
                <w:b w:val="1"/>
                <w:bCs w:val="1"/>
                <w:color w:val="auto"/>
              </w:rPr>
              <w:t>Series I</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20" w:type="dxa"/>
            <w:vAlign w:val="bottom"/>
          </w:tcPr>
          <w:p>
            <w:pPr>
              <w:spacing w:after="0"/>
              <w:rPr>
                <w:sz w:val="9"/>
                <w:szCs w:val="9"/>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0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40" w:type="dxa"/>
            <w:vAlign w:val="bottom"/>
          </w:tcPr>
          <w:p>
            <w:pPr>
              <w:spacing w:after="0"/>
              <w:rPr>
                <w:sz w:val="9"/>
                <w:szCs w:val="9"/>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5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Unitholders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 Income</w:t>
            </w: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60" w:type="dxa"/>
            <w:vAlign w:val="bottom"/>
          </w:tcPr>
          <w:p>
            <w:pPr>
              <w:spacing w:after="0"/>
              <w:rPr>
                <w:sz w:val="15"/>
                <w:szCs w:val="15"/>
                <w:color w:val="auto"/>
              </w:rPr>
            </w:pPr>
          </w:p>
        </w:tc>
        <w:tc>
          <w:tcPr>
            <w:tcW w:w="640" w:type="dxa"/>
            <w:vAlign w:val="bottom"/>
          </w:tcPr>
          <w:p>
            <w:pPr>
              <w:jc w:val="right"/>
              <w:ind w:right="19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64,105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4,589,702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(46,758)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13,377</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4,778,253</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(76,952)</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Acquisition of subsidiary interest from noncontrolling interest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(29,817)</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96,362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96,362</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Perpetual preferred unit dividends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DRSPP proceeds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Measurement adjustment for redeemable noncontrolling interest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39,974</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compensation plan and stock awards, net of forfeitures and tax withholdings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32,034</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common units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(151,197)</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Contributions to consolidated joint venture interests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52,164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52,164</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(4,699)</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special distribution paid in units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160,620</w:t>
            </w:r>
          </w:p>
        </w:tc>
        <w:tc>
          <w:tcPr>
            <w:tcW w:w="0" w:type="dxa"/>
            <w:vAlign w:val="bottom"/>
          </w:tcPr>
          <w:p>
            <w:pPr>
              <w:spacing w:after="0"/>
              <w:rPr>
                <w:sz w:val="1"/>
                <w:szCs w:val="1"/>
                <w:color w:val="auto"/>
              </w:rPr>
            </w:pPr>
          </w:p>
        </w:tc>
      </w:tr>
      <w:tr>
        <w:trPr>
          <w:trHeight w:val="124"/>
        </w:trPr>
        <w:tc>
          <w:tcPr>
            <w:tcW w:w="50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Cash distributions declared ($3.6896 per common unit, none of which represented a return of</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for federal income tax purposes)</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(235,395)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(235,395)</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64,380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4,313,497</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49,604</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61,889</w:t>
            </w:r>
          </w:p>
        </w:tc>
        <w:tc>
          <w:tcPr>
            <w:tcW w:w="120" w:type="dxa"/>
            <w:vAlign w:val="bottom"/>
          </w:tcPr>
          <w:p>
            <w:pPr>
              <w:spacing w:after="0"/>
              <w:rPr>
                <w:sz w:val="13"/>
                <w:szCs w:val="13"/>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4,646,922</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(564,559)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(569,127)</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(32,127)</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Perpetual preferred unit dividends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DRSPP proceeds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Measurement adjustment for redeemable noncontrolling interest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(15,486)</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compensation plan and stock awards, net of forfeitures and tax withholdings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35,573</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Contributions to consolidated joint venture interests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15,066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15,066</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(2,777)</w:t>
            </w:r>
          </w:p>
        </w:tc>
        <w:tc>
          <w:tcPr>
            <w:tcW w:w="0" w:type="dxa"/>
            <w:vAlign w:val="bottom"/>
          </w:tcPr>
          <w:p>
            <w:pPr>
              <w:spacing w:after="0"/>
              <w:rPr>
                <w:sz w:val="1"/>
                <w:szCs w:val="1"/>
                <w:color w:val="auto"/>
              </w:rPr>
            </w:pPr>
          </w:p>
        </w:tc>
      </w:tr>
      <w:tr>
        <w:trPr>
          <w:trHeight w:val="124"/>
        </w:trPr>
        <w:tc>
          <w:tcPr>
            <w:tcW w:w="50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Cash distributions declared ($3.2288 per common unit, none of which represented a return of</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for federal income tax purposes)</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(207,694)</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(207,694)</w:t>
            </w:r>
          </w:p>
        </w:tc>
        <w:tc>
          <w:tcPr>
            <w:tcW w:w="0" w:type="dxa"/>
            <w:vAlign w:val="bottom"/>
          </w:tcPr>
          <w:p>
            <w:pPr>
              <w:spacing w:after="0"/>
              <w:rPr>
                <w:sz w:val="1"/>
                <w:szCs w:val="1"/>
                <w:color w:val="auto"/>
              </w:rPr>
            </w:pPr>
          </w:p>
        </w:tc>
      </w:tr>
      <w:tr>
        <w:trPr>
          <w:trHeight w:val="158"/>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221,932</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64,726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3,546,906</w:t>
            </w:r>
          </w:p>
        </w:tc>
        <w:tc>
          <w:tcPr>
            <w:tcW w:w="10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17,477</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69,610</w:t>
            </w:r>
          </w:p>
        </w:tc>
        <w:tc>
          <w:tcPr>
            <w:tcW w:w="120" w:type="dxa"/>
            <w:vAlign w:val="bottom"/>
          </w:tcPr>
          <w:p>
            <w:pPr>
              <w:spacing w:after="0"/>
              <w:rPr>
                <w:sz w:val="13"/>
                <w:szCs w:val="13"/>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3,855,925</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21,082</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Acquisition of subsidiary interest from noncontrolling interest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(9,216)</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719</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Perpetual preferred unit dividends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(14,950)</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DRSPP proceeds</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52,308</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Conversion of common units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Measurement adjustment for redeemable noncontrolling interest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(107,631)</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compensation plan and stock awards, net of forfeitures and tax withholdings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26,848</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issuance of common stock</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386,790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386,790</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Contributions to consolidated joint venture interests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6,656</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Consolidation of partially owned entity</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59,452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59,452</w:t>
            </w:r>
          </w:p>
        </w:tc>
        <w:tc>
          <w:tcPr>
            <w:tcW w:w="0" w:type="dxa"/>
            <w:vAlign w:val="bottom"/>
          </w:tcPr>
          <w:p>
            <w:pPr>
              <w:spacing w:after="0"/>
              <w:rPr>
                <w:sz w:val="1"/>
                <w:szCs w:val="1"/>
                <w:color w:val="auto"/>
              </w:rPr>
            </w:pPr>
          </w:p>
        </w:tc>
      </w:tr>
      <w:tr>
        <w:trPr>
          <w:trHeight w:val="16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distributions to noncontrolling interests</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(11,053)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(11,053)</w:t>
            </w:r>
          </w:p>
        </w:tc>
        <w:tc>
          <w:tcPr>
            <w:tcW w:w="0" w:type="dxa"/>
            <w:vAlign w:val="bottom"/>
          </w:tcPr>
          <w:p>
            <w:pPr>
              <w:spacing w:after="0"/>
              <w:rPr>
                <w:sz w:val="1"/>
                <w:szCs w:val="1"/>
                <w:color w:val="auto"/>
              </w:rPr>
            </w:pPr>
          </w:p>
        </w:tc>
      </w:tr>
      <w:tr>
        <w:trPr>
          <w:trHeight w:val="124"/>
        </w:trPr>
        <w:tc>
          <w:tcPr>
            <w:tcW w:w="50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Cash distributions declared ($3.0075 per common unit, none of which represented a return of</w:t>
            </w: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for federal income tax purposes)</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(196,979)</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(196,979)</w:t>
            </w:r>
          </w:p>
        </w:tc>
        <w:tc>
          <w:tcPr>
            <w:tcW w:w="0" w:type="dxa"/>
            <w:vAlign w:val="bottom"/>
          </w:tcPr>
          <w:p>
            <w:pPr>
              <w:spacing w:after="0"/>
              <w:rPr>
                <w:sz w:val="1"/>
                <w:szCs w:val="1"/>
                <w:color w:val="auto"/>
              </w:rPr>
            </w:pPr>
          </w:p>
        </w:tc>
      </w:tr>
      <w:tr>
        <w:trPr>
          <w:trHeight w:val="170"/>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221,932</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71,097</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3,711,172</w:t>
            </w:r>
          </w:p>
        </w:tc>
        <w:tc>
          <w:tcPr>
            <w:tcW w:w="100" w:type="dxa"/>
            <w:vAlign w:val="bottom"/>
          </w:tcPr>
          <w:p>
            <w:pPr>
              <w:spacing w:after="0"/>
              <w:rPr>
                <w:sz w:val="14"/>
                <w:szCs w:val="14"/>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18,196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118,651</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4,069,951</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4"/>
        </w:trPr>
        <w:tc>
          <w:tcPr>
            <w:tcW w:w="7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30,222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(599,337)</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(76,303)</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214,062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223,984</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loss from unconsolidated joint ventures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179,695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57,958</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Distributions of cumulative earnings from unconsolidated joint ventures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12,992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net (gain) loss on sale of interest in unconsolidated joint venture/real estate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(208,144)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(88,966)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8,118</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104,071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6,313</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sale of real estate, net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84,485</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Loan loss reserves and other investment reserves, net of recoveries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early extinguishment of debt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(43,762)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rents receivable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(5,749)</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22,403</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46,219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14,370</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lease costs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(21,792)</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15,968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(28,204)</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other liabilities and security deposits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(74,501)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(30,839)</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18,332</w:t>
            </w:r>
          </w:p>
        </w:tc>
      </w:tr>
      <w:tr>
        <w:trPr>
          <w:trHeight w:val="21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Lease liability - operating leases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w:t>
            </w:r>
          </w:p>
        </w:tc>
      </w:tr>
      <w:tr>
        <w:trPr>
          <w:trHeight w:val="202"/>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129,595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229,503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276,088</w:t>
            </w:r>
          </w:p>
        </w:tc>
      </w:tr>
      <w:tr>
        <w:trPr>
          <w:trHeight w:val="20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of real estate property</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(64,491)</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Additions to land, buildings and improvements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(211,869)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(259,663)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(300,770)</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deposits and deferred purchase price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(23,050)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joint ventures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(451,233)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(184,518)</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in excess of cumulative earnings from unconsolidated joint ventures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161,474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141,742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proceeds from disposition of real estate/joint venture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729,025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557,611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626,364</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restricted cash assumed from acquisition and consolidation of real estate investment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60,494</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or redemption of marketable securities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15,626</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marketable securities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(12,368)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real estate loans held by consolidated securitization vehicles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(117,894)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investments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Origination of debt and preferred equity investments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(51,367)</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or redemption of debt and preferred equity investments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63,496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181,293</w:t>
            </w:r>
          </w:p>
        </w:tc>
      </w:tr>
      <w:tr>
        <w:trPr>
          <w:trHeight w:val="204"/>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118,753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171,345</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425,805</w:t>
            </w: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mortgages and other loans payable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4,450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381,980</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mortgages and other loans payable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(68,977)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(292,364)</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4"/>
        </w:trPr>
        <w:tc>
          <w:tcPr>
            <w:tcW w:w="7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revolving credit facility, term loans and senior unsecured notes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1,170,000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538,000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1,524,000</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term loans and senior unsecured notes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(1,510,000)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(1,864,000)</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options exercised and DRSPP issuance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52,308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units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386,790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units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(151,197)</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preferred units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(17,967)</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OP units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(38,177)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(40,901)</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in other partnerships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 in other partnerships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6,584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52,164</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subsidiary interest from noncontrolling interest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(29,817)</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on common and preferred units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(232,738)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(278,408)</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obligation related to secured borrowing</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77,874</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withholdings related to restricted share awards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w:t>
            </w:r>
          </w:p>
        </w:tc>
      </w:tr>
      <w:tr>
        <w:trPr>
          <w:trHeight w:val="20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loan costs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(1,442)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(8,098)</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(252,229)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(449,383)</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(654,823)</w:t>
            </w:r>
          </w:p>
        </w:tc>
      </w:tr>
      <w:tr>
        <w:trPr>
          <w:trHeight w:val="202"/>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(48,535)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47,070</w:t>
            </w:r>
          </w:p>
        </w:tc>
      </w:tr>
      <w:tr>
        <w:trPr>
          <w:trHeight w:val="21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335,519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384,054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336,984</w:t>
            </w:r>
          </w:p>
        </w:tc>
      </w:tr>
      <w:tr>
        <w:trPr>
          <w:trHeight w:val="204"/>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331,638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335,519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384,054</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5"/>
        </w:trPr>
        <w:tc>
          <w:tcPr>
            <w:tcW w:w="7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200,752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169,519</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9,001</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7,815</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5,358</w:t>
            </w:r>
          </w:p>
        </w:tc>
      </w:tr>
      <w:tr>
        <w:trPr>
          <w:trHeight w:val="250"/>
        </w:trPr>
        <w:tc>
          <w:tcPr>
            <w:tcW w:w="7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of preferred equity investment for real estate or equity in joint venture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190,652</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Exchange of debt investment for real estate or equity in joint venture</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193,995</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Assumption of mortgage and mezzanine loans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1,712,750</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special distribution paid in units</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160,620</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Tenant improvements and capital expenditures payable</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18,518</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subsidiary interest from noncontrolling interest</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Measurement adjustment for redeemable noncontrolling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107,632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39,974</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Consolidation of a subsidiary</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50,377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10,639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47,135</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Deconsolidation of a subsidiary</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Deconsolidation of subsidiary debt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1,712,750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and preferred equity investments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Extinguishment of debt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46,835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Removal of fully depreciated commercial real estate properties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6,903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30,359</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 to consolidated joint venture by noncontrolling interest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repurchase or redemption payable</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9,514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Recognition of right of use assets and related lease liabilities</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57,938</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assets</w:t>
            </w:r>
          </w:p>
        </w:tc>
        <w:tc>
          <w:tcPr>
            <w:tcW w:w="30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600,521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Consolidation of securitization vehicle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600,521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December 2024, the Company declared a regular monthly distribution per share of $0.2575 that was paid in cash. This distribution was paid in January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 In December 2023, the Company declared a regular monthly distribution per share of $0.2500 that was paid in cash. This distribution was paid in January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In December 2022, the Company declared a regular monthly distribution per share of $0.2708 that was paid in cash. This distribution was paid in January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w:t>
      </w:r>
    </w:p>
    <w:p>
      <w:pPr>
        <w:spacing w:after="0" w:line="101"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4"/>
        </w:trPr>
        <w:tc>
          <w:tcPr>
            <w:tcW w:w="7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184,294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203,273</w:t>
            </w:r>
          </w:p>
        </w:tc>
      </w:tr>
      <w:tr>
        <w:trPr>
          <w:trHeight w:val="20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147,344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180,781</w:t>
            </w:r>
          </w:p>
        </w:tc>
      </w:tr>
      <w:tr>
        <w:trPr>
          <w:trHeight w:val="204"/>
        </w:trPr>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331,638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335,519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384,054</w:t>
            </w: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Basis of Presentation</w:t>
      </w:r>
    </w:p>
    <w:p>
      <w:pPr>
        <w:spacing w:after="0" w:line="12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SL Green Realty Corp., which is referred to as the Company or SL Green,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Operating Partnership received a contribution of interest in the real estate properties, as well as 95% of the economic interest in the management, leasing and construction companies which are referred to as S.L. Green Management Corp, or the Service Corporation. All of the management, leasing and construction services that are provided to the properties that are wholly owned by us and that are provided to certain joint ventures are conducted through SL Green Management LLC and S.L. Green Management Corp., respectively, which are 100% owned by the Operating Partnership. The Company has qualified, and expects to qualify in the current fiscal year, as a real estate investment trust, or REIT, under the Internal Revenue Code of 1986, as amended, or the Code, and operates as a self-administered, self-managed REIT. A REIT is a legal entity that holds real estate interests and, through payments of dividends to stockholders, is permitted to minimize the payment of Federal income taxes at the corporate level. Unless the context requires otherwise, all references to "we," "our" and "us" means the Company and all entities owned or controlled by the Company, including the Operating Partnership.</w:t>
      </w:r>
    </w:p>
    <w:p>
      <w:pPr>
        <w:spacing w:after="0" w:line="74" w:lineRule="exact"/>
        <w:rPr>
          <w:sz w:val="20"/>
          <w:szCs w:val="20"/>
          <w:color w:val="auto"/>
        </w:rPr>
      </w:pPr>
    </w:p>
    <w:p>
      <w:pPr>
        <w:jc w:val="both"/>
        <w:ind w:firstLine="433"/>
        <w:spacing w:after="0" w:line="269" w:lineRule="auto"/>
        <w:rPr>
          <w:sz w:val="20"/>
          <w:szCs w:val="20"/>
          <w:color w:val="auto"/>
        </w:rPr>
      </w:pPr>
      <w:r>
        <w:rPr>
          <w:rFonts w:ascii="Times New Roman" w:cs="Times New Roman" w:eastAsia="Times New Roman" w:hAnsi="Times New Roman"/>
          <w:sz w:val="17"/>
          <w:szCs w:val="17"/>
          <w:color w:val="auto"/>
        </w:rPr>
        <w:t>Substantially all of our assets are held by, and all of our operations are conducted through, the Operating Partnership. The Company is the sole managing general partner of the Operating Partnership. As of December 31, 2024, noncontrolling investors held, in the aggregate, a 5.97% limited partnership interest in the Operating Partnership. We refer to these interests as the noncontrolling interests in the Operating Partnership. The Operating Partnership is considered a variable interest entity, or VIE, in which we are the primary beneficiary. See Note 11, "Noncontrolling Interests on the Company's Consolidated Financial Statements."</w:t>
      </w:r>
    </w:p>
    <w:p>
      <w:pPr>
        <w:spacing w:after="0" w:line="278"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On December 31, 2024, we owned the following interests in properties in the New York metropolitan area, primarily in midtown Manhattan. Our investments located outside of Manhattan are referred to as the Suburban properties: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2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940" w:type="dxa"/>
            <w:vAlign w:val="bottom"/>
          </w:tcPr>
          <w:p>
            <w:pPr>
              <w:spacing w:after="0"/>
              <w:rPr>
                <w:sz w:val="16"/>
                <w:szCs w:val="16"/>
                <w:color w:val="auto"/>
              </w:rPr>
            </w:pPr>
          </w:p>
        </w:tc>
        <w:tc>
          <w:tcPr>
            <w:tcW w:w="1340" w:type="dxa"/>
            <w:vAlign w:val="bottom"/>
            <w:gridSpan w:val="2"/>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2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rPr>
                <w:sz w:val="12"/>
                <w:szCs w:val="12"/>
                <w:color w:val="auto"/>
              </w:rPr>
            </w:pPr>
          </w:p>
        </w:tc>
        <w:tc>
          <w:tcPr>
            <w:tcW w:w="19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9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180" w:type="dxa"/>
            <w:vAlign w:val="bottom"/>
            <w:gridSpan w:val="2"/>
            <w:vMerge w:val="continue"/>
          </w:tcPr>
          <w:p>
            <w:pPr>
              <w:spacing w:after="0"/>
              <w:rPr>
                <w:sz w:val="12"/>
                <w:szCs w:val="12"/>
                <w:color w:val="auto"/>
              </w:rPr>
            </w:pPr>
          </w:p>
        </w:tc>
        <w:tc>
          <w:tcPr>
            <w:tcW w:w="94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Leased</w:t>
            </w:r>
          </w:p>
        </w:tc>
        <w:tc>
          <w:tcPr>
            <w:tcW w:w="0" w:type="dxa"/>
            <w:vAlign w:val="bottom"/>
          </w:tcPr>
          <w:p>
            <w:pPr>
              <w:spacing w:after="0"/>
              <w:rPr>
                <w:sz w:val="1"/>
                <w:szCs w:val="1"/>
                <w:color w:val="auto"/>
              </w:rPr>
            </w:pPr>
          </w:p>
        </w:tc>
      </w:tr>
      <w:tr>
        <w:trPr>
          <w:trHeight w:val="144"/>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104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Square Feet</w:t>
            </w: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Square Feet</w:t>
            </w:r>
          </w:p>
        </w:tc>
        <w:tc>
          <w:tcPr>
            <w:tcW w:w="240" w:type="dxa"/>
            <w:vAlign w:val="bottom"/>
          </w:tcPr>
          <w:p>
            <w:pPr>
              <w:spacing w:after="0"/>
              <w:rPr>
                <w:sz w:val="12"/>
                <w:szCs w:val="12"/>
                <w:color w:val="auto"/>
              </w:rPr>
            </w:pPr>
          </w:p>
        </w:tc>
        <w:tc>
          <w:tcPr>
            <w:tcW w:w="12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Occupancy</w:t>
            </w:r>
            <w:r>
              <w:rPr>
                <w:rFonts w:ascii="Times New Roman" w:cs="Times New Roman" w:eastAsia="Times New Roman" w:hAnsi="Times New Roman"/>
                <w:sz w:val="10"/>
                <w:szCs w:val="10"/>
                <w:b w:val="1"/>
                <w:bCs w:val="1"/>
                <w:color w:val="auto"/>
                <w:w w:val="99"/>
              </w:rPr>
              <w:t>(1)</w:t>
            </w:r>
          </w:p>
        </w:tc>
        <w:tc>
          <w:tcPr>
            <w:tcW w:w="0" w:type="dxa"/>
            <w:vAlign w:val="bottom"/>
          </w:tcPr>
          <w:p>
            <w:pPr>
              <w:spacing w:after="0"/>
              <w:rPr>
                <w:sz w:val="1"/>
                <w:szCs w:val="1"/>
                <w:color w:val="auto"/>
              </w:rPr>
            </w:pPr>
          </w:p>
        </w:tc>
      </w:tr>
      <w:tr>
        <w:trPr>
          <w:trHeight w:val="191"/>
        </w:trPr>
        <w:tc>
          <w:tcPr>
            <w:tcW w:w="980" w:type="dxa"/>
            <w:vAlign w:val="bottom"/>
            <w:vMerge w:val="continue"/>
          </w:tcPr>
          <w:p>
            <w:pPr>
              <w:spacing w:after="0"/>
              <w:rPr>
                <w:sz w:val="16"/>
                <w:szCs w:val="16"/>
                <w:color w:val="auto"/>
              </w:rPr>
            </w:pPr>
          </w:p>
        </w:tc>
        <w:tc>
          <w:tcPr>
            <w:tcW w:w="196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240" w:type="dxa"/>
            <w:vAlign w:val="bottom"/>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Buildings</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Buildings</w:t>
            </w:r>
          </w:p>
        </w:tc>
        <w:tc>
          <w:tcPr>
            <w:tcW w:w="2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4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0" w:type="dxa"/>
            <w:vAlign w:val="bottom"/>
          </w:tcPr>
          <w:p>
            <w:pPr>
              <w:spacing w:after="0"/>
              <w:rPr>
                <w:sz w:val="1"/>
                <w:szCs w:val="1"/>
                <w:color w:val="auto"/>
              </w:rPr>
            </w:pPr>
          </w:p>
        </w:tc>
      </w:tr>
      <w:tr>
        <w:trPr>
          <w:trHeight w:val="195"/>
        </w:trPr>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9,587,441</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12,175,149</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21,762,590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92.5 %</w:t>
            </w:r>
          </w:p>
        </w:tc>
        <w:tc>
          <w:tcPr>
            <w:tcW w:w="0" w:type="dxa"/>
            <w:vAlign w:val="bottom"/>
          </w:tcPr>
          <w:p>
            <w:pPr>
              <w:spacing w:after="0"/>
              <w:rPr>
                <w:sz w:val="1"/>
                <w:szCs w:val="1"/>
                <w:color w:val="auto"/>
              </w:rPr>
            </w:pPr>
          </w:p>
        </w:tc>
      </w:tr>
      <w:tr>
        <w:trPr>
          <w:trHeight w:val="204"/>
        </w:trPr>
        <w:tc>
          <w:tcPr>
            <w:tcW w:w="98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12,946</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Development/Redevelopment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0"/>
                <w:szCs w:val="10"/>
                <w:color w:val="auto"/>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880,771</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1,385,484</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2,266,255</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7"/>
        </w:trPr>
        <w:tc>
          <w:tcPr>
            <w:tcW w:w="98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10,498,708</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13,573,579</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24,072,287</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92.5 %</w:t>
            </w:r>
          </w:p>
        </w:tc>
        <w:tc>
          <w:tcPr>
            <w:tcW w:w="0" w:type="dxa"/>
            <w:vAlign w:val="bottom"/>
          </w:tcPr>
          <w:p>
            <w:pPr>
              <w:spacing w:after="0"/>
              <w:rPr>
                <w:sz w:val="1"/>
                <w:szCs w:val="1"/>
                <w:color w:val="auto"/>
              </w:rPr>
            </w:pPr>
          </w:p>
        </w:tc>
      </w:tr>
      <w:tr>
        <w:trPr>
          <w:trHeight w:val="190"/>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Suburban</w:t>
            </w: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Office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862,800</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862,800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73.5 %</w:t>
            </w:r>
          </w:p>
        </w:tc>
        <w:tc>
          <w:tcPr>
            <w:tcW w:w="0" w:type="dxa"/>
            <w:vAlign w:val="bottom"/>
          </w:tcPr>
          <w:p>
            <w:pPr>
              <w:spacing w:after="0"/>
              <w:rPr>
                <w:sz w:val="1"/>
                <w:szCs w:val="1"/>
                <w:color w:val="auto"/>
              </w:rPr>
            </w:pPr>
          </w:p>
        </w:tc>
      </w:tr>
      <w:tr>
        <w:trPr>
          <w:trHeight w:val="197"/>
        </w:trPr>
        <w:tc>
          <w:tcPr>
            <w:tcW w:w="294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commercial properties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11,361,508</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13,573,579</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24,935,087</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91.8 %</w:t>
            </w:r>
          </w:p>
        </w:tc>
        <w:tc>
          <w:tcPr>
            <w:tcW w:w="0" w:type="dxa"/>
            <w:vAlign w:val="bottom"/>
          </w:tcPr>
          <w:p>
            <w:pPr>
              <w:spacing w:after="0"/>
              <w:rPr>
                <w:sz w:val="1"/>
                <w:szCs w:val="1"/>
                <w:color w:val="auto"/>
              </w:rPr>
            </w:pPr>
          </w:p>
        </w:tc>
      </w:tr>
      <w:tr>
        <w:trPr>
          <w:trHeight w:val="171"/>
        </w:trPr>
        <w:tc>
          <w:tcPr>
            <w:tcW w:w="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Manhattan</w:t>
            </w:r>
          </w:p>
        </w:tc>
        <w:tc>
          <w:tcPr>
            <w:tcW w:w="1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color w:val="auto"/>
              </w:rPr>
              <w:t>(2)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140,382</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221,884</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362,266</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99.1 %</w:t>
            </w:r>
          </w:p>
        </w:tc>
        <w:tc>
          <w:tcPr>
            <w:tcW w:w="0" w:type="dxa"/>
            <w:vAlign w:val="bottom"/>
          </w:tcPr>
          <w:p>
            <w:pPr>
              <w:spacing w:after="0"/>
              <w:rPr>
                <w:sz w:val="1"/>
                <w:szCs w:val="1"/>
                <w:color w:val="auto"/>
              </w:rPr>
            </w:pPr>
          </w:p>
        </w:tc>
      </w:tr>
      <w:tr>
        <w:trPr>
          <w:trHeight w:val="190"/>
        </w:trPr>
        <w:tc>
          <w:tcPr>
            <w:tcW w:w="29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 core portfolio</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11,501,890</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13,795,463</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25,297,353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91.9 %</w:t>
            </w:r>
          </w:p>
        </w:tc>
        <w:tc>
          <w:tcPr>
            <w:tcW w:w="0" w:type="dxa"/>
            <w:vAlign w:val="bottom"/>
          </w:tcPr>
          <w:p>
            <w:pPr>
              <w:spacing w:after="0"/>
              <w:rPr>
                <w:sz w:val="1"/>
                <w:szCs w:val="1"/>
                <w:color w:val="auto"/>
              </w:rPr>
            </w:pPr>
          </w:p>
        </w:tc>
      </w:tr>
      <w:tr>
        <w:trPr>
          <w:trHeight w:val="20"/>
        </w:trPr>
        <w:tc>
          <w:tcPr>
            <w:tcW w:w="9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98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196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4"/>
                <w:szCs w:val="14"/>
                <w:color w:val="auto"/>
              </w:rPr>
              <w:t>Alternative Strategy</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2,567,025</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2,567,025</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63.0 %</w:t>
            </w: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Portfolio</w:t>
            </w:r>
          </w:p>
        </w:tc>
        <w:tc>
          <w:tcPr>
            <w:tcW w:w="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400" w:hanging="395"/>
        <w:spacing w:after="0" w:line="266" w:lineRule="auto"/>
        <w:tabs>
          <w:tab w:leader="none" w:pos="392"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leased occupancy for commercial properties represents the total leased square feet divided by total square footage at acquisition. The weighted average leased occupancy for residential properties represents the total leased units divided by total available units. Properties under construction are not included in the calculation of weighted average leased occupancy.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69" w:lineRule="exact"/>
        <w:rPr>
          <w:sz w:val="20"/>
          <w:szCs w:val="20"/>
          <w:color w:val="auto"/>
        </w:rPr>
      </w:pPr>
    </w:p>
    <w:p>
      <w:pPr>
        <w:jc w:val="both"/>
        <w:ind w:left="400" w:hanging="395"/>
        <w:spacing w:after="0" w:line="270" w:lineRule="auto"/>
        <w:tabs>
          <w:tab w:leader="none" w:pos="39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we owned a building at 7 Dey Street / 185 Broadway that was comprised of approximately 140,382 square feet (unaudited) of residential space and approximately 50,206 square feet (unaudited) of office and retail space that is under development. For the purpose of this report, we have included this building in the number of residential properties we own. However, we have included only the residential square footage in the residential approximate square footage, and have listed the balance of the square footage as development square footage.</w:t>
      </w:r>
    </w:p>
    <w:p>
      <w:pPr>
        <w:spacing w:after="0" w:line="6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As of December 31, 2024, we also managed one office building and one retail building owned by a third party encompassing approximately 0.4 million square feet (unaudited), and held debt and preferred equity investments with a book value of $303.7 million, excluding debt and preferred equity investments and other financing receivables totaling $9.7 million that are included in balance sheet line items other than the Debt and preferred equity investments line item.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Partnership Agreement</w:t>
      </w:r>
    </w:p>
    <w:p>
      <w:pPr>
        <w:spacing w:after="0" w:line="12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In accordance with the partnership agreement of the Operating Partnership, or the Operating Partnership Agreement, we allocate all distributions and profits and losses in proportion to the percentage of ownership interests of the respective partners, subject to the priority distributions with respect to preferred units and special provisions that apply to Long Term Incentive Plan ("LTIP") Units. As the managing general partner of the Operating Partnership, we are required to take such reasonable efforts, as determined by us in our sole discretion, to cause the Operating Partnership to distribute sufficient amounts to enable the payment of sufficient dividends by us to minimize any Federal income or excise tax at the Company level. Under the Operating Partnership Agreement, each limited partner has the right to redeem units of limited partnership interests for cash, or if we so elect, shares of SL Green's common stock on a one-for-one basis.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Subsequent Events</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January 2025, the Company closed on the acquisition of 500 Park Avenue for a gross asset valuation of $130.0 million. The Company financed the acquisition with a new $80.0 million mortgage. The mortgage has a term of up to 5 years, as fully extended, and bears interest at a floating rate of 2.40% over Term SOFR, which the Company has swapped to a fixed rate of 6.57% through February 2028.</w:t>
      </w:r>
    </w:p>
    <w:p>
      <w:pPr>
        <w:spacing w:after="0" w:line="55" w:lineRule="exact"/>
        <w:rPr>
          <w:sz w:val="20"/>
          <w:szCs w:val="20"/>
          <w:color w:val="auto"/>
        </w:rPr>
      </w:pPr>
    </w:p>
    <w:p>
      <w:pPr>
        <w:ind w:right="8740" w:firstLine="5"/>
        <w:spacing w:after="0" w:line="387" w:lineRule="auto"/>
        <w:tabs>
          <w:tab w:leader="none" w:pos="175"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Principles of Consolidation</w:t>
      </w:r>
    </w:p>
    <w:p>
      <w:pPr>
        <w:spacing w:after="0" w:line="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The consolidated financial statements include our accounts and those of our subsidiaries, which are wholly owned or controlled by us. Entities which we have significant influence, but do not control, through our voting interest and entities which are variable interest entities, but where we are not the primary beneficiary, are accounted for under the equity method. See Note 5, "Debt and Preferred Equity Investments" and Note 6, "Investments in Unconsolidated Joint Ventures." All significant intercompany balances and transactions have been eliminated.</w:t>
      </w:r>
    </w:p>
    <w:p>
      <w:pPr>
        <w:spacing w:after="0" w:line="6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consolidate a VIE in which we are considered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w:t>
      </w:r>
    </w:p>
    <w:p>
      <w:pPr>
        <w:spacing w:after="0" w:line="5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 noncontrolling interest in a consolidated subsidiary is defined as the portion of the equity (net assets) in a subsidiary not attributable, directly or indirectly, to us. Noncontrolling interests are required to be presented as a separate component of equity in the consolidated balance sheet and the presentation of net income is modified to present earnings and other comprehensive income (loss) attributed to controlling and noncontrolling interests.</w:t>
      </w:r>
    </w:p>
    <w:p>
      <w:pPr>
        <w:spacing w:after="0" w:line="57" w:lineRule="exact"/>
        <w:rPr>
          <w:sz w:val="20"/>
          <w:szCs w:val="20"/>
          <w:color w:val="auto"/>
        </w:rPr>
      </w:pPr>
    </w:p>
    <w:p>
      <w:pPr>
        <w:jc w:val="both"/>
        <w:ind w:firstLine="433"/>
        <w:spacing w:after="0" w:line="262" w:lineRule="auto"/>
        <w:rPr>
          <w:sz w:val="20"/>
          <w:szCs w:val="20"/>
          <w:color w:val="auto"/>
        </w:rPr>
      </w:pPr>
      <w:r>
        <w:rPr>
          <w:rFonts w:ascii="Times New Roman" w:cs="Times New Roman" w:eastAsia="Times New Roman" w:hAnsi="Times New Roman"/>
          <w:sz w:val="17"/>
          <w:szCs w:val="17"/>
          <w:color w:val="auto"/>
        </w:rPr>
        <w:t>We assess the accounting treatment for each joint venture and debt and preferred equity investment. This assessment includes a review of each joint venture or limited liability company agreement to determine the rights provided to each party and whether those rights are protective or participating. For all VIEs, we review such agreements in order to determine which party has the power to direct the activities that most significantly impact the entity's economic performance. In situations where we and our partner approve, among other things, the annual budget, receive a detailed monthly reporting package, meet on a quarterly basis to review the results of the joint venture, review and approve the joint venture's tax return before filing, and approve all leases that cover more than a nominal amount of space relative to the total rentable space at each property, we do not consolidate the joint venture as we consider these to be substantive participation rights that result in shared power of the activities that most significantly impact the performance of the joint venture. Our joint venture agreements typically contain certain protective rights such as requiring partner approval to sell, finance or refinance the property and the payment of capital expenditures and operating expenditures outside of the approved budget or operating plan.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 Commercial Real Estate Properties</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Real estate properties are presented at cost less accumulated depreciation and amortization. Costs directly related to the development or redevelopment of properties are capitalized. Ordinary repairs and maintenance are expensed as incurred; major replacements and betterments, which improve or extend the life of the asset, are capitalized and depreciated over their estimated useful lives.</w:t>
      </w:r>
    </w:p>
    <w:p>
      <w:pPr>
        <w:spacing w:after="0" w:line="57"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We recognize the assets acquired, liabilities assumed (including contingencies) and any noncontrolling interests in an acquired entity at their respective fair values on the acquisition date. When we acquire our partner's equity interest in an existing unconsolidated joint venture and gain control over the investment, we record the consolidated investment at fair value. The difference between the book value of our equity investment on the purchase date and our share of the fair value of the investment's purchase price is recorded as a purchase price fair value adjustment in our consolidated statements of operations. See Note 3, "Property Acquisitions."</w:t>
      </w:r>
    </w:p>
    <w:p>
      <w:pPr>
        <w:spacing w:after="0" w:line="67" w:lineRule="exact"/>
        <w:rPr>
          <w:sz w:val="20"/>
          <w:szCs w:val="20"/>
          <w:color w:val="auto"/>
        </w:rPr>
      </w:pPr>
    </w:p>
    <w:p>
      <w:pPr>
        <w:jc w:val="both"/>
        <w:ind w:firstLine="433"/>
        <w:spacing w:after="0" w:line="260" w:lineRule="auto"/>
        <w:rPr>
          <w:sz w:val="20"/>
          <w:szCs w:val="20"/>
          <w:color w:val="auto"/>
        </w:rPr>
      </w:pPr>
      <w:r>
        <w:rPr>
          <w:rFonts w:ascii="Times New Roman" w:cs="Times New Roman" w:eastAsia="Times New Roman" w:hAnsi="Times New Roman"/>
          <w:sz w:val="17"/>
          <w:szCs w:val="17"/>
          <w:color w:val="auto"/>
        </w:rPr>
        <w:t>We allocate the purchase price of real estate to land and building (inclusive of tenant improvements) and, if determined to be material, intangibles, such as the value of above- and below-market leases and origination costs associated with the in-place leases. We depreciate the amount allocated to building (inclusive of tenant improvements) over their estimated useful lives, which generally range from 3 years to 40 years. We amortize the amount allocated to the above- and below-market leases over the remaining term of the associated lease, which generally range from 1 year to 15 years, and record it as either an increase (in the case of below-market leases) or a decrease (in the case of above-market leases) to rental income. We amortize the amount allocated to the values associated with in-place leases over the expected term of the associated lease, which generally ranges from 1 year to 15 years. If a tenant vacates its space prior to the contractual termination of the lease and no rental payments are being made on the lease, any unamortized balance of the related intangible will be written off. Origination costs are amortized as an expense over the remaining life of the lease and tenant improvements are amortized over the shorter of the remaining life of the lease or useful life of improvement (or charged against earnings if the lease is terminated prior to its contractual expiration date). When allocating the purchase price of real estate, we assess fair value of the leases based on estimated cash flow projections that utilize appropriate discount rates and available market information. Estimates of future cash flows are based on a number of factors including the historical operating results, known trends, and market/economic conditions that may affect the property. To the extent acquired leases contain fixed rate renewal options that are below-market and determined to be material, we amortize such below-market lease value into rental income over the renewal period. As of December 31, 2024, the weighted average amortization period for above-market leases, below-market leases, and in-place lease costs is 10.0 years, 12.1 years, and 8.9 years, respectively.</w:t>
      </w:r>
    </w:p>
    <w:p>
      <w:pPr>
        <w:spacing w:after="0" w:line="77"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The Company classifies those leases under which the Company is the lessee at lease commencement as finance or operating leases. Leases qualify as finance leases if i) the lease transfers ownership of the asset at the end of the lease term, ii) the lease grants an option to purchase the asset that we are reasonably certain to exercise, iii) the lease term is for a major part of the remaining economic life of the asset, iv) the present value of the lease payments equals or exceeds substantially all of the fair value of the underlying asset, or v) the underlying asset is of such a specialized nature that it is expected to have no alternative use to the lessor at the end of the lease term. Leases that do not qualify as finance leases are deemed to be operating leases. At lease commencement the Company records a lease liability which is measured as the present value of the lease payments and a right of use asset which is measured as the amount of the lease liability and any initial direct costs incurred. The Company applies a discount rate to determine the present value of the lease payments. If the rate implicit in the lease is known, the Company uses that rate. If the rate implicit in the lease is not known, the Company uses a discount rate reflective of the Company's collateralized borrowing rate given the term of the lease. To determine the discount rate, the Company employs a third party specialist to develop an analysis based primarily on the observable borrowing rates of the Company, other REITs, and other corporate borrowers with long-term borrowings. On the consolidated statements of operations, operating leases are expensed through operating lease rent while financing leases are expensed through amortization and interest expense. When applicable, the Company combines the consideration for lease and non-lease components in the calculation of the value of the lease obligation and right-of-use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We incur a variety of costs in the development and leasing of our properties. After the determination is made to capitalize a cost, it is allocated to the specific component of a project that is benefited. Determination of when a development project is substantially complete and capitalization must cease involves a degree of judgment. The costs of land and building under development include specifically identifiable costs. The capitalized costs include, but are not limited to, pre-construction costs essential to the development of the property, development costs, construction costs, interest costs, real estate taxes, salaries and related costs and other costs incurred during the period of development. We consider a construction project as substantially completed and held available for occupancy upon the completion of tenant improvements, but no later than one year after major construction activity ceases. We cease capitalization on the portions substantially completed and occupied or held available for occupancy, and capitalize only those costs associated with the portions under construction.</w:t>
      </w:r>
    </w:p>
    <w:p>
      <w:pPr>
        <w:spacing w:after="0" w:line="68"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Properties other than Right of use assets - operating leases are depreciated using the straight-line method over the estimated useful lives of the assets. The estimated useful lives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Term</w:t>
            </w:r>
          </w:p>
        </w:tc>
      </w:tr>
      <w:tr>
        <w:trPr>
          <w:trHeight w:val="205"/>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(fee ownership)</w:t>
            </w:r>
          </w:p>
        </w:tc>
        <w:tc>
          <w:tcPr>
            <w:tcW w:w="100" w:type="dxa"/>
            <w:vAlign w:val="bottom"/>
            <w:tcBorders>
              <w:top w:val="single" w:sz="8" w:color="CCEEFF"/>
            </w:tcBorders>
            <w:shd w:val="clear" w:color="auto" w:fill="CCEEFF"/>
          </w:tcPr>
          <w:p>
            <w:pPr>
              <w:spacing w:after="0"/>
              <w:rPr>
                <w:sz w:val="17"/>
                <w:szCs w:val="17"/>
                <w:color w:val="auto"/>
              </w:rPr>
            </w:pPr>
          </w:p>
        </w:tc>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 years</w:t>
            </w:r>
          </w:p>
        </w:tc>
      </w:tr>
      <w:tr>
        <w:trPr>
          <w:trHeight w:val="208"/>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Building improvements</w:t>
            </w:r>
          </w:p>
        </w:tc>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shorter of remaining life of the building or useful life</w:t>
            </w:r>
          </w:p>
        </w:tc>
      </w:tr>
      <w:tr>
        <w:trPr>
          <w:trHeight w:val="212"/>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(leasehold interest)</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lesser of 40 years or remaining term of the lease</w:t>
            </w:r>
          </w:p>
        </w:tc>
      </w:tr>
      <w:tr>
        <w:trPr>
          <w:trHeight w:val="208"/>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Right of use assets - financing leases</w:t>
            </w:r>
          </w:p>
        </w:tc>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lesser of 40 years or remaining term of the lease</w:t>
            </w:r>
          </w:p>
        </w:tc>
      </w:tr>
      <w:tr>
        <w:trPr>
          <w:trHeight w:val="212"/>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 to 7 years</w:t>
            </w:r>
          </w:p>
        </w:tc>
      </w:tr>
      <w:tr>
        <w:trPr>
          <w:trHeight w:val="20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Tenant improvements</w:t>
            </w:r>
          </w:p>
        </w:tc>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shorter of remaining term of the lease or useful life</w:t>
            </w:r>
          </w:p>
        </w:tc>
      </w:tr>
    </w:tbl>
    <w:p>
      <w:pPr>
        <w:spacing w:after="0" w:line="182"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Right of use assets - operating leases are amortized over the remaining lease term. The amortization is made up of the principal amortization under the lease liability plus or minus the straight-line adjustment of the operating lease rent under ASC 842.</w:t>
      </w:r>
    </w:p>
    <w:p>
      <w:pPr>
        <w:spacing w:after="0" w:line="4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Depreciation expense (including amortization of right of use assets - financing leases) totaled $183.9 million, $221.0 million, and $190.1 million for the years ended December 31, 2024, 2023 and 2022, respectively.</w:t>
      </w:r>
    </w:p>
    <w:p>
      <w:pPr>
        <w:spacing w:after="0" w:line="4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Properties are individually evaluated for impairment quarterly or whenever events or changes in circumstances indicate that the carrying amount may not be recoverable. A consolidated property's value is considered impaired if management's estimate of the aggregate future cash flows (undiscounted) and terminal value to be generated by the property is less than the carrying value of the property taking into account the appropriate capitalization rate in determining the future terminal value. To the extent impairment has occurred, the loss will be measured as the excess of the carrying amount of the property over the fair value of the property as calculated in accordance with Accounting Standards Codification, or ASC 820. We also evaluate our real estate consolidated properties for impairment when a property has been classified as held for sale. Real estate assets held for sale are valued at the lower of their carrying value or fair value less costs to sell and depreciation expense is no longer recorded.</w:t>
      </w:r>
    </w:p>
    <w:p>
      <w:pPr>
        <w:spacing w:after="0" w:line="68"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In April 2024, the Company entered into an agreement to sell the property at 719 Seventh Avenue for $30.5 million. As a result of the pending sale, the Company recorded a $46.3 million charge to reduce the carrying value of its investment to the contracted purchase price for the three months ended March 31, 2024, which is included in Depreciable real estate reserves and impairments in the consolidated statements of operations. The transaction closed during the second quarter of 2024. See Note 4, "Properties Held for Sale and Property Dispositions."</w:t>
      </w:r>
    </w:p>
    <w:p>
      <w:pPr>
        <w:spacing w:after="0" w:line="64"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2024, the Company recorded a $17.6 million charge, reflective of $15.1 million of capitalized interest, to reduce the carrying value of the residential condominium units at 760 Madison Avenue, based on the total of the sales contracts that the Company entered into for these units. This charge is included in Depreciable real estate reserves and impairments in the consolidated statements of operations. The remaining transactions are expected to close during the first quarter of 2025. See Note 4, "Properties Held for Sale and Property Dispositions."</w:t>
      </w:r>
    </w:p>
    <w:p>
      <w:pPr>
        <w:spacing w:after="0" w:line="64"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2024, through a series of transactions, the Company reduced its ownership interest in 690 Madison Avenue to 90.0% and repaid the previous $60.9 million mortgage on the property for a net payment of $32.1 million. As a result of the transactions, the Company assessed the property for recoverability and recorded a $34.3 million charge to write down the carrying value of the investment, which is included in Depreciable real estate reserves and impairments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2024, we recognized a reduction of rental revenue of ($2.6 million) for the amortization of aggregate above-market leases in excess of below-market leases resulting from the allocation of the purchase price of the applicable properties. For the years ended December 31, 2023 and 2022, we recognized $14.2 million and $5.7 million, respectively, of rental revenue for the amortization of aggregate below-market leases in excess of above-market leases.</w:t>
      </w:r>
    </w:p>
    <w:p>
      <w:pPr>
        <w:spacing w:after="0" w:line="275"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following summarizes our identified intangible assets (acquired above-market leases and in-place leases) and intangible liabilities (acquired below-market leases) as of December 31, 2024 and 2023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7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2"/>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Identified intangible assets (included in other assets):</w:t>
            </w:r>
          </w:p>
        </w:tc>
        <w:tc>
          <w:tcPr>
            <w:tcW w:w="24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r>
      <w:tr>
        <w:trPr>
          <w:trHeight w:val="209"/>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amount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378,277</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189,680</w:t>
            </w:r>
          </w:p>
        </w:tc>
      </w:tr>
      <w:tr>
        <w:trPr>
          <w:trHeight w:val="21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(197,211)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(184,902)</w:t>
            </w:r>
          </w:p>
        </w:tc>
      </w:tr>
      <w:tr>
        <w:trPr>
          <w:trHeight w:val="204"/>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181,066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4,778</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76"/>
        </w:trPr>
        <w:tc>
          <w:tcPr>
            <w:tcW w:w="7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Identified intangible liabilities (included in deferred revenue):</w:t>
            </w: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09"/>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amount</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243,703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205,394</w:t>
            </w:r>
          </w:p>
        </w:tc>
      </w:tr>
      <w:tr>
        <w:trPr>
          <w:trHeight w:val="21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(204,092)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(202,089)</w:t>
            </w:r>
          </w:p>
        </w:tc>
      </w:tr>
      <w:tr>
        <w:trPr>
          <w:trHeight w:val="204"/>
        </w:trPr>
        <w:tc>
          <w:tcPr>
            <w:tcW w:w="7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39,611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3,305</w:t>
            </w:r>
          </w:p>
        </w:tc>
      </w:tr>
      <w:tr>
        <w:trPr>
          <w:trHeight w:val="20"/>
        </w:trPr>
        <w:tc>
          <w:tcPr>
            <w:tcW w:w="7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estimated annual amortization of acquired above-market leases, net of acquired (below-market) leases (a component of rental revenue), for each of the five succeeding years is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shd w:val="clear" w:color="auto" w:fill="CCEEFF"/>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2025</w:t>
            </w:r>
          </w:p>
        </w:tc>
        <w:tc>
          <w:tcPr>
            <w:tcW w:w="528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w:t>
            </w:r>
          </w:p>
        </w:tc>
      </w:tr>
      <w:tr>
        <w:trPr>
          <w:trHeight w:val="208"/>
        </w:trPr>
        <w:tc>
          <w:tcPr>
            <w:tcW w:w="5280" w:type="dxa"/>
            <w:vAlign w:val="bottom"/>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2026</w:t>
            </w:r>
          </w:p>
        </w:tc>
        <w:tc>
          <w:tcPr>
            <w:tcW w:w="5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5,265</w:t>
            </w:r>
          </w:p>
        </w:tc>
      </w:tr>
      <w:tr>
        <w:trPr>
          <w:trHeight w:val="212"/>
        </w:trPr>
        <w:tc>
          <w:tcPr>
            <w:tcW w:w="5280" w:type="dxa"/>
            <w:vAlign w:val="bottom"/>
            <w:shd w:val="clear" w:color="auto" w:fill="CCEEFF"/>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2027</w:t>
            </w:r>
          </w:p>
        </w:tc>
        <w:tc>
          <w:tcPr>
            <w:tcW w:w="5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4,754</w:t>
            </w:r>
          </w:p>
        </w:tc>
      </w:tr>
      <w:tr>
        <w:trPr>
          <w:trHeight w:val="208"/>
        </w:trPr>
        <w:tc>
          <w:tcPr>
            <w:tcW w:w="5280" w:type="dxa"/>
            <w:vAlign w:val="bottom"/>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2028</w:t>
            </w:r>
          </w:p>
        </w:tc>
        <w:tc>
          <w:tcPr>
            <w:tcW w:w="5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4,058</w:t>
            </w:r>
          </w:p>
        </w:tc>
      </w:tr>
      <w:tr>
        <w:trPr>
          <w:trHeight w:val="212"/>
        </w:trPr>
        <w:tc>
          <w:tcPr>
            <w:tcW w:w="5280" w:type="dxa"/>
            <w:vAlign w:val="bottom"/>
            <w:shd w:val="clear" w:color="auto" w:fill="CCEEFF"/>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2029</w:t>
            </w:r>
          </w:p>
        </w:tc>
        <w:tc>
          <w:tcPr>
            <w:tcW w:w="5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w:t>
            </w:r>
          </w:p>
        </w:tc>
      </w:tr>
    </w:tbl>
    <w:p>
      <w:pPr>
        <w:spacing w:after="0" w:line="165"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estimated annual amortization of all other identifiable assets (a component of depreciation and amortization expense) including tenant improvements for each of the five succeeding years is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shd w:val="clear" w:color="auto" w:fill="CCEEFF"/>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2025</w:t>
            </w:r>
          </w:p>
        </w:tc>
        <w:tc>
          <w:tcPr>
            <w:tcW w:w="52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30,485</w:t>
            </w:r>
          </w:p>
        </w:tc>
      </w:tr>
      <w:tr>
        <w:trPr>
          <w:trHeight w:val="208"/>
        </w:trPr>
        <w:tc>
          <w:tcPr>
            <w:tcW w:w="5280" w:type="dxa"/>
            <w:vAlign w:val="bottom"/>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2026</w:t>
            </w:r>
          </w:p>
        </w:tc>
        <w:tc>
          <w:tcPr>
            <w:tcW w:w="5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26,943</w:t>
            </w:r>
          </w:p>
        </w:tc>
      </w:tr>
      <w:tr>
        <w:trPr>
          <w:trHeight w:val="212"/>
        </w:trPr>
        <w:tc>
          <w:tcPr>
            <w:tcW w:w="5280" w:type="dxa"/>
            <w:vAlign w:val="bottom"/>
            <w:shd w:val="clear" w:color="auto" w:fill="CCEEFF"/>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2027</w:t>
            </w:r>
          </w:p>
        </w:tc>
        <w:tc>
          <w:tcPr>
            <w:tcW w:w="5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21,648</w:t>
            </w:r>
          </w:p>
        </w:tc>
      </w:tr>
      <w:tr>
        <w:trPr>
          <w:trHeight w:val="208"/>
        </w:trPr>
        <w:tc>
          <w:tcPr>
            <w:tcW w:w="5280" w:type="dxa"/>
            <w:vAlign w:val="bottom"/>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2028</w:t>
            </w:r>
          </w:p>
        </w:tc>
        <w:tc>
          <w:tcPr>
            <w:tcW w:w="5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16,492</w:t>
            </w:r>
          </w:p>
        </w:tc>
      </w:tr>
      <w:tr>
        <w:trPr>
          <w:trHeight w:val="212"/>
        </w:trPr>
        <w:tc>
          <w:tcPr>
            <w:tcW w:w="5280" w:type="dxa"/>
            <w:vAlign w:val="bottom"/>
            <w:shd w:val="clear" w:color="auto" w:fill="CCEEFF"/>
          </w:tcPr>
          <w:p>
            <w:pPr>
              <w:jc w:val="right"/>
              <w:ind w:right="4861"/>
              <w:spacing w:after="0"/>
              <w:rPr>
                <w:sz w:val="20"/>
                <w:szCs w:val="20"/>
                <w:color w:val="auto"/>
              </w:rPr>
            </w:pPr>
            <w:r>
              <w:rPr>
                <w:rFonts w:ascii="Times New Roman" w:cs="Times New Roman" w:eastAsia="Times New Roman" w:hAnsi="Times New Roman"/>
                <w:sz w:val="16"/>
                <w:szCs w:val="16"/>
                <w:color w:val="auto"/>
                <w:w w:val="99"/>
              </w:rPr>
              <w:t>2029</w:t>
            </w:r>
          </w:p>
        </w:tc>
        <w:tc>
          <w:tcPr>
            <w:tcW w:w="5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15,008</w:t>
            </w: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consider all highly liquid investments with maturity of three months or less when purchased to be cash equivalents.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Cash</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Restricted cash primarily consists of security deposits held on behalf of our tenants, interest reserves, as well as capital improvement and real estate tax escrows required under certain loan agreements.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See Note 16, "Fair Value Measurements."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 Marketable Securities</w:t>
      </w:r>
    </w:p>
    <w:p>
      <w:pPr>
        <w:spacing w:after="0" w:line="12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At acquisition, we designate a debt security as held-to-maturity, available-for-sale, or trading. As of December 31, 2024, we did not have any debt securities designated as trading. We account for our available-for-sale securities at fair value pursuant to ASC 820-10, with the net unrealized gains or losses reported as a component of accumulated other comprehensive income or loss. The cost of marketable securities sold and the amount reclassified out of accumulated other comprehensive income into earnings is determined using the specific identification method. We account for our held-to-maturity securities at amortized cost basis. Credit losses for our debt securities are recognized in accordance with ASC 326. No allowance for loan losses were recognized for the years ended December 31, 2024, 2023 and 2022. We account for equity marketable securities at fair value pursuant to ASC 820-10, with the net unrealized gains or losses reported in net income.</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2024 and 2023, we held the following marketable securities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7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 - available-for-sale</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17,323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w:t>
            </w:r>
          </w:p>
        </w:tc>
      </w:tr>
      <w:tr>
        <w:trPr>
          <w:trHeight w:val="20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Commercial mortgage-backed securities - held-to-maturity</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5,489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investment in marketable securities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22,812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9,591</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The cost basis of the available-for-sale commercial mortgage-backed securities ("CMBS") was $18.3 million and $11.5 million as of December 31, 2024 and 2023, respectively. These securities mature at various times through 2030. As of December 31, 2024, one security was in an unrealized gain position of $0.2 million with a fair market value of $5.5 million, and two securities were in an unrealized loss position of $1.5 million and fair market value of $11.8 million with one of the securities being in a continuous unrealized loss position for more than 12 months. All securities were in an unrealized loss position as of December 31, 2023 with an unrealized loss of $1.9 million and a fair market value of $9.6 million and were in a continuous unrealized loss position for more than 12 months. We do not intend to sell our other securities, and it is more likely than not that we will not be required to sell the investment before the recovery of their amortized cost basis.</w:t>
      </w:r>
    </w:p>
    <w:p>
      <w:pPr>
        <w:spacing w:after="0" w:line="283"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cost basis of the held-to-maturity CMBS was $5.5 million as of December 31, 2024, and was purchased at a $0.2 million discount. We had no held-to-maturity CMBS as of December 31, 2023.</w:t>
      </w:r>
    </w:p>
    <w:p>
      <w:pPr>
        <w:spacing w:after="0" w:line="4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did not dispose of any debt marketable securities during the years ended December 31, 2024 and December 31, 2023. During the year ended December 31, 2022, we received aggregate net proceeds of $7.8 million from the sale of one debt marketable security and $3.7 million from the repayment of one debt marketable security.</w:t>
      </w:r>
    </w:p>
    <w:p>
      <w:pPr>
        <w:spacing w:after="0" w:line="5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held no equity marketable securities as of December 31, 2024 and December 31, 2023. During the year ended December 31, 2022, we sold the one equity marketable security that was held as of December 31, 2021 for which we received aggregate net proceeds of $4.2 million. We recognized $6.5 million of realized losses for the year ended December 31, 2022.</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in CMBS Securitization Trusts</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may be contracted to provide special servicing activities for CMBS securitization trusts and, in certain cases, we may also acquire securities in these trusts. In certain cases, we may acquire the controlling class of the trust and we may have the right to designate, and remove, the special servicer for these trusts. These circumstances may result in our consolidating the securitization trusts on our financial statements. We evaluate all of our positions and special servicer appointments for consolidation, which are considered to be VIEs to the Company.</w:t>
      </w:r>
    </w:p>
    <w:p>
      <w:pPr>
        <w:spacing w:after="0" w:line="64"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As the special servicer, we provide services on defaulted loans within the trusts as permitted by the underlying contractual agreements. We receive a fee in exchange for these services. The rights provided to us as special servicer give us the ability to direct activities that could significantly impact the trust's economic performance, which requires consolidation of the securitization trust unless a third party has the right to unilaterally remove us as special servicer without cause. In such instances where we can be removed as special servicer without cause, we do not have the power to direct activities that most significantly impact the trust's economic performance and would not consolidate the securitization trust.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For CMBS securitization trusts in which we are determined to be the primary beneficiary, we consolidate the securitization trusts on our consolidated balance sheets. The consolidation of such securitization trusts results in a gross presentation of the underlying collateral loans as assets as well as the senior CMBS positions owned by third parties, which are presented as liabilities on our consolidated balance sheets. The assets of the consolidated securitization trust can only be used to satisfy the liabilities of that securitization and are not available to the Company for any other purpose. Additionally, the senior CMBS securitization trust obligations can only be satisfied through repayment of the underlying collateral loans as they do not have any recourse to the Company or our assets. The Company has not provided any guarantees with respect to the performance or repayment of the senior CMBS obligations.</w:t>
      </w:r>
    </w:p>
    <w:p>
      <w:pPr>
        <w:spacing w:after="0" w:line="69" w:lineRule="exact"/>
        <w:rPr>
          <w:sz w:val="20"/>
          <w:szCs w:val="20"/>
          <w:color w:val="auto"/>
        </w:rPr>
      </w:pPr>
    </w:p>
    <w:p>
      <w:pPr>
        <w:jc w:val="both"/>
        <w:ind w:firstLine="433"/>
        <w:spacing w:after="0" w:line="289" w:lineRule="auto"/>
        <w:rPr>
          <w:sz w:val="20"/>
          <w:szCs w:val="20"/>
          <w:color w:val="auto"/>
        </w:rPr>
      </w:pPr>
      <w:r>
        <w:rPr>
          <w:rFonts w:ascii="Times New Roman" w:cs="Times New Roman" w:eastAsia="Times New Roman" w:hAnsi="Times New Roman"/>
          <w:sz w:val="17"/>
          <w:szCs w:val="17"/>
          <w:color w:val="auto"/>
        </w:rPr>
        <w:t>While consolidation of the securitization trust increases the gross presentation of our consolidated balance sheets, it does not impact the economic exposure or performance of the Company as it is limited to that of the actual investment in the CMBS securitization trust, and not the consolidated senior obligations.</w:t>
      </w: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2024 and 2023, we consolidated the following CMBS securitization trusts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4"/>
              </w:rPr>
              <w:t xml:space="preserve">Fair Value </w:t>
            </w:r>
            <w:r>
              <w:rPr>
                <w:rFonts w:ascii="Times New Roman" w:cs="Times New Roman" w:eastAsia="Times New Roman" w:hAnsi="Times New Roman"/>
                <w:sz w:val="20"/>
                <w:szCs w:val="20"/>
                <w:b w:val="1"/>
                <w:bCs w:val="1"/>
                <w:color w:val="auto"/>
                <w:w w:val="94"/>
                <w:vertAlign w:val="superscript"/>
              </w:rPr>
              <w:t>(1)</w:t>
            </w: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5"/>
              </w:rPr>
              <w:t>Principal Value</w:t>
            </w: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4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Principal Value</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3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loans held by consolidated securitization vehicles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709,095</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894,000</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CEEFF"/>
          </w:tcPr>
          <w:p>
            <w:pPr>
              <w:spacing w:after="0"/>
              <w:rPr>
                <w:sz w:val="22"/>
                <w:szCs w:val="22"/>
                <w:color w:val="auto"/>
              </w:rPr>
            </w:pP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w:t>
            </w: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xml:space="preserve">2023 - 2024 </w:t>
            </w:r>
            <w:r>
              <w:rPr>
                <w:rFonts w:ascii="Times New Roman" w:cs="Times New Roman" w:eastAsia="Times New Roman" w:hAnsi="Times New Roman"/>
                <w:sz w:val="20"/>
                <w:szCs w:val="20"/>
                <w:color w:val="auto"/>
                <w:vertAlign w:val="superscript"/>
              </w:rPr>
              <w:t>(2)</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Senior obligations of consolidated securitization vehicles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590,131</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688,346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bottom w:val="single" w:sz="8" w:color="CCEEFF"/>
            </w:tcBorders>
            <w:gridSpan w:val="3"/>
          </w:tcPr>
          <w:p>
            <w:pPr>
              <w:jc w:val="right"/>
              <w:ind w:right="160"/>
              <w:spacing w:after="0" w:line="209" w:lineRule="exact"/>
              <w:rPr>
                <w:sz w:val="20"/>
                <w:szCs w:val="20"/>
                <w:color w:val="auto"/>
              </w:rPr>
            </w:pPr>
            <w:r>
              <w:rPr>
                <w:rFonts w:ascii="Times New Roman" w:cs="Times New Roman" w:eastAsia="Times New Roman" w:hAnsi="Times New Roman"/>
                <w:sz w:val="16"/>
                <w:szCs w:val="16"/>
                <w:color w:val="auto"/>
              </w:rPr>
              <w:t xml:space="preserve">2023 - 2024 </w:t>
            </w:r>
            <w:r>
              <w:rPr>
                <w:rFonts w:ascii="Times New Roman" w:cs="Times New Roman" w:eastAsia="Times New Roman" w:hAnsi="Times New Roman"/>
                <w:sz w:val="20"/>
                <w:szCs w:val="20"/>
                <w:color w:val="auto"/>
                <w:vertAlign w:val="superscript"/>
              </w:rPr>
              <w:t>(2)</w:t>
            </w:r>
          </w:p>
        </w:tc>
        <w:tc>
          <w:tcPr>
            <w:tcW w:w="0" w:type="dxa"/>
            <w:vAlign w:val="bottom"/>
          </w:tcPr>
          <w:p>
            <w:pPr>
              <w:spacing w:after="0"/>
              <w:rPr>
                <w:sz w:val="1"/>
                <w:szCs w:val="1"/>
                <w:color w:val="auto"/>
              </w:rPr>
            </w:pPr>
          </w:p>
        </w:tc>
      </w:tr>
      <w:tr>
        <w:trPr>
          <w:trHeight w:val="137"/>
        </w:trPr>
        <w:tc>
          <w:tcPr>
            <w:tcW w:w="43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Real estate loans held by consolidated securitization vehicles in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118,964</w:t>
            </w:r>
          </w:p>
        </w:tc>
        <w:tc>
          <w:tcPr>
            <w:tcW w:w="3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205,654</w:t>
            </w:r>
          </w:p>
        </w:tc>
        <w:tc>
          <w:tcPr>
            <w:tcW w:w="16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w:t>
            </w:r>
          </w:p>
        </w:tc>
        <w:tc>
          <w:tcPr>
            <w:tcW w:w="4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excess of senior obligations of consolidated securitization vehicles</w:t>
            </w: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vMerge w:val="continue"/>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4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$134.8 million and $34.2 million of assets and liabilities, respectively, for a loan that is on non-accrual and is accounted for on an amortized cost basis.</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 discussions with the respective borrowers on the resolution of the past maturities.</w:t>
      </w:r>
    </w:p>
    <w:p>
      <w:pPr>
        <w:spacing w:after="0" w:line="103"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We have elected to record the associated interest income and interest expense for these investments as separate line items on our consolidated statements of operations. The amounts recorded in Interest income from real estate loans held by consolidated securitization vehicles on our consolidated statements of operations include the Company's interest income as well as the interest income associated with CMBS positions owned by third parties, which is offset by the amounts recorded in Interest expense on senior obligations of consolidated securitization vehicles on our consolidated statements of operations. As a result, the net impact is limited to the interest income on the CMBS securities we own directly and not the gross consolidated interest income and interest expense.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Investments in Unconsolidated Joint Ventures</w:t>
      </w:r>
    </w:p>
    <w:p>
      <w:pPr>
        <w:spacing w:after="0" w:line="121" w:lineRule="exact"/>
        <w:rPr>
          <w:sz w:val="20"/>
          <w:szCs w:val="20"/>
          <w:color w:val="auto"/>
        </w:rPr>
      </w:pPr>
    </w:p>
    <w:p>
      <w:pPr>
        <w:jc w:val="both"/>
        <w:ind w:firstLine="433"/>
        <w:spacing w:after="0" w:line="260" w:lineRule="auto"/>
        <w:rPr>
          <w:sz w:val="20"/>
          <w:szCs w:val="20"/>
          <w:color w:val="auto"/>
        </w:rPr>
      </w:pPr>
      <w:r>
        <w:rPr>
          <w:rFonts w:ascii="Times New Roman" w:cs="Times New Roman" w:eastAsia="Times New Roman" w:hAnsi="Times New Roman"/>
          <w:sz w:val="17"/>
          <w:szCs w:val="17"/>
          <w:color w:val="auto"/>
        </w:rPr>
        <w:t>We account for our investments in unconsolidated joint ventures under the equity method of accounting in cases where we exercise significant influence over, but do not control, these entities and are not considered to be the primary beneficiary. We consolidate those joint ventures that we control or which are variable interest entities (each, a "VIE") and where we are considered to be the primary beneficiary. In all these joint ventures, the rights of the joint venture partner are both protective as well as participating. In scenarios where we are determined to be the primary beneficiary in a VIE, these substantive participating rights held by our joint venture partner preclude us from consolidating these VIE entities. These investments are recorded initially at cost, as investments in unconsolidated joint ventures, and subsequently adjusted for equity in net income (loss) and cash contributions and distributions. Equity in net income (loss) from unconsolidated joint ventures is allocated based on our ownership or economic interest in each joint venture and includes adjustments related to basis differences in accounting for the investment. When a capital event (as defined in each joint venture agreement) such as a refinancing occurs, if return thresholds are met, future equity income will be allocated at our increased economic interest. We recognize incentive income from unconsolidated real estate joint ventures as income to the extent it is earned and not subject to a clawback feature. Distributions we receive from unconsolidated real estate joint ventures in excess of our basis in the investment are recorded as offsets to our investment balance if we remain liable for future obligations of the joint venture or may otherwise be committed to provide future additional financial support. We generally finance our joint ventures with non-recourse debt. In certain cases we may provide guarantees or master leases, which terminate upon the satisfaction of specified circumstances or repayment of the underlying loans.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assess our investments in unconsolidated joint ventures for recoverability, and if it is determined that a loss in value of the investment is other than temporary, we write down the investment to its fair value. We evaluate our equity investments for impairment based on each joint ventures' actual and projected cash flows. Aside from charges noted in Note 6, "Investment in Unconsolidated Joint Ventures," we do not believe that the values of any of our equity investments were impaired at December 31, 2024.</w:t>
      </w:r>
    </w:p>
    <w:p>
      <w:pPr>
        <w:spacing w:after="0" w:line="64"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may originate loans for real estate acquisition, development and construction ("ADC loans"), where we expect to receive some of the residual profit from such projects. When the risk and rewards of these arrangements are essentially the same as an investor or joint venture partner, we account for these arrangements as real estate investments under the equity method of accounting for investments. Otherwise, we account for these arrangements consistent with the accounting for our debt and preferred equity investments.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Lease Costs</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Deferred lease costs consist of incremental fees and direct costs that would not have been incurred if the lease had not been obtained and are amortized on a straight-line basis over the related lease term. Certain of our employees provide leasing services to the wholly owned properties. For the years ended December 31, 2024, 2023 and 2022, $8.5 million, $6.8 million, and $6.6 million of their compensation, respectively, was capitalized and is amortized over an estimated average lease term of seven years.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Financing Costs</w:t>
      </w:r>
    </w:p>
    <w:p>
      <w:pPr>
        <w:spacing w:after="0" w:line="121"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Deferred financing costs represent commitment fees, legal, title and other third party costs associated with obtaining commitments for financing which result in a closing of such financing. These costs are amortized over the terms of the respective agreements. Unamortized deferred financing costs are expensed when the associated debt is refinanced or repaid before maturity. Costs incurred in seeking financing transactions, which do not close, are expensed in the period in which it is determined that the financing will not close. Deferred financing costs related to a recognized debt liability are presented in the consolidated balance sheet as a direct deduction from the carrying amount of that debt liability.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Classification</w:t>
      </w:r>
    </w:p>
    <w:p>
      <w:pPr>
        <w:spacing w:after="0" w:line="12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Lease classification for leases under which the Company is the lessor is evaluated at lease commencement and leases not classified as sales-type leases or direct financing leases are classified as operating leases. Leases qualify as sales-type leases if the contract includes either transfer of ownership clauses, certain purchase options, a lease term representing a major part of the economic life of the asset, or the present value of the lease payments and residual guarantees provided by the lessee exceeds substantially all of the fair value of the asset. Additionally, leasing an asset so specialized that it is not deemed to have any value to the Company at the end of the lease term may also result in classification as a sales-type lease. Leases qualify as direct financing leases when the present value of the lease payments and residual value guarantees provided by the lessee and unrelated third parties exceeds substantially all of the fair value of the asset and collection of the payments is probable.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Rental revenue for operating leases is recognized on a straight-line basis over the term of the lease. Rental revenue recognition commences when the leased space is available for its intended use by the lessee.</w:t>
      </w:r>
    </w:p>
    <w:p>
      <w:pPr>
        <w:spacing w:after="0" w:line="41" w:lineRule="exact"/>
        <w:rPr>
          <w:sz w:val="20"/>
          <w:szCs w:val="20"/>
          <w:color w:val="auto"/>
        </w:rPr>
      </w:pPr>
    </w:p>
    <w:p>
      <w:pPr>
        <w:jc w:val="both"/>
        <w:ind w:firstLine="433"/>
        <w:spacing w:after="0" w:line="269" w:lineRule="auto"/>
        <w:rPr>
          <w:sz w:val="20"/>
          <w:szCs w:val="20"/>
          <w:color w:val="auto"/>
        </w:rPr>
      </w:pPr>
      <w:r>
        <w:rPr>
          <w:rFonts w:ascii="Times New Roman" w:cs="Times New Roman" w:eastAsia="Times New Roman" w:hAnsi="Times New Roman"/>
          <w:sz w:val="17"/>
          <w:szCs w:val="17"/>
          <w:color w:val="auto"/>
        </w:rPr>
        <w:t>To determine whether the leased space is available for its intended use by the lessee, management evaluates whether we or the tenant are the owner of tenant improvements for accounting purposes. When management concludes that we are the owner of tenant improvements, rental revenue recognition begins when the tenant takes possession of the finished space, which is when such tenant improvements are substantially complete. In certain instances, when management concludes that we are not the owner of tenant improvements, rental revenue recognition begins when the tenant takes possession of or controls the space.</w:t>
      </w:r>
    </w:p>
    <w:p>
      <w:pPr>
        <w:spacing w:after="0" w:line="278"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excess of rents recognized over amounts contractually due pursuant to the underlying leases are included in deferred rents receivable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In addition to base rent, our tenants also generally will pay variable rent which represents their pro rata share of increases in real estate taxes and certain operating expenses for the building over a base year. In some leases, in lieu of paying additional rent based upon increases in certain building operating expenses, the tenant will pay additional rent based upon increases in the wage rate paid to porters over the porters' wage rate in effect during a base year or increases in the consumer price index over the index value in effect during a base year. In addition, many of our leases contain fixed percentage increases over the base rent to cover escalations. Electricity is most often supplied by the landlord either on a sub-metered basis, or rent inclusion basis (i.e., a fixed fee is included in the rent for electricity, which amount may increase based upon increases in electricity rates or increases in electrical usage by the tenant). Base building services other than electricity (such as heat, air conditioning and freight elevator service during business hours, and base building cleaning) are typically provided at no additional cost, with the tenant paying additional rent only for services which exceed base building services or for services which are provided outside normal business hours. These escalations are based on actual expenses incurred in the prior calendar year. If the expenses in the current year are different from those in the prior year, then during the current year, the escalations will be adjusted to reflect the actual expenses for the current year.</w:t>
      </w:r>
    </w:p>
    <w:p>
      <w:pPr>
        <w:spacing w:after="0" w:line="77"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Rental revenue is recognized if collectability is probable. If collectability of substantially all of the lease payments is assessed as not probable, any difference between the rental revenue recognized to date and the lease payments that have been collected is recognized as a current-period adjustment to rental revenue. A subsequent change in the assessment of collectability to probable may result in a current-period adjustment to rental revenue for any difference between the rental revenue that would have been recognized if collectability had always been assessed as probable and the rental revenue recognized to date.</w:t>
      </w:r>
    </w:p>
    <w:p>
      <w:pPr>
        <w:spacing w:after="0" w:line="6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Company provides its tenants with certain customary services for lease contracts such as common area maintenance and general security. We have elected to combine the non-lease components with the lease components of our operating lease agreements and account for them as a single lease component in accordance with ASC 842.</w:t>
      </w:r>
    </w:p>
    <w:p>
      <w:pPr>
        <w:spacing w:after="0" w:line="57"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We record a gain or loss on sale of real estate assets when we no longer have a controlling financial interest in the entity owning the real estate, a contract exists with a third party and that third party has control of the assets acquired.</w:t>
      </w:r>
    </w:p>
    <w:p>
      <w:pPr>
        <w:spacing w:after="0" w:line="4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Investment income on debt and preferred equity investments is accrued based on the contractual terms of the instruments and when it is deemed collectible. Some debt and preferred equity investments provide for accrual of interest at specified rates, which differ from current payment terms. Interest is recognized on such loans at the accrual rate subject to management's determination that accrued interest is collectible. If management cannot make this determination, interest income above the current pay rate is recognized only upon actual receipt.</w:t>
      </w:r>
    </w:p>
    <w:p>
      <w:pPr>
        <w:spacing w:after="0" w:line="64" w:lineRule="exact"/>
        <w:rPr>
          <w:sz w:val="20"/>
          <w:szCs w:val="20"/>
          <w:color w:val="auto"/>
        </w:rPr>
      </w:pPr>
    </w:p>
    <w:p>
      <w:pPr>
        <w:jc w:val="both"/>
        <w:ind w:firstLine="433"/>
        <w:spacing w:after="0" w:line="262" w:lineRule="auto"/>
        <w:rPr>
          <w:sz w:val="20"/>
          <w:szCs w:val="20"/>
          <w:color w:val="auto"/>
        </w:rPr>
      </w:pPr>
      <w:r>
        <w:rPr>
          <w:rFonts w:ascii="Times New Roman" w:cs="Times New Roman" w:eastAsia="Times New Roman" w:hAnsi="Times New Roman"/>
          <w:sz w:val="17"/>
          <w:szCs w:val="17"/>
          <w:color w:val="auto"/>
        </w:rPr>
        <w:t>Deferred origination fees, original issue discounts and loan origination costs, if any, are recognized as an adjustment to interest income over the terms of the related investments using the effective interest method. Fees received in connection with loan commitments are also deferred until the loan is funded and are then recognized over the term of the loan as an adjustment to yield. Discounts or premiums associated with the purchase of loans are amortized or accreted into interest income as a yield adjustment on the effective interest method based on expected cash flows through the expected maturity date of the related investment. If we purchase a debt or preferred equity investment at a discount, intend to hold it until maturity and expect to recover the full value of the investment, we accrete the discount into income as an adjustment to yield over the term of the investment. If we purchase a debt or preferred equity investment at a discount with the intention of foreclosing on the collateral, we do not accrete the discount. For debt investments acquired at a discount for credit quality, the difference between contractual cash flows and expected cash flows at acquisition is not accreted. Anticipated exit fees, the collection of which is expected, are also recognized over the term of the loan as an adjustment to yield.</w:t>
      </w:r>
    </w:p>
    <w:p>
      <w:pPr>
        <w:spacing w:after="0" w:line="73"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consider a debt and preferred equity investment to be past due when amounts contractually due have not been paid. Debt and preferred equity investments are placed on a non-accrual status at the earlier of the date at which payments become 90 days past due or when, in the opinion of management, a full recovery of interest income becomes doubtful. Interest income recognition is resumed on any debt or preferred equity investment that is on non-accrual status when such debt or preferred equity investment becomes contractually current and performance is demonstrated to be resumed.</w:t>
      </w:r>
    </w:p>
    <w:p>
      <w:pPr>
        <w:spacing w:after="0" w:line="64"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We may syndicate a portion of the loans that we originate or sell the loans individually. When a transaction meets the criteria for sale accounting, we recognize gain or loss based on the difference between the sales price and the carrying value of the loan sold. Any related unamortized deferred origination fees, original issue discounts, loan origination costs, discounts or premiums at the time of sale are recognized as an adjustment to the gain or loss on sale, which is included in investment income on the consolidated statement of operations. Any fees received at the time of sale or syndication are recognized as part of investment income.</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Asset management fees are recognized on a straight-line basis over the term of the asset management agreement.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Revenues from the sale of SUMMIT tickets are recognized upon admission or ticket expirations. Deferred revenue related to unused and unexpired tickets as of December 31, 2024 and 2023 was $3.1 million and $2.6 million, respectively, and is included in Deferred revenue on the consolidated balance sheets.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and Preferred Equity Investments</w:t>
      </w:r>
    </w:p>
    <w:p>
      <w:pPr>
        <w:spacing w:after="0" w:line="121"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Debt and preferred equity investments are presented at the net amount expected to be collected in accordance with ASC 326. An allowance for loan losses is deducted from the amortized cost basis of the financial assets to present the net carrying value at the amount expected to be collected through the expected maturity date of such investments. The expense for loan loss and other investment reserves is the charge to earnings to adjust the allowance for loan losses to the appropriate level. Amounts are written off from the allowance when we de-recognize the related investment either as a result of a sale of the investment or acquisition of equity interests in the collateral.</w:t>
      </w:r>
    </w:p>
    <w:p>
      <w:pPr>
        <w:spacing w:after="0" w:line="67" w:lineRule="exact"/>
        <w:rPr>
          <w:sz w:val="20"/>
          <w:szCs w:val="20"/>
          <w:color w:val="auto"/>
        </w:rPr>
      </w:pPr>
    </w:p>
    <w:p>
      <w:pPr>
        <w:jc w:val="both"/>
        <w:ind w:firstLine="433"/>
        <w:spacing w:after="0" w:line="266" w:lineRule="auto"/>
        <w:rPr>
          <w:sz w:val="20"/>
          <w:szCs w:val="20"/>
          <w:color w:val="auto"/>
        </w:rPr>
      </w:pPr>
      <w:r>
        <w:rPr>
          <w:rFonts w:ascii="Times New Roman" w:cs="Times New Roman" w:eastAsia="Times New Roman" w:hAnsi="Times New Roman"/>
          <w:sz w:val="17"/>
          <w:szCs w:val="17"/>
          <w:color w:val="auto"/>
        </w:rPr>
        <w:t>The Company evaluates the amount expected to be collected based on current market and economic conditions, historical loss information, and reasonable and supportable forecasts. The Company's assumptions are derived from both internal data and external data which may include, among others, governmental economic projections for the New York City Metropolitan area, public data on recent transactions and filings for securitized debt instruments. This information is aggregated by asset class and adjusted for duration. Based on these inputs, loans are evaluated at the individual asset level. In certain instances, we may also use a probability-weighted model that considers the likelihood of multiple outcomes and the amount expected to be collected for each outcome.</w:t>
      </w:r>
    </w:p>
    <w:p>
      <w:pPr>
        <w:spacing w:after="0" w:line="280" w:lineRule="exact"/>
        <w:rPr>
          <w:sz w:val="20"/>
          <w:szCs w:val="20"/>
          <w:color w:val="auto"/>
        </w:rPr>
      </w:pPr>
    </w:p>
    <w:p>
      <w:pPr>
        <w:jc w:val="both"/>
        <w:ind w:firstLine="433"/>
        <w:spacing w:after="0" w:line="289" w:lineRule="auto"/>
        <w:rPr>
          <w:sz w:val="20"/>
          <w:szCs w:val="20"/>
          <w:color w:val="auto"/>
        </w:rPr>
      </w:pPr>
      <w:r>
        <w:rPr>
          <w:rFonts w:ascii="Times New Roman" w:cs="Times New Roman" w:eastAsia="Times New Roman" w:hAnsi="Times New Roman"/>
          <w:sz w:val="17"/>
          <w:szCs w:val="17"/>
          <w:color w:val="auto"/>
        </w:rPr>
        <w:t>The evaluation of the possible credit deterioration associated with the performance and/or value of the underlying collateral property as well as the financial and operating capability of the borrower/sponsor requires significant judgment, which include both asset level and market assumptions over the relevant time period.</w:t>
      </w:r>
    </w:p>
    <w:p>
      <w:pPr>
        <w:spacing w:after="0" w:line="264"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In addition, quarterly, the Company assigns each loan a risk rating. Based on a 3-point scale, loans are rated “1” through “3,” from lower risk to higher risk, which ratings are defined as follows: 1 - Low Risk Assets - Low probability of loss, 2 - Watch List Assets - Higher potential for loss, 3 - High Risk Assets - Loss more likely than not. Loans with risk ratings of 2 or above are evaluated to determine whether the expected risk of loss is appropriately captured through the combination of our expectations of current conditions, historical loss information and supportable forecasts described above or whether risk characteristics specific to the loan warrant the use of a probability-weighted model.</w:t>
      </w:r>
    </w:p>
    <w:p>
      <w:pPr>
        <w:spacing w:after="0" w:line="67"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Financing investments that are classified as held for sale are carried at the expected amount to be collected or fair market value using available market information obtained through consultation with dealers or other originators of such investments as well as discounted cash flow models based on Level 3 data pursuant to ASC 820-10. As circumstances change, management may conclude not to sell an investment designated as held for sale. In such situations, the investment will be reclassified at its expected amount to be collected.</w:t>
      </w:r>
    </w:p>
    <w:p>
      <w:pPr>
        <w:spacing w:after="0" w:line="64"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Other financing receivables that are included in balance sheet line items other than the Debt and preferred equity investments line are also measured at the net amount expected to be collected.</w:t>
      </w:r>
    </w:p>
    <w:p>
      <w:pPr>
        <w:spacing w:after="0" w:line="4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Accrued interest receivable amounts related to these debt and preferred equity investment and other financing receivables are recorded at the net amount expected to be collected within Other assets in the consolidated balance sheets. Accrued interest receivables that are written off are recognized as an expense in loan loss and other investment reserves.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Rent Expense</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Rent expense is recognized on a straight-line basis over the initial term of the lease. The excess of the rent expense recognized over the amounts contractually due pursuant to the underlying lease is included in the lease liability - operating leases on the consolidated balance sheets.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Underwriting Commissions and Costs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Underwriting commissions and costs incurred in connection with our stock offerings are reflected as a reduction of additional paid-in-capital.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 Costs</w:t>
      </w:r>
    </w:p>
    <w:p>
      <w:pPr>
        <w:spacing w:after="0" w:line="108" w:lineRule="exact"/>
        <w:rPr>
          <w:sz w:val="20"/>
          <w:szCs w:val="20"/>
          <w:color w:val="auto"/>
        </w:rPr>
      </w:pPr>
    </w:p>
    <w:p>
      <w:pPr>
        <w:ind w:right="120" w:firstLine="629"/>
        <w:spacing w:after="0" w:line="281" w:lineRule="auto"/>
        <w:rPr>
          <w:sz w:val="20"/>
          <w:szCs w:val="20"/>
          <w:color w:val="auto"/>
        </w:rPr>
      </w:pPr>
      <w:r>
        <w:rPr>
          <w:rFonts w:ascii="Times New Roman" w:cs="Times New Roman" w:eastAsia="Times New Roman" w:hAnsi="Times New Roman"/>
          <w:sz w:val="17"/>
          <w:szCs w:val="17"/>
          <w:color w:val="auto"/>
        </w:rPr>
        <w:t>Transaction costs for real estate asset acquisitions are capitalized to the investment basis, which is then subject to a purchase price allocation based on relative fair value. Transaction costs for business combinations or costs incurred on potential transactions that are not consummated are expensed as incurred.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433"/>
        <w:spacing w:after="0" w:line="269" w:lineRule="auto"/>
        <w:rPr>
          <w:sz w:val="20"/>
          <w:szCs w:val="20"/>
          <w:color w:val="auto"/>
        </w:rPr>
      </w:pPr>
      <w:r>
        <w:rPr>
          <w:rFonts w:ascii="Times New Roman" w:cs="Times New Roman" w:eastAsia="Times New Roman" w:hAnsi="Times New Roman"/>
          <w:sz w:val="17"/>
          <w:szCs w:val="17"/>
          <w:color w:val="auto"/>
        </w:rPr>
        <w:t>SL Green is taxed as a REIT under Section 856(c) of the Code. As a REIT, SL Green generally is not subject to Federal income tax. To maintain its qualification as a REIT, SL Green must distribute at least 90% of its REIT taxable income to its stockholders and meet certain other requirements. If SL Green fails to qualify as a REIT in any taxable year, SL Green will be subject to Federal income tax on its taxable income at regular corporate rates. SL Green may also be subject to certain state, local and franchise taxes. Under certain circumstances, Federal income and excise taxes may be due on its undistributed taxable income.</w:t>
      </w:r>
    </w:p>
    <w:p>
      <w:pPr>
        <w:spacing w:after="0" w:line="278"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Operating Partnership is a partnership and, as a result, all income and losses of the partnership are allocated to the partners for inclusion in their respective income tax returns. The only provision for income taxes included in the consolidated statements of operations relates to the Operating Partnership's consolidated taxable REIT subsidiaries. The Operating Partnership may also be subject to certain state, local and franchise taxes.</w:t>
      </w:r>
    </w:p>
    <w:p>
      <w:pPr>
        <w:spacing w:after="0" w:line="57"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have elected, and may elect in the future, to treat certain of our corporate subsidiaries as taxable REIT subsidiaries, or TRSs. In general, TRSs may perform non-customary services for the tenants of the Company, hold assets that we cannot hold directly and generally may engage in any real estate or non-real estate related business. The TRSs generate income, resulting in Federal, state and local corporate tax liability for these entities. During the years ended December 31, 2024, 2023 and 2022, we recorded Federal, state and local tax provisions of $4.9 million, $8.2 million, and $3.7 million, respectively.</w:t>
      </w:r>
    </w:p>
    <w:p>
      <w:pPr>
        <w:spacing w:after="0" w:line="64"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SUMMIT is held in a TRS and pays Federal, state, and local taxes. During the years ended December 31, 2024, 2023 and 2022, we recorded Federal, state and local tax expense for SUMMIT of $0.7 million, $9.2 million, and $2.6 million, respectively.</w:t>
      </w:r>
    </w:p>
    <w:p>
      <w:pPr>
        <w:spacing w:after="0" w:line="4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2024, the Company paid distributions on its common stock of $3.16 per share which represented $0.23 per share of ordinary income and $2.93 per share of capital gains. For the year ended December 31, 2023, the Company paid distributions on its common stock of $3.25 per share which represented $0.00 per share of ordinary income, and $3.25 per share of capital gains. For the year ended December 31, 2022, the Company paid distributions on its common stock of $6.17 per share which represented $2.56 per share of ordinary income and $1.17 per share of capital gains.</w:t>
      </w:r>
    </w:p>
    <w:p>
      <w:pPr>
        <w:spacing w:after="0" w:line="64"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We follow a two-step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is more-likely-than-not to be realized upon settlement. Derecognition of a tax position that was previously recognized would occur when a company subsequently determines that a tax position no longer meets the more-likely-than-not threshold of being sustained. The use of a valuation allowance as a substitute for derecognition of tax positions is prohibited.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Based Employee Compensation Plans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have a stock-based employee compensation plan, described more fully in Note 14, "Share-based Compensation."</w:t>
      </w:r>
    </w:p>
    <w:p>
      <w:pPr>
        <w:spacing w:after="0" w:line="119" w:lineRule="exact"/>
        <w:rPr>
          <w:sz w:val="20"/>
          <w:szCs w:val="20"/>
          <w:color w:val="auto"/>
        </w:rPr>
      </w:pPr>
    </w:p>
    <w:p>
      <w:pPr>
        <w:jc w:val="both"/>
        <w:ind w:firstLine="433"/>
        <w:spacing w:after="0" w:line="262" w:lineRule="auto"/>
        <w:rPr>
          <w:sz w:val="20"/>
          <w:szCs w:val="20"/>
          <w:color w:val="auto"/>
        </w:rPr>
      </w:pPr>
      <w:r>
        <w:rPr>
          <w:rFonts w:ascii="Times New Roman" w:cs="Times New Roman" w:eastAsia="Times New Roman" w:hAnsi="Times New Roman"/>
          <w:sz w:val="17"/>
          <w:szCs w:val="17"/>
          <w:color w:val="auto"/>
        </w:rPr>
        <w:t>For share-based awards with a performance or market measure, we recognize compensation cost over the requisite service period, using the accelerated attribution expense method. The requisite service period begins on the date the compensation committee of our Board of Directors authorizes the award, adopts any relevant performance measures and communicates the award to the employees. For programs with awards that vest based on the achievement of a performance condition or market condition, we determine whether it is probable that the performance condition will be met, and estimate compensation cost based on the fair value of the award at the applicable award date estimated using a binomial model or market quotes. For share-based awards for which there is no pre-established performance measure, we recognize compensation cost over the service vesting period, which represents the requisite service period, on a straight-line basis. In accordance with the provisions of our share-based incentive compensation plans, we accept the return of shares of the Company's common stock, at the current quoted market price, from certain key employees to satisfy minimum statutory tax-withholding requirements related to shares that vested during the period.</w:t>
      </w:r>
    </w:p>
    <w:p>
      <w:pPr>
        <w:spacing w:after="0" w:line="286"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Awards can also be made in the form of a separate series of units of limited partnership interest in the Operating Partnership called long-term incentive plan units, or LTIP units. LTIP units, which can be granted either as free-standing awards or in tandem with other awards under our stock incentive plan, are valued by reference to the value of the Company's common stock at the time of grant and are subject to such conditions and restrictions as the compensation committee of the Company's board of directors may determine, including continued employment or service, computation of financial metrics and/or achievement of pre-established performance goals and objectives.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67" w:lineRule="auto"/>
        <w:rPr>
          <w:sz w:val="20"/>
          <w:szCs w:val="20"/>
          <w:color w:val="auto"/>
        </w:rPr>
      </w:pPr>
      <w:r>
        <w:rPr>
          <w:rFonts w:ascii="Times New Roman" w:cs="Times New Roman" w:eastAsia="Times New Roman" w:hAnsi="Times New Roman"/>
          <w:sz w:val="17"/>
          <w:szCs w:val="17"/>
          <w:color w:val="auto"/>
        </w:rPr>
        <w:t>The Company's stock options are recorded at fair value at the time of issuance. Fair value of the stock options is determined using the Black-Scholes option pricing model. The Black-Scholes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plan has characteristics significantly different from those of traded options and because changes in the subjective input assumptions can materially affect the fair value estimate, in our opinion, the existing models do not necessarily provide a reliable single measure of the fair value of the employee stock options.</w:t>
      </w:r>
    </w:p>
    <w:p>
      <w:pPr>
        <w:spacing w:after="0" w:line="6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Compensation cost for stock options, if any, is recognized over the vesting period of the award. Our policy is to grant options with an exercise price equal to the quoted closing market price of the Company's common stock on either the grant date or the date immediately preceding the grant date. Awards of stock or restricted stock are expensed as compensation over the benefit period based on the fair value of the stock on the grant date.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Derivative Instruments</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we use a variety of commonly used derivative instruments, including, but not limited to, interest rate swaps, caps, collars and floors, to manage interest rate risk. Effectiveness is essential for those derivatives that we intend to qualify for hedge accounting. Some derivative instruments are associated with an anticipated transaction. In those cases, hedge effectiveness criteria also require that it be probable that the underlying transaction occurs. Instruments that meet these hedging criteria are formally designated as hedges at the inception of the derivative contract.</w:t>
      </w:r>
    </w:p>
    <w:p>
      <w:pPr>
        <w:spacing w:after="0" w:line="64"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To determine the fair values of derivative instruments, we use a variety of methods and assumptions that are based on market conditions and risks existing at each balance sheet date. For the majority of financial instruments including most derivatives, long-term investments and long-term debt, standard market conventions and techniques such as discounted cash flow analysis, option pricing models, replacement cost, and termination cost are used to determine fair value. All methods of assessing fair value result in a general approximation of value, and such value may never actually be realized.</w:t>
      </w:r>
    </w:p>
    <w:p>
      <w:pPr>
        <w:spacing w:after="0" w:line="6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the normal course of business, we are exposed to the effect of interest rate changes and limit these risks by following established risk management policies and procedures including the use of derivatives. To address exposure to interest rates, derivatives are used primarily to fix the rate on debt based on floating-rate indices and manage the cost of borrowing obligations.</w:t>
      </w:r>
    </w:p>
    <w:p>
      <w:pPr>
        <w:spacing w:after="0" w:line="5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use a variety of conventional derivative products. These derivatives include, but are not limited to, interest rate swaps, caps, collars and floors. We expressly prohibit the use of unconventional derivative instruments and using derivative instruments for trading or speculative purposes. Further, we have a policy of only entering into contracts with major financial institutions based upon their credit ratings and other factors.</w:t>
      </w:r>
    </w:p>
    <w:p>
      <w:pPr>
        <w:spacing w:after="0" w:line="57" w:lineRule="exact"/>
        <w:rPr>
          <w:sz w:val="20"/>
          <w:szCs w:val="20"/>
          <w:color w:val="auto"/>
        </w:rPr>
      </w:pPr>
    </w:p>
    <w:p>
      <w:pPr>
        <w:jc w:val="both"/>
        <w:ind w:firstLine="433"/>
        <w:spacing w:after="0" w:line="289" w:lineRule="auto"/>
        <w:rPr>
          <w:sz w:val="20"/>
          <w:szCs w:val="20"/>
          <w:color w:val="auto"/>
        </w:rPr>
      </w:pPr>
      <w:r>
        <w:rPr>
          <w:rFonts w:ascii="Times New Roman" w:cs="Times New Roman" w:eastAsia="Times New Roman" w:hAnsi="Times New Roman"/>
          <w:sz w:val="17"/>
          <w:szCs w:val="17"/>
          <w:color w:val="auto"/>
        </w:rPr>
        <w:t>We may employ swaps, forwards or purchased options to hedge qualifying forecasted transactions. Gains and losses related to these transactions are deferred and recognized in net income as interest expense in the same period or periods that the underlying transaction occurs, expires or is otherwise terminated.</w:t>
      </w:r>
    </w:p>
    <w:p>
      <w:pPr>
        <w:spacing w:after="0" w:line="264"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Hedges that are reported at fair value and presented on the balance sheet could be characterized as cash flow hedges or fair value hedges. Interest rate caps and collars are examples of cash flow hedges. Cash flow hedges address the risk associated with future cash flows of interest payments. For all hedges held by us that meet the hedging objectives established by our corporate policy governing interest rate risk management, no net gains or losses were reported in earnings. The changes in fair value of derivative instruments designated as hedge instruments are reflected in accumulated other comprehensive income. For derivative instruments not designated as hedging instruments, the gain or loss, resulting from the change in the estimated fair value of the derivative instruments, is recognized in current earnings during the period of change.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Share of the Company</w:t>
      </w:r>
    </w:p>
    <w:p>
      <w:pPr>
        <w:spacing w:after="0" w:line="121"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The Company presents both basic and diluted earnings per share ("EPS") using the two-class method, which is an earnings allocation formula that determines EPS for common stock and any participating securities according to dividends declared (whether paid or unpaid). Under the two-class method, basic EPS is computed by dividing the income available to common stockholders by the weighted-average number of common stock shares outstanding for the period. Basic EPS includes participating securities, consisting of unvested restricted stock that receive nonforfeitable dividends similar to shares of common stock. Diluted EPS reflects the potential dilution that could occur if securities or other contracts to issue common stock were exercised or converted into common stock, where such exercise or conversion would result in a lower EPS amount. Diluted EPS also includes units of limited partnership interest. The dilutive effect of stock options is reflected in the weighted average diluted outstanding shares calculation by application of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Unit of the Operating Partnership</w:t>
      </w:r>
    </w:p>
    <w:p>
      <w:pPr>
        <w:spacing w:after="0" w:line="121"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Operating Partnership presents both basic and diluted earnings per unit ("EPU") using the two-class method, which is an earnings allocation formula that determines EPU for common units and any participating securities according to dividends declared (whether paid or unpaid). Under the two-class method, basic EPU is computed by dividing the income available to common unitholders by the weighted-average number of common units outstanding for the period. Basic EPU includes participating securities, consisting of unvested restricted units that receive nonforfeitable dividends similar to shares of common units. Diluted EPU reflects the potential dilution that could occur if securities or other contracts to issue common units were exercised or converted into common units, where such exercise or conversion would result in a lower EPU amount. The dilutive effect of unit options is reflected in the weighted average diluted outstanding units calculation by application of the treasury stock method.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Concentrations of Credit Risk</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Financial instruments that potentially subject us to concentrations of credit risk consist primarily of cash investments, debt and preferred equity investments and accounts receivable. We place our cash investments with high quality financial institutions. The collateral securing our debt and preferred equity investments is located in New York City. See Note 5, "Debt and Preferred Equity Investments."</w:t>
      </w:r>
    </w:p>
    <w:p>
      <w:pPr>
        <w:spacing w:after="0" w:line="57"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We perform initial and ongoing evaluations of the credit quality of our tenants and require most tenants to provide security deposits or letters of credit. Though these security deposits and letters of credit are insufficient to meet the total value of a tenant's lease obligation, they are a measure of good faith and a potential source of funds to offset the economic costs associated with lost revenue from that tenant and the costs associated with re-tenanting a space. The properties in our real estate portfolio are located in the New York metropolitan area, principally in Manhattan. Our tenants operate in various industries. Other than one tenant, Paramount Global, which accounted for 5.5% of our share of annualized cash rent as of December 31, 2024, no other tenant in our portfolio accounted for more than 5.0% of our share of annualized cash rent, including our share of joint venture annualized cash rent, as of December 31, 2024.</w:t>
      </w:r>
    </w:p>
    <w:p>
      <w:pPr>
        <w:spacing w:after="0" w:line="69"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For the years ended December 31, 2024, 2023, and 2022, the following properties contributed more than 5.0% of our annualized cash rent from office properties, including our share of annualized cash rent from joint venture office properties: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140" w:type="dxa"/>
            <w:vAlign w:val="bottom"/>
            <w:tcBorders>
              <w:bottom w:val="single" w:sz="8" w:color="auto"/>
            </w:tcBorders>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6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140" w:type="dxa"/>
            <w:vAlign w:val="bottom"/>
            <w:tcBorders>
              <w:bottom w:val="single" w:sz="8" w:color="auto"/>
            </w:tcBorders>
          </w:tcPr>
          <w:p>
            <w:pPr>
              <w:jc w:val="center"/>
              <w:ind w:left="46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220" w:type="dxa"/>
            <w:vAlign w:val="bottom"/>
            <w:tcBorders>
              <w:bottom w:val="single" w:sz="8" w:color="auto"/>
            </w:tcBorders>
          </w:tcPr>
          <w:p>
            <w:pPr>
              <w:jc w:val="center"/>
              <w:ind w:left="361"/>
              <w:spacing w:after="0"/>
              <w:rPr>
                <w:sz w:val="20"/>
                <w:szCs w:val="20"/>
                <w:color w:val="auto"/>
              </w:rPr>
            </w:pPr>
            <w:r>
              <w:rPr>
                <w:rFonts w:ascii="Times New Roman" w:cs="Times New Roman" w:eastAsia="Times New Roman" w:hAnsi="Times New Roman"/>
                <w:sz w:val="16"/>
                <w:szCs w:val="16"/>
                <w:b w:val="1"/>
                <w:bCs w:val="1"/>
                <w:color w:val="auto"/>
                <w:w w:val="93"/>
              </w:rPr>
              <w:t>2022</w:t>
            </w:r>
          </w:p>
        </w:tc>
      </w:tr>
      <w:tr>
        <w:trPr>
          <w:trHeight w:val="205"/>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 Vanderbilt Avenue</w:t>
            </w:r>
          </w:p>
        </w:tc>
        <w:tc>
          <w:tcPr>
            <w:tcW w:w="114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rPr>
              <w:t>14.7%</w:t>
            </w:r>
          </w:p>
        </w:tc>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One Vanderbilt Avenue</w:t>
            </w:r>
          </w:p>
        </w:tc>
        <w:tc>
          <w:tcPr>
            <w:tcW w:w="114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6"/>
              </w:rPr>
              <w:t>16.0%</w:t>
            </w: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One Vanderbilt Avenue</w:t>
            </w:r>
          </w:p>
        </w:tc>
        <w:tc>
          <w:tcPr>
            <w:tcW w:w="1220" w:type="dxa"/>
            <w:vAlign w:val="bottom"/>
            <w:shd w:val="clear" w:color="auto" w:fill="CCEEFF"/>
          </w:tcPr>
          <w:p>
            <w:pPr>
              <w:jc w:val="center"/>
              <w:ind w:left="361"/>
              <w:spacing w:after="0"/>
              <w:rPr>
                <w:sz w:val="20"/>
                <w:szCs w:val="20"/>
                <w:color w:val="auto"/>
              </w:rPr>
            </w:pPr>
            <w:r>
              <w:rPr>
                <w:rFonts w:ascii="Times New Roman" w:cs="Times New Roman" w:eastAsia="Times New Roman" w:hAnsi="Times New Roman"/>
                <w:sz w:val="16"/>
                <w:szCs w:val="16"/>
                <w:color w:val="auto"/>
              </w:rPr>
              <w:t>14.1%</w:t>
            </w:r>
          </w:p>
        </w:tc>
      </w:tr>
      <w:tr>
        <w:trPr>
          <w:trHeight w:val="208"/>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11 Madison Avenue</w:t>
            </w:r>
          </w:p>
        </w:tc>
        <w:tc>
          <w:tcPr>
            <w:tcW w:w="1140" w:type="dxa"/>
            <w:vAlign w:val="bottom"/>
          </w:tcPr>
          <w:p>
            <w:pPr>
              <w:jc w:val="center"/>
              <w:ind w:left="441"/>
              <w:spacing w:after="0"/>
              <w:rPr>
                <w:sz w:val="20"/>
                <w:szCs w:val="20"/>
                <w:color w:val="auto"/>
              </w:rPr>
            </w:pPr>
            <w:r>
              <w:rPr>
                <w:rFonts w:ascii="Times New Roman" w:cs="Times New Roman" w:eastAsia="Times New Roman" w:hAnsi="Times New Roman"/>
                <w:sz w:val="16"/>
                <w:szCs w:val="16"/>
                <w:color w:val="auto"/>
              </w:rPr>
              <w:t>8.8%</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11 Madison Avenue</w:t>
            </w:r>
          </w:p>
        </w:tc>
        <w:tc>
          <w:tcPr>
            <w:tcW w:w="1140" w:type="dxa"/>
            <w:vAlign w:val="bottom"/>
          </w:tcPr>
          <w:p>
            <w:pPr>
              <w:jc w:val="center"/>
              <w:ind w:left="461"/>
              <w:spacing w:after="0"/>
              <w:rPr>
                <w:sz w:val="20"/>
                <w:szCs w:val="20"/>
                <w:color w:val="auto"/>
              </w:rPr>
            </w:pPr>
            <w:r>
              <w:rPr>
                <w:rFonts w:ascii="Times New Roman" w:cs="Times New Roman" w:eastAsia="Times New Roman" w:hAnsi="Times New Roman"/>
                <w:sz w:val="16"/>
                <w:szCs w:val="16"/>
                <w:color w:val="auto"/>
                <w:w w:val="95"/>
              </w:rPr>
              <w:t>8.3%</w:t>
            </w:r>
          </w:p>
        </w:tc>
        <w:tc>
          <w:tcPr>
            <w:tcW w:w="2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245 Park Avenue</w:t>
            </w:r>
          </w:p>
        </w:tc>
        <w:tc>
          <w:tcPr>
            <w:tcW w:w="1220" w:type="dxa"/>
            <w:vAlign w:val="bottom"/>
          </w:tcPr>
          <w:p>
            <w:pPr>
              <w:jc w:val="center"/>
              <w:ind w:left="361"/>
              <w:spacing w:after="0"/>
              <w:rPr>
                <w:sz w:val="20"/>
                <w:szCs w:val="20"/>
                <w:color w:val="auto"/>
              </w:rPr>
            </w:pPr>
            <w:r>
              <w:rPr>
                <w:rFonts w:ascii="Times New Roman" w:cs="Times New Roman" w:eastAsia="Times New Roman" w:hAnsi="Times New Roman"/>
                <w:sz w:val="16"/>
                <w:szCs w:val="16"/>
                <w:color w:val="auto"/>
              </w:rPr>
              <w:t>10.0%</w:t>
            </w: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420</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Lexington Avenue</w:t>
            </w:r>
          </w:p>
        </w:tc>
        <w:tc>
          <w:tcPr>
            <w:tcW w:w="114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rPr>
              <w:t>7.0%</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420</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Lexington Avenue</w:t>
            </w:r>
          </w:p>
        </w:tc>
        <w:tc>
          <w:tcPr>
            <w:tcW w:w="114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5"/>
              </w:rPr>
              <w:t>6.7%</w:t>
            </w: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11 Madison Avenue</w:t>
            </w:r>
          </w:p>
        </w:tc>
        <w:tc>
          <w:tcPr>
            <w:tcW w:w="1220" w:type="dxa"/>
            <w:vAlign w:val="bottom"/>
            <w:shd w:val="clear" w:color="auto" w:fill="CCEEFF"/>
          </w:tcPr>
          <w:p>
            <w:pPr>
              <w:jc w:val="center"/>
              <w:ind w:left="361"/>
              <w:spacing w:after="0"/>
              <w:rPr>
                <w:sz w:val="20"/>
                <w:szCs w:val="20"/>
                <w:color w:val="auto"/>
              </w:rPr>
            </w:pPr>
            <w:r>
              <w:rPr>
                <w:rFonts w:ascii="Times New Roman" w:cs="Times New Roman" w:eastAsia="Times New Roman" w:hAnsi="Times New Roman"/>
                <w:sz w:val="16"/>
                <w:szCs w:val="16"/>
                <w:color w:val="auto"/>
              </w:rPr>
              <w:t>7.8%</w:t>
            </w:r>
          </w:p>
        </w:tc>
      </w:tr>
      <w:tr>
        <w:trPr>
          <w:trHeight w:val="208"/>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1515 Broadway</w:t>
            </w:r>
          </w:p>
        </w:tc>
        <w:tc>
          <w:tcPr>
            <w:tcW w:w="1140" w:type="dxa"/>
            <w:vAlign w:val="bottom"/>
          </w:tcPr>
          <w:p>
            <w:pPr>
              <w:jc w:val="center"/>
              <w:ind w:left="441"/>
              <w:spacing w:after="0"/>
              <w:rPr>
                <w:sz w:val="20"/>
                <w:szCs w:val="20"/>
                <w:color w:val="auto"/>
              </w:rPr>
            </w:pPr>
            <w:r>
              <w:rPr>
                <w:rFonts w:ascii="Times New Roman" w:cs="Times New Roman" w:eastAsia="Times New Roman" w:hAnsi="Times New Roman"/>
                <w:sz w:val="16"/>
                <w:szCs w:val="16"/>
                <w:color w:val="auto"/>
              </w:rPr>
              <w:t>6.7%</w:t>
            </w:r>
          </w:p>
        </w:tc>
        <w:tc>
          <w:tcPr>
            <w:tcW w:w="2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1515 Broadway</w:t>
            </w:r>
          </w:p>
        </w:tc>
        <w:tc>
          <w:tcPr>
            <w:tcW w:w="1140" w:type="dxa"/>
            <w:vAlign w:val="bottom"/>
          </w:tcPr>
          <w:p>
            <w:pPr>
              <w:jc w:val="center"/>
              <w:ind w:left="461"/>
              <w:spacing w:after="0"/>
              <w:rPr>
                <w:sz w:val="20"/>
                <w:szCs w:val="20"/>
                <w:color w:val="auto"/>
              </w:rPr>
            </w:pPr>
            <w:r>
              <w:rPr>
                <w:rFonts w:ascii="Times New Roman" w:cs="Times New Roman" w:eastAsia="Times New Roman" w:hAnsi="Times New Roman"/>
                <w:sz w:val="16"/>
                <w:szCs w:val="16"/>
                <w:color w:val="auto"/>
                <w:w w:val="95"/>
              </w:rPr>
              <w:t>6.4%</w:t>
            </w:r>
          </w:p>
        </w:tc>
        <w:tc>
          <w:tcPr>
            <w:tcW w:w="2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420 Lexington Avenue</w:t>
            </w:r>
          </w:p>
        </w:tc>
        <w:tc>
          <w:tcPr>
            <w:tcW w:w="1220" w:type="dxa"/>
            <w:vAlign w:val="bottom"/>
          </w:tcPr>
          <w:p>
            <w:pPr>
              <w:jc w:val="center"/>
              <w:ind w:left="361"/>
              <w:spacing w:after="0"/>
              <w:rPr>
                <w:sz w:val="20"/>
                <w:szCs w:val="20"/>
                <w:color w:val="auto"/>
              </w:rPr>
            </w:pPr>
            <w:r>
              <w:rPr>
                <w:rFonts w:ascii="Times New Roman" w:cs="Times New Roman" w:eastAsia="Times New Roman" w:hAnsi="Times New Roman"/>
                <w:sz w:val="16"/>
                <w:szCs w:val="16"/>
                <w:color w:val="auto"/>
              </w:rPr>
              <w:t>6.3%</w:t>
            </w: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245</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114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rPr>
              <w:t>6.7%</w:t>
            </w:r>
          </w:p>
        </w:tc>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1185 Avenue of the Americas</w:t>
            </w:r>
          </w:p>
        </w:tc>
        <w:tc>
          <w:tcPr>
            <w:tcW w:w="114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5"/>
              </w:rPr>
              <w:t>5.6%</w:t>
            </w: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1515 Broadway</w:t>
            </w:r>
          </w:p>
        </w:tc>
        <w:tc>
          <w:tcPr>
            <w:tcW w:w="1220" w:type="dxa"/>
            <w:vAlign w:val="bottom"/>
            <w:shd w:val="clear" w:color="auto" w:fill="CCEEFF"/>
          </w:tcPr>
          <w:p>
            <w:pPr>
              <w:jc w:val="center"/>
              <w:ind w:left="361"/>
              <w:spacing w:after="0"/>
              <w:rPr>
                <w:sz w:val="20"/>
                <w:szCs w:val="20"/>
                <w:color w:val="auto"/>
              </w:rPr>
            </w:pPr>
            <w:r>
              <w:rPr>
                <w:rFonts w:ascii="Times New Roman" w:cs="Times New Roman" w:eastAsia="Times New Roman" w:hAnsi="Times New Roman"/>
                <w:sz w:val="16"/>
                <w:szCs w:val="16"/>
                <w:color w:val="auto"/>
              </w:rPr>
              <w:t>5.8%</w:t>
            </w:r>
          </w:p>
        </w:tc>
      </w:tr>
      <w:tr>
        <w:trPr>
          <w:trHeight w:val="208"/>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1185 Avenue of the Americas</w:t>
            </w:r>
          </w:p>
        </w:tc>
        <w:tc>
          <w:tcPr>
            <w:tcW w:w="1140" w:type="dxa"/>
            <w:vAlign w:val="bottom"/>
          </w:tcPr>
          <w:p>
            <w:pPr>
              <w:jc w:val="center"/>
              <w:ind w:left="441"/>
              <w:spacing w:after="0"/>
              <w:rPr>
                <w:sz w:val="20"/>
                <w:szCs w:val="20"/>
                <w:color w:val="auto"/>
              </w:rPr>
            </w:pPr>
            <w:r>
              <w:rPr>
                <w:rFonts w:ascii="Times New Roman" w:cs="Times New Roman" w:eastAsia="Times New Roman" w:hAnsi="Times New Roman"/>
                <w:sz w:val="16"/>
                <w:szCs w:val="16"/>
                <w:color w:val="auto"/>
              </w:rPr>
              <w:t>5.9%</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280</w:t>
            </w:r>
          </w:p>
        </w:tc>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1140" w:type="dxa"/>
            <w:vAlign w:val="bottom"/>
          </w:tcPr>
          <w:p>
            <w:pPr>
              <w:jc w:val="center"/>
              <w:ind w:left="461"/>
              <w:spacing w:after="0"/>
              <w:rPr>
                <w:sz w:val="20"/>
                <w:szCs w:val="20"/>
                <w:color w:val="auto"/>
              </w:rPr>
            </w:pPr>
            <w:r>
              <w:rPr>
                <w:rFonts w:ascii="Times New Roman" w:cs="Times New Roman" w:eastAsia="Times New Roman" w:hAnsi="Times New Roman"/>
                <w:sz w:val="16"/>
                <w:szCs w:val="16"/>
                <w:color w:val="auto"/>
                <w:w w:val="95"/>
              </w:rPr>
              <w:t>5.5%</w:t>
            </w:r>
          </w:p>
        </w:tc>
        <w:tc>
          <w:tcPr>
            <w:tcW w:w="2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1185 Avenue of the Americas</w:t>
            </w:r>
          </w:p>
        </w:tc>
        <w:tc>
          <w:tcPr>
            <w:tcW w:w="1220" w:type="dxa"/>
            <w:vAlign w:val="bottom"/>
          </w:tcPr>
          <w:p>
            <w:pPr>
              <w:jc w:val="center"/>
              <w:ind w:left="361"/>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280</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1140" w:type="dxa"/>
            <w:vAlign w:val="bottom"/>
            <w:shd w:val="clear" w:color="auto" w:fill="CCEEFF"/>
          </w:tcPr>
          <w:p>
            <w:pPr>
              <w:jc w:val="center"/>
              <w:ind w:left="441"/>
              <w:spacing w:after="0"/>
              <w:rPr>
                <w:sz w:val="20"/>
                <w:szCs w:val="20"/>
                <w:color w:val="auto"/>
              </w:rPr>
            </w:pPr>
            <w:r>
              <w:rPr>
                <w:rFonts w:ascii="Times New Roman" w:cs="Times New Roman" w:eastAsia="Times New Roman" w:hAnsi="Times New Roman"/>
                <w:sz w:val="16"/>
                <w:szCs w:val="16"/>
                <w:color w:val="auto"/>
              </w:rPr>
              <w:t>5.2%</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245</w:t>
            </w: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1140" w:type="dxa"/>
            <w:vAlign w:val="bottom"/>
            <w:shd w:val="clear" w:color="auto" w:fill="CCEEFF"/>
          </w:tcPr>
          <w:p>
            <w:pPr>
              <w:jc w:val="center"/>
              <w:ind w:left="461"/>
              <w:spacing w:after="0"/>
              <w:rPr>
                <w:sz w:val="20"/>
                <w:szCs w:val="20"/>
                <w:color w:val="auto"/>
              </w:rPr>
            </w:pPr>
            <w:r>
              <w:rPr>
                <w:rFonts w:ascii="Times New Roman" w:cs="Times New Roman" w:eastAsia="Times New Roman" w:hAnsi="Times New Roman"/>
                <w:sz w:val="16"/>
                <w:szCs w:val="16"/>
                <w:color w:val="auto"/>
                <w:w w:val="95"/>
              </w:rPr>
              <w:t>5.5%</w:t>
            </w:r>
          </w:p>
        </w:tc>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280 Park Avenue</w:t>
            </w:r>
          </w:p>
        </w:tc>
        <w:tc>
          <w:tcPr>
            <w:tcW w:w="1220" w:type="dxa"/>
            <w:vAlign w:val="bottom"/>
            <w:shd w:val="clear" w:color="auto" w:fill="CCEEFF"/>
          </w:tcPr>
          <w:p>
            <w:pPr>
              <w:jc w:val="center"/>
              <w:ind w:left="361"/>
              <w:spacing w:after="0"/>
              <w:rPr>
                <w:sz w:val="20"/>
                <w:szCs w:val="20"/>
                <w:color w:val="auto"/>
              </w:rPr>
            </w:pPr>
            <w:r>
              <w:rPr>
                <w:rFonts w:ascii="Times New Roman" w:cs="Times New Roman" w:eastAsia="Times New Roman" w:hAnsi="Times New Roman"/>
                <w:sz w:val="16"/>
                <w:szCs w:val="16"/>
                <w:color w:val="auto"/>
              </w:rPr>
              <w:t>5.1%</w:t>
            </w:r>
          </w:p>
        </w:tc>
      </w:tr>
    </w:tbl>
    <w:p>
      <w:pPr>
        <w:spacing w:after="0" w:line="165"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As of December 31, 2024, 57.2% of our work force is covered by five collective bargaining agreements, and none of our work force is covered by collective bargaining agreements that expire before December 31, 2025. See Note 19, "Benefits Plans."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Reclassification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Certain prior year balances have been reclassified to conform to our current year presentation.</w:t>
      </w:r>
    </w:p>
    <w:p>
      <w:pPr>
        <w:spacing w:after="0" w:line="119" w:lineRule="exact"/>
        <w:rPr>
          <w:sz w:val="20"/>
          <w:szCs w:val="20"/>
          <w:color w:val="auto"/>
        </w:rPr>
      </w:pPr>
    </w:p>
    <w:p>
      <w:pPr>
        <w:jc w:val="both"/>
        <w:ind w:firstLine="433"/>
        <w:spacing w:after="0" w:line="274" w:lineRule="auto"/>
        <w:rPr>
          <w:sz w:val="20"/>
          <w:szCs w:val="20"/>
          <w:color w:val="auto"/>
        </w:rPr>
      </w:pPr>
      <w:r>
        <w:rPr>
          <w:rFonts w:ascii="Times New Roman" w:cs="Times New Roman" w:eastAsia="Times New Roman" w:hAnsi="Times New Roman"/>
          <w:sz w:val="17"/>
          <w:szCs w:val="17"/>
          <w:color w:val="auto"/>
        </w:rPr>
        <w:t>Beginning in the second quarter of 2024, we reclassified amounts recorded for certain right-of-use assets classified as operating leases from a gross presentation above accumulated depreciation to a net presentation below accumulated depreciation in our consolidated balance sheets. This includes reclassifying the related amortization that was previously included in the accumulated depreciation. We believe this presentation enhances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Standards Updates</w:t>
      </w:r>
    </w:p>
    <w:p>
      <w:pPr>
        <w:spacing w:after="0" w:line="121"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 - Reporting Comprehensive Income - Expense Disaggregation Disclosures (Subtopic 220-40). The objective of this amendment is to help investors better understand a public entity's performance, better assess the entity's prospect for future cash flows, and compare the entity's performance over time and with that of other entities. The amendment will require public business entities to include a footnote disclosure about specific expenses by requiring them to disaggregate, in a tabular presentation, each relevant expense caption on the face of the income statement that includes purchases of inventory, employee compensation, depreciation, and intangible asset amortization. For any remaining items within each relevant expense caption, a qualitative disclosure is required for the amounts that are not separately disaggregated quantitatively. Additionally, the amendment provides guidance on the definition of selling expenses along with a requirement to disclose the total amount of selling expenses. The amendment does not change the requirements for the presentation of expenses on the face of the income statement. ASU 2024-03 is effective for annual periods beginning after December 15, 2026. Early adoption is permitted. We are currently evaluating the impact of ASU 2024-03 on our consolidated financial statements, but do not believe the adoption of this standard will have a material impact on our consolidated financial statements.</w:t>
      </w:r>
    </w:p>
    <w:p>
      <w:pPr>
        <w:spacing w:after="0" w:line="77"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In December 2023, the FASB issued ASU No. 2023-09 Income Taxes (Topic 740) - Improvements to Income Tax Disclosures. The objective of the amendments in ASU 2023-09 related to the rate reconciliation and income taxes paid disclosures are to improve transparency of income tax disclosures by requiring consistent categories and greater disaggregation of information in the rate reconciliation, and income taxes paid disaggregated by jurisdiction. The amendment will require that public entities on an annual basis disclose specific categories in the rate reconciliation and provide additional information for reconciling items that meet a quantitative threshold. Additionally, the amendment will require that all entities disclose on an annual basis the amount of taxes paid (net of refunds received) disaggregated by federal, state and foreign taxes as well as disaggregated by individual jurisdictions that meet a quantitative threshold. ASU 2023-09 is effective prospectively for annual periods beginning after December 15, 2024. Early adoption and retrospective application is permitted. The Company adopted this guidance on January 1, 2025 and do not believe it will have a material impact on the Company's consolidated financial statements.</w:t>
      </w:r>
    </w:p>
    <w:p>
      <w:pPr>
        <w:spacing w:after="0" w:line="286"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In November 2023, the FASB issued ASU No. 2023-07 Segment Reporting (Topic 280) - Improvements to Reportable Segment Disclosures. ASU 2023-07 amends the reportable segment disclosure requirements to enhance disclosures about significant segment expenses. The objective of the amendment is to improve financial reporting by requiring disclosure of incremental segment information on an annual and interim basis for all public entities to enable investors to develop more decision-useful financial analyses. The amendment will require that a public entity disclose, on an annual and interim basis, significant segment expenses that are regularly provided to the chief operating decision maker ("CODM") and included within each reported measure of segment profit or loss (collectively referred to as the "significant expense principle"). Additionally, the amendment will require an entity to disclose an amount for "other segment items" by reportable segment and a description of its composition as well as require all the current annual disclosure requirements in ASC 280 on an interim basis, except for entity-wide disclsoures. Lastly, the amendment will require a public entity to disclose the title and position of the CODM and an explanation of how the CODM uses the reported measures of segment profit or loss in assessing segment performance and deciding to allocate resources. ASU 2023-07 is effective for fiscal years beginning after December 15, 2023, and interim periods within fiscal years beginning after December 15, 2024. Early adoption is permitted and should be applied retrospectively to all prior periods presented in the financial statements. The Company adopted this guidance on January 1, 2024 and it did not have a material impact on the Company's consolidated financial statements.</w:t>
      </w:r>
    </w:p>
    <w:p>
      <w:pPr>
        <w:spacing w:after="0" w:line="72"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In August 2023, the FASB issued ASU No. 2023-05 Business Combinations - Joint Venture Formations (Subtopic 805-60) Recognition and Initial Measurement. ASU 2023-05 addresses the accounting for contributions made to a joint venture, upon formation, in a joint venture's separate financial statements. The objectives of the amendments are to provide decision-useful information to investors and other allocators of capital in a joint venture's financial statements and reduce diversity in practice. The amendments require that a joint venture apply the following key adaptations from the business combinations guidance upon formation: (i) a joint venture is the formation of a new entity without an accounting acquirer, (ii) a joint venture measures its identifiable net assets and goodwill, if any, at the formation date, (iii) initial measurement of a joint venture's total net assets is equal to the fair value of 100 percent of the joint venture's equity, and (iv) a joint venture provides relevant disclosures. ASU 2023-05 is effective prospectively for all joint venture formations with a formation date on or after January 1, 2025, with early adoption permitted in any interim or annual period in which financial statements have not yet been issued, either prospectively or retrospectively. The Company adopted this guidance on January 1, 2025 and do not believe it will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right="100" w:firstLine="393"/>
        <w:spacing w:after="0" w:line="261" w:lineRule="auto"/>
        <w:rPr>
          <w:sz w:val="20"/>
          <w:szCs w:val="20"/>
          <w:color w:val="auto"/>
        </w:rPr>
      </w:pPr>
      <w:r>
        <w:rPr>
          <w:rFonts w:ascii="Times New Roman" w:cs="Times New Roman" w:eastAsia="Times New Roman" w:hAnsi="Times New Roman"/>
          <w:sz w:val="17"/>
          <w:szCs w:val="17"/>
          <w:color w:val="auto"/>
        </w:rPr>
        <w:t>In March 2022, the FASB issued ASU No. 2022-02 Financial Instruments - Credit Losses (Topic 326) Troubled Debt Restructurings and Vintage Disclosures. ASU 2022-02 eliminates the troubled debt restructuring recognition and measurement guidance and, instead, requires that an entity evaluate whether the modification represents a new loan or a continuation of an existing loan. The amendments enhance existing disclosure requirements and introduce new requirements related to certain modifications of receivables made to borrowers experiencing financial difficulties. Additionally, ASU 2022-02 requires an entity to disclose current-period gross write-offs by year of origination for financing receivables and net investment in leases within the scope of Subtopic 326-</w:t>
      </w:r>
    </w:p>
    <w:p>
      <w:pPr>
        <w:spacing w:after="0" w:line="4" w:lineRule="exact"/>
        <w:rPr>
          <w:sz w:val="20"/>
          <w:szCs w:val="20"/>
          <w:color w:val="auto"/>
        </w:rPr>
      </w:pPr>
    </w:p>
    <w:p>
      <w:pPr>
        <w:jc w:val="both"/>
        <w:ind w:right="100" w:firstLine="5"/>
        <w:spacing w:after="0" w:line="257" w:lineRule="auto"/>
        <w:tabs>
          <w:tab w:leader="none" w:pos="278"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write-off information must be included in the vintage disclosures required for entities in accordance with Subtopic 326-20, which requires that an entity disclose the amortized cost basis of financing receivables by credit-quality indicator and class of financing receivable by year of origination. ASU 2022-</w:t>
      </w:r>
    </w:p>
    <w:p>
      <w:pPr>
        <w:ind w:right="100" w:firstLine="5"/>
        <w:spacing w:after="0" w:line="275" w:lineRule="auto"/>
        <w:tabs>
          <w:tab w:leader="none" w:pos="22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effective for reporting periods beginning after December 15, 2022, including interim periods within those fiscal years, with early adoption permitted. The Company adopted this guidance on January 1, 2023 and it did not have a material impact on the Company's consolidated financial statements.</w:t>
      </w:r>
    </w:p>
    <w:p>
      <w:pPr>
        <w:spacing w:after="0" w:line="57" w:lineRule="exact"/>
        <w:rPr>
          <w:sz w:val="20"/>
          <w:szCs w:val="20"/>
          <w:color w:val="auto"/>
        </w:rPr>
      </w:pPr>
    </w:p>
    <w:p>
      <w:pPr>
        <w:ind w:right="8060" w:firstLine="5"/>
        <w:spacing w:after="0" w:line="387" w:lineRule="auto"/>
        <w:tabs>
          <w:tab w:leader="none" w:pos="175"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Acquisitions and Consolidations 2024 Acquisitions</w:t>
      </w:r>
    </w:p>
    <w:p>
      <w:pPr>
        <w:spacing w:after="0" w:line="1" w:lineRule="exact"/>
        <w:rPr>
          <w:rFonts w:ascii="Times New Roman" w:cs="Times New Roman" w:eastAsia="Times New Roman" w:hAnsi="Times New Roman"/>
          <w:sz w:val="17"/>
          <w:szCs w:val="17"/>
          <w:b w:val="1"/>
          <w:bCs w:val="1"/>
          <w:color w:val="auto"/>
        </w:rPr>
      </w:pPr>
    </w:p>
    <w:p>
      <w:pPr>
        <w:ind w:left="4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 ended December 31, 2024, we did not acquire any properties from a third party.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Property Consolidations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properties consolidated during the year ended December 31, 2024:</w:t>
      </w:r>
    </w:p>
    <w:p>
      <w:pPr>
        <w:spacing w:after="0" w:line="137"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Consolidation Date</w:t>
            </w:r>
          </w:p>
        </w:tc>
        <w:tc>
          <w:tcPr>
            <w:tcW w:w="1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Property Type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Approximate Square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Gross Asset Valuati</w:t>
            </w:r>
          </w:p>
        </w:tc>
        <w:tc>
          <w:tcPr>
            <w:tcW w:w="0" w:type="dxa"/>
            <w:vAlign w:val="bottom"/>
          </w:tcPr>
          <w:p>
            <w:pPr>
              <w:spacing w:after="0"/>
              <w:rPr>
                <w:sz w:val="1"/>
                <w:szCs w:val="1"/>
                <w:color w:val="auto"/>
              </w:rPr>
            </w:pPr>
          </w:p>
        </w:tc>
      </w:tr>
      <w:tr>
        <w:trPr>
          <w:trHeight w:val="209"/>
        </w:trPr>
        <w:tc>
          <w:tcPr>
            <w:tcW w:w="3900" w:type="dxa"/>
            <w:vAlign w:val="bottom"/>
            <w:gridSpan w:val="2"/>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Feet</w:t>
            </w:r>
          </w:p>
        </w:tc>
        <w:tc>
          <w:tcPr>
            <w:tcW w:w="120" w:type="dxa"/>
            <w:vAlign w:val="bottom"/>
          </w:tcPr>
          <w:p>
            <w:pPr>
              <w:spacing w:after="0"/>
              <w:rPr>
                <w:sz w:val="18"/>
                <w:szCs w:val="18"/>
                <w:color w:val="auto"/>
              </w:rPr>
            </w:pPr>
          </w:p>
        </w:tc>
        <w:tc>
          <w:tcPr>
            <w:tcW w:w="13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04"/>
        </w:trPr>
        <w:tc>
          <w:tcPr>
            <w:tcW w:w="3800" w:type="dxa"/>
            <w:vAlign w:val="bottom"/>
            <w:tcBorders>
              <w:top w:val="single" w:sz="8" w:color="auto"/>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100 Park Avenue </w:t>
            </w:r>
            <w:r>
              <w:rPr>
                <w:rFonts w:ascii="Times New Roman" w:cs="Times New Roman" w:eastAsia="Times New Roman" w:hAnsi="Times New Roman"/>
                <w:sz w:val="20"/>
                <w:szCs w:val="20"/>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December 2024</w:t>
            </w: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Fee Interest</w:t>
            </w: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7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10 East 53rd Street </w:t>
            </w:r>
            <w:r>
              <w:rPr>
                <w:rFonts w:ascii="Times New Roman" w:cs="Times New Roman" w:eastAsia="Times New Roman" w:hAnsi="Times New Roman"/>
                <w:sz w:val="20"/>
                <w:szCs w:val="20"/>
                <w:color w:val="auto"/>
                <w:vertAlign w:val="superscript"/>
              </w:rPr>
              <w:t>(2)</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March 2024</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5"/>
              </w:rPr>
              <w:t>Fee Interest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354,300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400" w:right="100" w:hanging="395"/>
        <w:spacing w:after="0" w:line="253" w:lineRule="auto"/>
        <w:tabs>
          <w:tab w:leader="none" w:pos="39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the Company amended the joint venture agreement with its partner. As a result of the amended terms, it was concluded that the joint venture is a VIE in which the Company is the primary beneficiary, and the investment was consolidated in our financial statements. Upon consolidating the entity, the assets and liabilities of the entity were recorded at fair value which resulted in the recognition of a positive fair value adjustment of $117.8 million, which is included in Purchase price and other fair value adjustments in the consolidated statements of operations. Prior to December 2024, the investment was accounted for under the equity method. See Note 16, "Fair Value Measurements."</w:t>
      </w:r>
    </w:p>
    <w:p>
      <w:pPr>
        <w:spacing w:after="0" w:line="2" w:lineRule="exact"/>
        <w:rPr>
          <w:rFonts w:ascii="Times New Roman" w:cs="Times New Roman" w:eastAsia="Times New Roman" w:hAnsi="Times New Roman"/>
          <w:sz w:val="14"/>
          <w:szCs w:val="14"/>
          <w:color w:val="auto"/>
        </w:rPr>
      </w:pPr>
    </w:p>
    <w:p>
      <w:pPr>
        <w:jc w:val="both"/>
        <w:ind w:left="400" w:right="100" w:hanging="395"/>
        <w:spacing w:after="0" w:line="252" w:lineRule="auto"/>
        <w:tabs>
          <w:tab w:leader="none" w:pos="39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2024, the Company entered into an agreement to acquire its partner's 45.0% interest in the joint venture for cash consideration of $7.2 million, which is net of all outstanding debt obligations at contract signing. As a result of the contract terms, it was concluded that the joint venture is a VIE in which the Company is the primary beneficiary, and the investment was consolidated in our financial statements. Upon consolidating the entity, the assets and liabilities of the entity were recorded at fair value which resulted in the recognition of a negative fair value adjustment of ($55.7 million), which is included in Purchase price and other fair value adjustments in the consolidated statements of operations. Prior to March 2024, the investment was accounted for under the equity method. In December 2024, the Company closed on the acquisition of the partner's interest. See Note 16, "Fair Value Measurements."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Acquisitions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the year ended December 31, 2023, we did not acquire any properties from a third party.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 Acquisitions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properties acquired during the year ended December 31,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Acquisition Date</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Property Type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Approximate Square</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Gross Asset Valuation</w:t>
            </w:r>
          </w:p>
        </w:tc>
        <w:tc>
          <w:tcPr>
            <w:tcW w:w="0" w:type="dxa"/>
            <w:vAlign w:val="bottom"/>
          </w:tcPr>
          <w:p>
            <w:pPr>
              <w:spacing w:after="0"/>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760" w:type="dxa"/>
            <w:vAlign w:val="bottom"/>
            <w:gridSpan w:val="2"/>
            <w:vMerge w:val="continue"/>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Feet</w:t>
            </w:r>
          </w:p>
        </w:tc>
        <w:tc>
          <w:tcPr>
            <w:tcW w:w="260" w:type="dxa"/>
            <w:vAlign w:val="bottom"/>
          </w:tcPr>
          <w:p>
            <w:pPr>
              <w:spacing w:after="0"/>
              <w:rPr>
                <w:sz w:val="18"/>
                <w:szCs w:val="18"/>
                <w:color w:val="auto"/>
              </w:rPr>
            </w:pPr>
          </w:p>
        </w:tc>
        <w:tc>
          <w:tcPr>
            <w:tcW w:w="1400" w:type="dxa"/>
            <w:vAlign w:val="bottom"/>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0" w:type="dxa"/>
            <w:vAlign w:val="bottom"/>
          </w:tcPr>
          <w:p>
            <w:pPr>
              <w:spacing w:after="0"/>
              <w:rPr>
                <w:sz w:val="1"/>
                <w:szCs w:val="1"/>
                <w:color w:val="auto"/>
              </w:rPr>
            </w:pPr>
          </w:p>
        </w:tc>
      </w:tr>
      <w:tr>
        <w:trPr>
          <w:trHeight w:val="204"/>
        </w:trPr>
        <w:tc>
          <w:tcPr>
            <w:tcW w:w="4100" w:type="dxa"/>
            <w:vAlign w:val="bottom"/>
            <w:tcBorders>
              <w:top w:val="single" w:sz="8" w:color="auto"/>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245 Park Avenue </w:t>
            </w:r>
            <w:r>
              <w:rPr>
                <w:rFonts w:ascii="Times New Roman" w:cs="Times New Roman" w:eastAsia="Times New Roman" w:hAnsi="Times New Roman"/>
                <w:sz w:val="20"/>
                <w:szCs w:val="20"/>
                <w:color w:val="auto"/>
                <w:vertAlign w:val="superscript"/>
              </w:rPr>
              <w:t>(1)</w:t>
            </w:r>
          </w:p>
        </w:tc>
        <w:tc>
          <w:tcPr>
            <w:tcW w:w="1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September 2022</w:t>
            </w:r>
          </w:p>
        </w:tc>
        <w:tc>
          <w:tcPr>
            <w:tcW w:w="1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Fee Interest</w:t>
            </w:r>
          </w:p>
        </w:tc>
        <w:tc>
          <w:tcPr>
            <w:tcW w:w="1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1,782,793</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400" w:right="100" w:hanging="395"/>
        <w:spacing w:after="0" w:line="264" w:lineRule="auto"/>
        <w:tabs>
          <w:tab w:leader="none" w:pos="39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31, 2021, HNA, through an affiliated entity, filed for Chapter 11 bankruptcy protection on account of its investment in 245 Park Avenue, together with another asset in Chicago. On July 8, 2022, certain of the debtors and affiliates of SL Green entered into a Plan Sponsorship and Investment Agreement (the "Plan"). Since the debtors did not receive any qualifying bids for the property and the Plan was confirmed, SL Green acquired full ownership and control of the property in September 2022, at which time our outstanding preferred equity and accrued interest balance were credited to our equity investment in the property. We recorded the assets acquired and liabilities assumed at fair value.</w:t>
      </w:r>
    </w:p>
    <w:p>
      <w:pPr>
        <w:spacing w:after="0" w:line="81" w:lineRule="exact"/>
        <w:rPr>
          <w:sz w:val="20"/>
          <w:szCs w:val="20"/>
          <w:color w:val="auto"/>
        </w:rPr>
      </w:pPr>
    </w:p>
    <w:p>
      <w:pPr>
        <w:ind w:right="7380" w:firstLine="5"/>
        <w:spacing w:after="0" w:line="387" w:lineRule="auto"/>
        <w:tabs>
          <w:tab w:leader="none" w:pos="175"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Properties Held for Sale and Property Dispositions Properties Held for Sale</w:t>
      </w:r>
    </w:p>
    <w:p>
      <w:pPr>
        <w:spacing w:after="0" w:line="1" w:lineRule="exact"/>
        <w:rPr>
          <w:rFonts w:ascii="Times New Roman" w:cs="Times New Roman" w:eastAsia="Times New Roman" w:hAnsi="Times New Roman"/>
          <w:sz w:val="17"/>
          <w:szCs w:val="17"/>
          <w:b w:val="1"/>
          <w:bCs w:val="1"/>
          <w:color w:val="auto"/>
        </w:rPr>
      </w:pPr>
    </w:p>
    <w:p>
      <w:pPr>
        <w:ind w:left="4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2024 and 2023, no properties were classified as held for sale.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Dispositions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properties sold during the years ended December 31, 2024, 2023, and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220" w:type="dxa"/>
            <w:vAlign w:val="bottom"/>
          </w:tcPr>
          <w:p>
            <w:pPr>
              <w:spacing w:after="0"/>
              <w:rPr>
                <w:sz w:val="16"/>
                <w:szCs w:val="16"/>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Sales Price </w:t>
            </w:r>
            <w:r>
              <w:rPr>
                <w:rFonts w:ascii="Times New Roman" w:cs="Times New Roman" w:eastAsia="Times New Roman" w:hAnsi="Times New Roman"/>
                <w:sz w:val="20"/>
                <w:szCs w:val="20"/>
                <w:b w:val="1"/>
                <w:bCs w:val="1"/>
                <w:color w:val="auto"/>
                <w:vertAlign w:val="superscript"/>
              </w:rPr>
              <w:t>(1)</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 xml:space="preserve">(Loss) Gain on Sale </w:t>
            </w:r>
            <w:r>
              <w:rPr>
                <w:rFonts w:ascii="Times New Roman" w:cs="Times New Roman" w:eastAsia="Times New Roman" w:hAnsi="Times New Roman"/>
                <w:sz w:val="20"/>
                <w:szCs w:val="20"/>
                <w:b w:val="1"/>
                <w:bCs w:val="1"/>
                <w:color w:val="auto"/>
                <w:w w:val="97"/>
                <w:vertAlign w:val="superscript"/>
              </w:rPr>
              <w:t>(2)</w:t>
            </w: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2580" w:type="dxa"/>
            <w:vAlign w:val="bottom"/>
            <w:vMerge w:val="restart"/>
          </w:tcPr>
          <w:p>
            <w:pPr>
              <w:ind w:left="84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00" w:type="dxa"/>
            <w:vAlign w:val="bottom"/>
            <w:vMerge w:val="restart"/>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Disposition Date</w:t>
            </w:r>
          </w:p>
        </w:tc>
        <w:tc>
          <w:tcPr>
            <w:tcW w:w="100" w:type="dxa"/>
            <w:vAlign w:val="bottom"/>
            <w:vMerge w:val="restart"/>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Property Type</w:t>
            </w:r>
          </w:p>
        </w:tc>
        <w:tc>
          <w:tcPr>
            <w:tcW w:w="100" w:type="dxa"/>
            <w:vAlign w:val="bottom"/>
            <w:vMerge w:val="restart"/>
          </w:tcPr>
          <w:p>
            <w:pPr>
              <w:spacing w:after="0"/>
              <w:rPr>
                <w:sz w:val="13"/>
                <w:szCs w:val="13"/>
                <w:color w:val="auto"/>
              </w:rPr>
            </w:pPr>
          </w:p>
        </w:tc>
        <w:tc>
          <w:tcPr>
            <w:tcW w:w="16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7"/>
              </w:rPr>
              <w:t>Approximate Usable</w:t>
            </w:r>
          </w:p>
        </w:tc>
        <w:tc>
          <w:tcPr>
            <w:tcW w:w="22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Square Feet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151"/>
        </w:trPr>
        <w:tc>
          <w:tcPr>
            <w:tcW w:w="2860" w:type="dxa"/>
            <w:vAlign w:val="bottom"/>
            <w:gridSpan w:val="2"/>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color w:val="auto"/>
                <w:w w:val="99"/>
              </w:rPr>
              <w:t>Giorgio Armani Residences at 760 Madison</w:t>
            </w:r>
          </w:p>
        </w:tc>
        <w:tc>
          <w:tcPr>
            <w:tcW w:w="100" w:type="dxa"/>
            <w:vAlign w:val="bottom"/>
            <w:shd w:val="clear" w:color="auto" w:fill="CCEEFF"/>
          </w:tcPr>
          <w:p>
            <w:pPr>
              <w:spacing w:after="0"/>
              <w:rPr>
                <w:sz w:val="13"/>
                <w:szCs w:val="13"/>
                <w:color w:val="auto"/>
              </w:rPr>
            </w:pPr>
          </w:p>
        </w:tc>
        <w:tc>
          <w:tcPr>
            <w:tcW w:w="16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December 2024</w:t>
            </w:r>
          </w:p>
        </w:tc>
        <w:tc>
          <w:tcPr>
            <w:tcW w:w="16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Fee Interest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13,590</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0"/>
        </w:trPr>
        <w:tc>
          <w:tcPr>
            <w:tcW w:w="2960" w:type="dxa"/>
            <w:vAlign w:val="bottom"/>
            <w:gridSpan w:val="3"/>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Avenue (3 Condominium Units) </w:t>
            </w:r>
            <w:r>
              <w:rPr>
                <w:rFonts w:ascii="Times New Roman" w:cs="Times New Roman" w:eastAsia="Times New Roman" w:hAnsi="Times New Roman"/>
                <w:sz w:val="20"/>
                <w:szCs w:val="20"/>
                <w:color w:val="auto"/>
                <w:vertAlign w:val="superscript"/>
              </w:rPr>
              <w:t>(3)</w:t>
            </w:r>
          </w:p>
        </w:tc>
        <w:tc>
          <w:tcPr>
            <w:tcW w:w="1660" w:type="dxa"/>
            <w:vAlign w:val="bottom"/>
            <w:gridSpan w:val="2"/>
            <w:vMerge w:val="continue"/>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Palisades Premier Conference Center</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July 2024</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Fee Interest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719</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Seventh Avenue</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June 2024</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Fee Interest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245</w:t>
            </w:r>
          </w:p>
        </w:tc>
        <w:tc>
          <w:tcPr>
            <w:tcW w:w="26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Park Avenue </w:t>
            </w:r>
            <w:r>
              <w:rPr>
                <w:rFonts w:ascii="Times New Roman" w:cs="Times New Roman" w:eastAsia="Times New Roman" w:hAnsi="Times New Roman"/>
                <w:sz w:val="20"/>
                <w:szCs w:val="20"/>
                <w:color w:val="auto"/>
                <w:vertAlign w:val="superscript"/>
              </w:rPr>
              <w:t>(4)</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June 2023</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Fee Interest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1,782,793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157"/>
        </w:trPr>
        <w:tc>
          <w:tcPr>
            <w:tcW w:w="2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w w:val="99"/>
              </w:rPr>
              <w:t>885</w:t>
            </w:r>
          </w:p>
        </w:tc>
        <w:tc>
          <w:tcPr>
            <w:tcW w:w="268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Third Avenue - Office Condominium</w:t>
            </w:r>
          </w:p>
        </w:tc>
        <w:tc>
          <w:tcPr>
            <w:tcW w:w="16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December 2022</w:t>
            </w:r>
          </w:p>
        </w:tc>
        <w:tc>
          <w:tcPr>
            <w:tcW w:w="16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Fee / Leasehold Interest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414,317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10"/>
        </w:trPr>
        <w:tc>
          <w:tcPr>
            <w:tcW w:w="2960" w:type="dxa"/>
            <w:vAlign w:val="bottom"/>
            <w:gridSpan w:val="3"/>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Units </w:t>
            </w:r>
            <w:r>
              <w:rPr>
                <w:rFonts w:ascii="Times New Roman" w:cs="Times New Roman" w:eastAsia="Times New Roman" w:hAnsi="Times New Roman"/>
                <w:sz w:val="20"/>
                <w:szCs w:val="20"/>
                <w:color w:val="auto"/>
                <w:vertAlign w:val="superscript"/>
              </w:rPr>
              <w:t>(5)</w:t>
            </w:r>
          </w:p>
        </w:tc>
        <w:tc>
          <w:tcPr>
            <w:tcW w:w="1660" w:type="dxa"/>
            <w:vAlign w:val="bottom"/>
            <w:gridSpan w:val="2"/>
            <w:vMerge w:val="continue"/>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609</w:t>
            </w:r>
          </w:p>
        </w:tc>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Fifth Avenue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June 2022</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Fee Interest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12"/>
        </w:trPr>
        <w:tc>
          <w:tcPr>
            <w:tcW w:w="29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1591-1597 Broadway</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May 2022</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Fee Interest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8"/>
        </w:trPr>
        <w:tc>
          <w:tcPr>
            <w:tcW w:w="2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1080 Amsterdam Avenue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April 2022</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Leasehold Interest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707</w:t>
            </w:r>
          </w:p>
        </w:tc>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Eleventh Avenue</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February 2022</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Fee Interest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price represents the gross sales price for a property or the gross asset valuation for interests in a property.</w:t>
      </w:r>
    </w:p>
    <w:p>
      <w:pPr>
        <w:spacing w:after="0" w:line="12" w:lineRule="exact"/>
        <w:rPr>
          <w:rFonts w:ascii="Times New Roman" w:cs="Times New Roman" w:eastAsia="Times New Roman" w:hAnsi="Times New Roman"/>
          <w:sz w:val="14"/>
          <w:szCs w:val="14"/>
          <w:color w:val="auto"/>
        </w:rPr>
      </w:pPr>
    </w:p>
    <w:p>
      <w:pPr>
        <w:ind w:left="400" w:hanging="395"/>
        <w:spacing w:after="0" w:line="251" w:lineRule="auto"/>
        <w:tabs>
          <w:tab w:leader="none" w:pos="39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(losses) gains on sale are net of $5.1 million, $11.3 million, and $11.2 million of employee compensation accrued in connection with the realization of the investment dispositions during the years ended December 31, 2024, 2023, and 2022, respectively. Additionally, amounts do not include adjustments for expenses recorded in subsequent periods.</w:t>
      </w:r>
    </w:p>
    <w:p>
      <w:pPr>
        <w:ind w:left="400" w:hanging="395"/>
        <w:spacing w:after="0"/>
        <w:tabs>
          <w:tab w:leader="none" w:pos="4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condominium units at 760 Madison are under contract and expected to close once completed in the first quarter of 2025.</w:t>
      </w:r>
    </w:p>
    <w:p>
      <w:pPr>
        <w:spacing w:after="0" w:line="9" w:lineRule="exact"/>
        <w:rPr>
          <w:rFonts w:ascii="Times New Roman" w:cs="Times New Roman" w:eastAsia="Times New Roman" w:hAnsi="Times New Roman"/>
          <w:sz w:val="14"/>
          <w:szCs w:val="14"/>
          <w:color w:val="auto"/>
        </w:rPr>
      </w:pPr>
    </w:p>
    <w:p>
      <w:pPr>
        <w:jc w:val="both"/>
        <w:ind w:left="400" w:hanging="395"/>
        <w:spacing w:after="0" w:line="249" w:lineRule="auto"/>
        <w:tabs>
          <w:tab w:leader="none" w:pos="392"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2023, the Company sold a 49.9% interest, which resulted in the Company no longer retaining a controlling interest in the entity, as defined in ASC 810, and deconsolidation of the 50.1% interest we retained. We recorded our retained investment at fair value which resulted in the recognition of a fair value adjustment of ($17.0 million) that is reflected in the Company's consolidated statements of operations within Purchase price and other fair value adjustments. See Note 6, "Investments in Unconsolidated Joint Venture" and Note 16, " Fair Value Measurements."</w:t>
      </w:r>
    </w:p>
    <w:p>
      <w:pPr>
        <w:ind w:left="400" w:hanging="395"/>
        <w:spacing w:after="0"/>
        <w:tabs>
          <w:tab w:leader="none" w:pos="4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2022, the Company sold 414,317 square feet of office leasehold condominium units at the property. The Company retained the remaining 218,796 square feet of the building.</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Debt and Preferred Equity Investments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Below is a summary of the activity in our debt and preferred equity investments for the years ended December 31, 2024 and 2023 (in thousands):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360" w:type="dxa"/>
            <w:vAlign w:val="bottom"/>
            <w:tcBorders>
              <w:top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6"/>
                <w:szCs w:val="16"/>
                <w:color w:val="auto"/>
              </w:rPr>
              <w:t xml:space="preserve">Balance at beginning of year </w:t>
            </w:r>
            <w:r>
              <w:rPr>
                <w:rFonts w:ascii="Times New Roman" w:cs="Times New Roman" w:eastAsia="Times New Roman" w:hAnsi="Times New Roman"/>
                <w:sz w:val="20"/>
                <w:szCs w:val="20"/>
                <w:color w:val="auto"/>
                <w:vertAlign w:val="superscript"/>
              </w:rPr>
              <w:t>(1)</w:t>
            </w: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346,745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623,280</w:t>
            </w:r>
          </w:p>
        </w:tc>
      </w:tr>
      <w:tr>
        <w:trPr>
          <w:trHeight w:val="210"/>
        </w:trPr>
        <w:tc>
          <w:tcPr>
            <w:tcW w:w="736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Debt investment originations/fundings/accretion </w:t>
            </w:r>
            <w:r>
              <w:rPr>
                <w:rFonts w:ascii="Times New Roman" w:cs="Times New Roman" w:eastAsia="Times New Roman" w:hAnsi="Times New Roman"/>
                <w:sz w:val="20"/>
                <w:szCs w:val="20"/>
                <w:color w:val="auto"/>
                <w:vertAlign w:val="superscript"/>
              </w:rPr>
              <w:t>(2)</w:t>
            </w:r>
          </w:p>
        </w:tc>
        <w:tc>
          <w:tcPr>
            <w:tcW w:w="220" w:type="dxa"/>
            <w:vAlign w:val="bottom"/>
          </w:tcPr>
          <w:p>
            <w:pPr>
              <w:spacing w:after="0"/>
              <w:rPr>
                <w:sz w:val="18"/>
                <w:szCs w:val="18"/>
                <w:color w:val="auto"/>
              </w:rPr>
            </w:pPr>
          </w:p>
        </w:tc>
        <w:tc>
          <w:tcPr>
            <w:tcW w:w="180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12,890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72,160</w:t>
            </w:r>
          </w:p>
        </w:tc>
      </w:tr>
      <w:tr>
        <w:trPr>
          <w:trHeight w:val="210"/>
        </w:trPr>
        <w:tc>
          <w:tcPr>
            <w:tcW w:w="736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Preferred equity investment originations/accretion </w:t>
            </w:r>
            <w:r>
              <w:rPr>
                <w:rFonts w:ascii="Times New Roman" w:cs="Times New Roman" w:eastAsia="Times New Roman" w:hAnsi="Times New Roman"/>
                <w:sz w:val="20"/>
                <w:szCs w:val="20"/>
                <w:color w:val="auto"/>
                <w:vertAlign w:val="superscript"/>
              </w:rPr>
              <w:t>(2) (3)</w:t>
            </w: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8,720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8,142</w:t>
            </w: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Redemptions/sales/syndications/equity ownership/amortization</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(64,629)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(349,947)</w:t>
            </w: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loan loss reserves</w:t>
            </w: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r>
      <w:tr>
        <w:trPr>
          <w:trHeight w:val="204"/>
        </w:trPr>
        <w:tc>
          <w:tcPr>
            <w:tcW w:w="7360" w:type="dxa"/>
            <w:vAlign w:val="bottom"/>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Balance at end of period </w:t>
            </w:r>
            <w:r>
              <w:rPr>
                <w:rFonts w:ascii="Times New Roman" w:cs="Times New Roman" w:eastAsia="Times New Roman" w:hAnsi="Times New Roman"/>
                <w:sz w:val="20"/>
                <w:szCs w:val="20"/>
                <w:color w:val="auto"/>
                <w:vertAlign w:val="superscript"/>
              </w:rPr>
              <w:t>(1) (4)</w:t>
            </w: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303,726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346,745</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tabs>
          <w:tab w:leader="none" w:pos="4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unamortized fees, discounts, and premiums.</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Accretion includes amortization of fees and discounts and paid-in-kind investment income.</w:t>
      </w:r>
    </w:p>
    <w:p>
      <w:pPr>
        <w:spacing w:after="0" w:line="9" w:lineRule="exact"/>
        <w:rPr>
          <w:rFonts w:ascii="Times New Roman" w:cs="Times New Roman" w:eastAsia="Times New Roman" w:hAnsi="Times New Roman"/>
          <w:sz w:val="14"/>
          <w:szCs w:val="14"/>
          <w:color w:val="auto"/>
        </w:rPr>
      </w:pPr>
    </w:p>
    <w:p>
      <w:pPr>
        <w:ind w:left="400" w:hanging="395"/>
        <w:spacing w:after="0" w:line="254" w:lineRule="auto"/>
        <w:tabs>
          <w:tab w:leader="none" w:pos="392"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 $214.7 million preferred equity investment that is included in Investment in unconsolidated joint ventures in our consolidated balance sheet. See Note 6, "Investments in Unconsolidated Joint Ventures."</w:t>
      </w:r>
    </w:p>
    <w:p>
      <w:pPr>
        <w:ind w:left="400" w:hanging="395"/>
        <w:spacing w:after="0"/>
        <w:tabs>
          <w:tab w:leader="none" w:pos="4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$53.5 million that are included in the Company's alternative strategy portfolio.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Below is a summary of our debt and preferred equity investments as of December 31, 2024 (dollars in thousands):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Floating Rate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9"/>
              </w:rPr>
              <w:t>Total Carrying</w:t>
            </w:r>
          </w:p>
        </w:tc>
        <w:tc>
          <w:tcPr>
            <w:tcW w:w="240" w:type="dxa"/>
            <w:vAlign w:val="bottom"/>
          </w:tcPr>
          <w:p>
            <w:pPr>
              <w:spacing w:after="0"/>
              <w:rPr>
                <w:sz w:val="2"/>
                <w:szCs w:val="2"/>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Senior</w:t>
            </w: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120" w:type="dxa"/>
            <w:vAlign w:val="bottom"/>
          </w:tcPr>
          <w:p>
            <w:pPr>
              <w:spacing w:after="0"/>
              <w:rPr>
                <w:sz w:val="12"/>
                <w:szCs w:val="12"/>
                <w:color w:val="auto"/>
              </w:rPr>
            </w:pPr>
          </w:p>
        </w:tc>
        <w:tc>
          <w:tcPr>
            <w:tcW w:w="760" w:type="dxa"/>
            <w:vAlign w:val="bottom"/>
          </w:tcPr>
          <w:p>
            <w:pPr>
              <w:jc w:val="right"/>
              <w:ind w:right="90"/>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Face Value</w:t>
            </w:r>
          </w:p>
        </w:tc>
        <w:tc>
          <w:tcPr>
            <w:tcW w:w="100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40" w:type="dxa"/>
            <w:vAlign w:val="bottom"/>
          </w:tcPr>
          <w:p>
            <w:pPr>
              <w:spacing w:after="0"/>
              <w:rPr>
                <w:sz w:val="12"/>
                <w:szCs w:val="12"/>
                <w:color w:val="auto"/>
              </w:rPr>
            </w:pPr>
          </w:p>
        </w:tc>
        <w:tc>
          <w:tcPr>
            <w:tcW w:w="760" w:type="dxa"/>
            <w:vAlign w:val="bottom"/>
          </w:tcPr>
          <w:p>
            <w:pPr>
              <w:jc w:val="right"/>
              <w:ind w:right="90"/>
              <w:spacing w:after="0" w:line="13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Face Value</w:t>
            </w: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Maturity</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195"/>
        </w:trPr>
        <w:tc>
          <w:tcPr>
            <w:tcW w:w="2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6"/>
                <w:szCs w:val="16"/>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Mezzanine Debt</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117,006</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117,160</w:t>
            </w:r>
          </w:p>
        </w:tc>
        <w:tc>
          <w:tcPr>
            <w:tcW w:w="900" w:type="dxa"/>
            <w:vAlign w:val="bottom"/>
            <w:tcBorders>
              <w:top w:val="single" w:sz="8" w:color="auto"/>
            </w:tcBorders>
            <w:shd w:val="clear" w:color="auto" w:fill="CCEEFF"/>
          </w:tcPr>
          <w:p>
            <w:pPr>
              <w:jc w:val="center"/>
              <w:spacing w:after="0" w:line="128" w:lineRule="exact"/>
              <w:rPr>
                <w:sz w:val="20"/>
                <w:szCs w:val="20"/>
                <w:color w:val="auto"/>
              </w:rPr>
            </w:pPr>
            <w:r>
              <w:rPr>
                <w:rFonts w:ascii="Times New Roman" w:cs="Times New Roman" w:eastAsia="Times New Roman" w:hAnsi="Times New Roman"/>
                <w:sz w:val="14"/>
                <w:szCs w:val="14"/>
                <w:color w:val="auto"/>
                <w:w w:val="97"/>
              </w:rPr>
              <w:t>S + 5.06 -</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50,000</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50,000</w:t>
            </w:r>
          </w:p>
        </w:tc>
        <w:tc>
          <w:tcPr>
            <w:tcW w:w="90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8.00 - 8.40%</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 xml:space="preserve">167,006 </w:t>
            </w:r>
            <w:r>
              <w:rPr>
                <w:rFonts w:ascii="Times New Roman" w:cs="Times New Roman" w:eastAsia="Times New Roman" w:hAnsi="Times New Roman"/>
                <w:sz w:val="20"/>
                <w:szCs w:val="20"/>
                <w:color w:val="auto"/>
                <w:vertAlign w:val="superscript"/>
              </w:rPr>
              <w:t>(3)</w:t>
            </w:r>
          </w:p>
        </w:tc>
        <w:tc>
          <w:tcPr>
            <w:tcW w:w="24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812,021</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2025 - 2029</w:t>
            </w:r>
          </w:p>
        </w:tc>
        <w:tc>
          <w:tcPr>
            <w:tcW w:w="0" w:type="dxa"/>
            <w:vAlign w:val="bottom"/>
          </w:tcPr>
          <w:p>
            <w:pPr>
              <w:spacing w:after="0"/>
              <w:rPr>
                <w:sz w:val="1"/>
                <w:szCs w:val="1"/>
                <w:color w:val="auto"/>
              </w:rPr>
            </w:pPr>
          </w:p>
        </w:tc>
      </w:tr>
      <w:tr>
        <w:trPr>
          <w:trHeight w:val="193"/>
        </w:trPr>
        <w:tc>
          <w:tcPr>
            <w:tcW w:w="2000" w:type="dxa"/>
            <w:vAlign w:val="bottom"/>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11.75%</w:t>
            </w: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00" w:type="dxa"/>
            <w:vAlign w:val="bottom"/>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Preferred Equity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136,720</w:t>
            </w:r>
          </w:p>
        </w:tc>
        <w:tc>
          <w:tcPr>
            <w:tcW w:w="14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136,720</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136,720</w:t>
            </w:r>
          </w:p>
        </w:tc>
        <w:tc>
          <w:tcPr>
            <w:tcW w:w="240" w:type="dxa"/>
            <w:vAlign w:val="bottom"/>
          </w:tcPr>
          <w:p>
            <w:pPr>
              <w:spacing w:after="0"/>
              <w:rPr>
                <w:sz w:val="17"/>
                <w:szCs w:val="17"/>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250,000</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w:t>
            </w:r>
          </w:p>
        </w:tc>
        <w:tc>
          <w:tcPr>
            <w:tcW w:w="0" w:type="dxa"/>
            <w:vAlign w:val="bottom"/>
          </w:tcPr>
          <w:p>
            <w:pPr>
              <w:spacing w:after="0"/>
              <w:rPr>
                <w:sz w:val="1"/>
                <w:szCs w:val="1"/>
                <w:color w:val="auto"/>
              </w:rPr>
            </w:pPr>
          </w:p>
        </w:tc>
      </w:tr>
      <w:tr>
        <w:trPr>
          <w:trHeight w:val="215"/>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117,006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117,160</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186,720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186,720</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303,726</w:t>
            </w: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1,062,021</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Floating interest rates are presented with the stated spread over Term SOFR ("S").</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available extension options to the extent they have not been exercised as of the date of this filing.</w:t>
      </w:r>
    </w:p>
    <w:p>
      <w:pPr>
        <w:spacing w:after="0" w:line="5"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$53.5 million that are included in the Company's alternative strategy portfolio.</w:t>
      </w:r>
    </w:p>
    <w:p>
      <w:pPr>
        <w:spacing w:after="0" w:line="9" w:lineRule="exact"/>
        <w:rPr>
          <w:rFonts w:ascii="Times New Roman" w:cs="Times New Roman" w:eastAsia="Times New Roman" w:hAnsi="Times New Roman"/>
          <w:sz w:val="14"/>
          <w:szCs w:val="14"/>
          <w:color w:val="auto"/>
        </w:rPr>
      </w:pPr>
    </w:p>
    <w:p>
      <w:pPr>
        <w:ind w:left="400" w:hanging="395"/>
        <w:spacing w:after="0" w:line="268" w:lineRule="auto"/>
        <w:tabs>
          <w:tab w:leader="none" w:pos="392"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 $214.7 million preferred equity investment that is included in Investment in unconsolidated joint ventures in our consolidated balance sheet. See Note 6, "Investments in Unconsolidated Joint Ventures."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is a roll forward of our total allowance for loan losses for the years ended December 31, 2024, 2023 and 2022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4"/>
        </w:trPr>
        <w:tc>
          <w:tcPr>
            <w:tcW w:w="50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080" w:type="dxa"/>
            <w:vAlign w:val="bottom"/>
            <w:shd w:val="clear" w:color="auto" w:fill="CCEEFF"/>
          </w:tcPr>
          <w:p>
            <w:pPr>
              <w:jc w:val="right"/>
              <w:ind w:right="9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13,520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w:t>
            </w: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w:t>
            </w:r>
          </w:p>
        </w:tc>
      </w:tr>
      <w:tr>
        <w:trPr>
          <w:trHeight w:val="20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period provision for loan loss</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080" w:type="dxa"/>
            <w:vAlign w:val="bottom"/>
            <w:tcBorders>
              <w:bottom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13,520</w:t>
            </w:r>
          </w:p>
        </w:tc>
        <w:tc>
          <w:tcPr>
            <w:tcW w:w="2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13,520</w:t>
            </w:r>
          </w:p>
        </w:tc>
        <w:tc>
          <w:tcPr>
            <w:tcW w:w="34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(1)</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line="286" w:lineRule="auto"/>
        <w:tabs>
          <w:tab w:leader="none" w:pos="39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all financing receivables on non-accrual had an allowance for loan loss except for one debt investment with a carrying value of $53.5 million, which is included in the Company's alternative strategy portfolio.</w:t>
      </w:r>
    </w:p>
    <w:p>
      <w:pPr>
        <w:spacing w:after="0" w:line="66"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As of December 31, 2024, one investment, which is fully reserved, was not performing in accordance with its respective terms. As of December 31, 2023, two investments with a carrying value, net of reserves, of $49.8 million were not performing in accordance with their respective terms. This is further discussed in the Debt Investments and Preferred Equity Investments tables below.</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 other financing receivables were 90 days past due as of December 31, 2024 and December 31, 2023.</w:t>
      </w:r>
    </w:p>
    <w:p>
      <w:pPr>
        <w:spacing w:after="0" w:line="355"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following table sets forth the carrying value of our debt and preferred equity investment portfolio by risk rating as of December 31, 2024 and 2023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Risk Rating</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310"/>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w:t>
            </w:r>
          </w:p>
        </w:tc>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Low Risk Assets - Low probability of loss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156,720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210,333</w:t>
            </w:r>
          </w:p>
        </w:tc>
      </w:tr>
      <w:tr>
        <w:trPr>
          <w:trHeight w:val="315"/>
        </w:trPr>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w:t>
            </w:r>
          </w:p>
        </w:tc>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 Watch List Assets - Higher potential for loss </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147,006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136,412</w:t>
            </w:r>
          </w:p>
        </w:tc>
      </w:tr>
      <w:tr>
        <w:trPr>
          <w:trHeight w:val="209"/>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3</w:t>
            </w:r>
          </w:p>
        </w:tc>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High Risk Assets - Loss more likely than not</w:t>
            </w: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12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303,726</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346,745</w:t>
            </w:r>
          </w:p>
        </w:tc>
      </w:tr>
      <w:tr>
        <w:trPr>
          <w:trHeight w:val="20"/>
        </w:trPr>
        <w:tc>
          <w:tcPr>
            <w:tcW w:w="1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$53.5 million that are included in the Company's alternative strategy portfolio.</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sets forth the carrying value of our debt and preferred equity investment portfolio by year of origination and risk rating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Risk Rating</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160"/>
              <w:spacing w:after="0" w:line="214" w:lineRule="exact"/>
              <w:rPr>
                <w:sz w:val="20"/>
                <w:szCs w:val="20"/>
                <w:color w:val="auto"/>
              </w:rPr>
            </w:pPr>
            <w:r>
              <w:rPr>
                <w:rFonts w:ascii="Times New Roman" w:cs="Times New Roman" w:eastAsia="Times New Roman" w:hAnsi="Times New Roman"/>
                <w:sz w:val="16"/>
                <w:szCs w:val="16"/>
                <w:b w:val="1"/>
                <w:bCs w:val="1"/>
                <w:color w:val="auto"/>
              </w:rPr>
              <w:t>2024</w:t>
            </w:r>
            <w:r>
              <w:rPr>
                <w:rFonts w:ascii="Times New Roman" w:cs="Times New Roman" w:eastAsia="Times New Roman" w:hAnsi="Times New Roman"/>
                <w:sz w:val="20"/>
                <w:szCs w:val="20"/>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180"/>
              <w:spacing w:after="0" w:line="214" w:lineRule="exact"/>
              <w:rPr>
                <w:sz w:val="20"/>
                <w:szCs w:val="20"/>
                <w:color w:val="auto"/>
              </w:rPr>
            </w:pPr>
            <w:r>
              <w:rPr>
                <w:rFonts w:ascii="Times New Roman" w:cs="Times New Roman" w:eastAsia="Times New Roman" w:hAnsi="Times New Roman"/>
                <w:sz w:val="16"/>
                <w:szCs w:val="16"/>
                <w:b w:val="1"/>
                <w:bCs w:val="1"/>
                <w:color w:val="auto"/>
              </w:rPr>
              <w:t>2023</w:t>
            </w:r>
            <w:r>
              <w:rPr>
                <w:rFonts w:ascii="Times New Roman" w:cs="Times New Roman" w:eastAsia="Times New Roman" w:hAnsi="Times New Roman"/>
                <w:sz w:val="20"/>
                <w:szCs w:val="20"/>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00"/>
              <w:spacing w:after="0" w:line="214" w:lineRule="exact"/>
              <w:rPr>
                <w:sz w:val="20"/>
                <w:szCs w:val="20"/>
                <w:color w:val="auto"/>
              </w:rPr>
            </w:pPr>
            <w:r>
              <w:rPr>
                <w:rFonts w:ascii="Times New Roman" w:cs="Times New Roman" w:eastAsia="Times New Roman" w:hAnsi="Times New Roman"/>
                <w:sz w:val="16"/>
                <w:szCs w:val="16"/>
                <w:b w:val="1"/>
                <w:bCs w:val="1"/>
                <w:color w:val="auto"/>
              </w:rPr>
              <w:t>2022</w:t>
            </w:r>
            <w:r>
              <w:rPr>
                <w:rFonts w:ascii="Times New Roman" w:cs="Times New Roman" w:eastAsia="Times New Roman" w:hAnsi="Times New Roman"/>
                <w:sz w:val="20"/>
                <w:szCs w:val="20"/>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88"/>
              <w:spacing w:after="0" w:line="214" w:lineRule="exact"/>
              <w:rPr>
                <w:sz w:val="20"/>
                <w:szCs w:val="20"/>
                <w:color w:val="auto"/>
              </w:rPr>
            </w:pPr>
            <w:r>
              <w:rPr>
                <w:rFonts w:ascii="Times New Roman" w:cs="Times New Roman" w:eastAsia="Times New Roman" w:hAnsi="Times New Roman"/>
                <w:sz w:val="24"/>
                <w:szCs w:val="24"/>
                <w:b w:val="1"/>
                <w:bCs w:val="1"/>
                <w:color w:val="auto"/>
                <w:vertAlign w:val="subscript"/>
              </w:rPr>
              <w:t>Prior</w:t>
            </w:r>
            <w:r>
              <w:rPr>
                <w:rFonts w:ascii="Times New Roman" w:cs="Times New Roman" w:eastAsia="Times New Roman" w:hAnsi="Times New Roman"/>
                <w:sz w:val="9"/>
                <w:szCs w:val="9"/>
                <w:b w:val="1"/>
                <w:bCs w:val="1"/>
                <w:color w:val="auto"/>
              </w:rPr>
              <w:t>(1)(2)</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08"/>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Low Risk Assets - Low probability of loss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156,720</w:t>
            </w:r>
          </w:p>
        </w:tc>
        <w:tc>
          <w:tcPr>
            <w:tcW w:w="6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156,720</w:t>
            </w:r>
          </w:p>
        </w:tc>
        <w:tc>
          <w:tcPr>
            <w:tcW w:w="0" w:type="dxa"/>
            <w:vAlign w:val="bottom"/>
          </w:tcPr>
          <w:p>
            <w:pPr>
              <w:spacing w:after="0"/>
              <w:rPr>
                <w:sz w:val="1"/>
                <w:szCs w:val="1"/>
                <w:color w:val="auto"/>
              </w:rPr>
            </w:pPr>
          </w:p>
        </w:tc>
      </w:tr>
      <w:tr>
        <w:trPr>
          <w:trHeight w:val="137"/>
        </w:trPr>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2</w:t>
            </w:r>
          </w:p>
        </w:tc>
        <w:tc>
          <w:tcPr>
            <w:tcW w:w="3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 Watch List Assets - Higher potential for loss</w:t>
            </w:r>
          </w:p>
        </w:tc>
        <w:tc>
          <w:tcPr>
            <w:tcW w:w="280" w:type="dxa"/>
            <w:vAlign w:val="bottom"/>
          </w:tcPr>
          <w:p>
            <w:pPr>
              <w:spacing w:after="0"/>
              <w:rPr>
                <w:sz w:val="11"/>
                <w:szCs w:val="11"/>
                <w:color w:val="auto"/>
              </w:rPr>
            </w:pPr>
          </w:p>
        </w:tc>
        <w:tc>
          <w:tcPr>
            <w:tcW w:w="11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1"/>
                <w:szCs w:val="11"/>
                <w:color w:val="auto"/>
              </w:rPr>
            </w:pPr>
          </w:p>
        </w:tc>
        <w:tc>
          <w:tcPr>
            <w:tcW w:w="11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1"/>
                <w:szCs w:val="11"/>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1"/>
                <w:szCs w:val="11"/>
                <w:color w:val="auto"/>
              </w:rPr>
            </w:pPr>
          </w:p>
        </w:tc>
        <w:tc>
          <w:tcPr>
            <w:tcW w:w="1000" w:type="dxa"/>
            <w:vAlign w:val="bottom"/>
            <w:vMerge w:val="restart"/>
          </w:tcPr>
          <w:p>
            <w:pPr>
              <w:jc w:val="right"/>
              <w:ind w:right="8"/>
              <w:spacing w:after="0"/>
              <w:rPr>
                <w:sz w:val="20"/>
                <w:szCs w:val="20"/>
                <w:color w:val="auto"/>
              </w:rPr>
            </w:pPr>
            <w:r>
              <w:rPr>
                <w:rFonts w:ascii="Times New Roman" w:cs="Times New Roman" w:eastAsia="Times New Roman" w:hAnsi="Times New Roman"/>
                <w:sz w:val="16"/>
                <w:szCs w:val="16"/>
                <w:color w:val="auto"/>
              </w:rPr>
              <w:t>147,006</w:t>
            </w:r>
          </w:p>
        </w:tc>
        <w:tc>
          <w:tcPr>
            <w:tcW w:w="340" w:type="dxa"/>
            <w:vAlign w:val="bottom"/>
          </w:tcPr>
          <w:p>
            <w:pPr>
              <w:jc w:val="right"/>
              <w:ind w:right="134"/>
              <w:spacing w:after="0"/>
              <w:rPr>
                <w:sz w:val="20"/>
                <w:szCs w:val="20"/>
                <w:color w:val="auto"/>
              </w:rPr>
            </w:pPr>
            <w:r>
              <w:rPr>
                <w:rFonts w:ascii="Times New Roman" w:cs="Times New Roman" w:eastAsia="Times New Roman" w:hAnsi="Times New Roman"/>
                <w:sz w:val="10"/>
                <w:szCs w:val="10"/>
                <w:color w:val="auto"/>
              </w:rPr>
              <w:t>(3)</w:t>
            </w:r>
          </w:p>
        </w:tc>
        <w:tc>
          <w:tcPr>
            <w:tcW w:w="28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147,006</w:t>
            </w:r>
          </w:p>
        </w:tc>
        <w:tc>
          <w:tcPr>
            <w:tcW w:w="0" w:type="dxa"/>
            <w:vAlign w:val="bottom"/>
          </w:tcPr>
          <w:p>
            <w:pPr>
              <w:spacing w:after="0"/>
              <w:rPr>
                <w:sz w:val="1"/>
                <w:szCs w:val="1"/>
                <w:color w:val="auto"/>
              </w:rPr>
            </w:pPr>
          </w:p>
        </w:tc>
      </w:tr>
      <w:tr>
        <w:trPr>
          <w:trHeight w:val="175"/>
        </w:trPr>
        <w:tc>
          <w:tcPr>
            <w:tcW w:w="120" w:type="dxa"/>
            <w:vAlign w:val="bottom"/>
            <w:vMerge w:val="continue"/>
          </w:tcPr>
          <w:p>
            <w:pPr>
              <w:spacing w:after="0"/>
              <w:rPr>
                <w:sz w:val="15"/>
                <w:szCs w:val="15"/>
                <w:color w:val="auto"/>
              </w:rPr>
            </w:pPr>
          </w:p>
        </w:tc>
        <w:tc>
          <w:tcPr>
            <w:tcW w:w="39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3</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High Risk Assets - Loss more likely than not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303,726</w:t>
            </w:r>
          </w:p>
        </w:tc>
        <w:tc>
          <w:tcPr>
            <w:tcW w:w="3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303,726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 in which the investment was originated or acquired by us or in which a material modification occurred.</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2023, we recognized a $6.9 million provision for loan loss related to an investment originated prior to 2021.</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two investments with a total carrying value of $53.5 million that are included in the Company's alternative strategy portfolio.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We have determined that we have one portfolio segment of financing receivables as of December 31, 2024 and 2023 comprised of commercial real estate which is primarily recorded in debt and preferred equity investments.</w:t>
      </w:r>
    </w:p>
    <w:p>
      <w:pPr>
        <w:spacing w:after="0" w:line="4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Included in Other assets is an additional amount of financing receivables representing loans to joint venture partners totaling $23.7 million and $8.8 million as of December 31, 2024 and 2023, respectively. The Company recorded no provisions for loan losses related to these financing receivables for the years ended December 31, 2024 and 2023, respectively. All of these loans have a risk rating of 2 and were performing in accordance with their respective terms.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Investments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2024 and 2023, we held the following debt investments with an aggregate weighted average current yield of 6.02%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Loan Type</w:t>
            </w:r>
          </w:p>
        </w:tc>
        <w:tc>
          <w:tcPr>
            <w:tcW w:w="200" w:type="dxa"/>
            <w:vAlign w:val="bottom"/>
          </w:tcPr>
          <w:p>
            <w:pPr>
              <w:spacing w:after="0"/>
              <w:rPr>
                <w:sz w:val="13"/>
                <w:szCs w:val="13"/>
                <w:color w:val="auto"/>
              </w:rPr>
            </w:pPr>
          </w:p>
        </w:tc>
        <w:tc>
          <w:tcPr>
            <w:tcW w:w="160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6"/>
                <w:szCs w:val="16"/>
                <w:b w:val="1"/>
                <w:bCs w:val="1"/>
                <w:color w:val="auto"/>
                <w:w w:val="97"/>
              </w:rPr>
              <w:t>Future Funding</w:t>
            </w:r>
          </w:p>
        </w:tc>
        <w:tc>
          <w:tcPr>
            <w:tcW w:w="140" w:type="dxa"/>
            <w:vAlign w:val="bottom"/>
          </w:tcPr>
          <w:p>
            <w:pPr>
              <w:spacing w:after="0"/>
              <w:rPr>
                <w:sz w:val="13"/>
                <w:szCs w:val="13"/>
                <w:color w:val="auto"/>
              </w:rPr>
            </w:pPr>
          </w:p>
        </w:tc>
        <w:tc>
          <w:tcPr>
            <w:tcW w:w="16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Senior Financing</w:t>
            </w:r>
          </w:p>
        </w:tc>
        <w:tc>
          <w:tcPr>
            <w:tcW w:w="16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3"/>
                <w:szCs w:val="13"/>
                <w:color w:val="auto"/>
              </w:rPr>
            </w:pPr>
          </w:p>
        </w:tc>
        <w:tc>
          <w:tcPr>
            <w:tcW w:w="1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3"/>
                <w:szCs w:val="13"/>
                <w:color w:val="auto"/>
              </w:rPr>
            </w:pPr>
          </w:p>
        </w:tc>
        <w:tc>
          <w:tcPr>
            <w:tcW w:w="1380" w:type="dxa"/>
            <w:vAlign w:val="bottom"/>
          </w:tcPr>
          <w:p>
            <w:pPr>
              <w:jc w:val="right"/>
              <w:ind w:right="301"/>
              <w:spacing w:after="0" w:line="155" w:lineRule="exact"/>
              <w:rPr>
                <w:sz w:val="20"/>
                <w:szCs w:val="20"/>
                <w:color w:val="auto"/>
              </w:rPr>
            </w:pPr>
            <w:r>
              <w:rPr>
                <w:rFonts w:ascii="Times New Roman" w:cs="Times New Roman" w:eastAsia="Times New Roman" w:hAnsi="Times New Roman"/>
                <w:sz w:val="16"/>
                <w:szCs w:val="16"/>
                <w:b w:val="1"/>
                <w:bCs w:val="1"/>
                <w:color w:val="auto"/>
              </w:rPr>
              <w:t>Maturity</w:t>
            </w:r>
          </w:p>
        </w:tc>
        <w:tc>
          <w:tcPr>
            <w:tcW w:w="0" w:type="dxa"/>
            <w:vAlign w:val="bottom"/>
          </w:tcPr>
          <w:p>
            <w:pPr>
              <w:spacing w:after="0"/>
              <w:rPr>
                <w:sz w:val="1"/>
                <w:szCs w:val="1"/>
                <w:color w:val="auto"/>
              </w:rPr>
            </w:pPr>
          </w:p>
        </w:tc>
      </w:tr>
      <w:tr>
        <w:trPr>
          <w:trHeight w:val="210"/>
        </w:trPr>
        <w:tc>
          <w:tcPr>
            <w:tcW w:w="26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Obligations</w:t>
            </w:r>
          </w:p>
        </w:tc>
        <w:tc>
          <w:tcPr>
            <w:tcW w:w="1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361"/>
              <w:spacing w:after="0" w:line="209" w:lineRule="exact"/>
              <w:rPr>
                <w:sz w:val="20"/>
                <w:szCs w:val="20"/>
                <w:color w:val="auto"/>
              </w:rPr>
            </w:pPr>
            <w:r>
              <w:rPr>
                <w:rFonts w:ascii="Times New Roman" w:cs="Times New Roman" w:eastAsia="Times New Roman" w:hAnsi="Times New Roman"/>
                <w:sz w:val="16"/>
                <w:szCs w:val="16"/>
                <w:b w:val="1"/>
                <w:bCs w:val="1"/>
                <w:color w:val="auto"/>
              </w:rPr>
              <w:t xml:space="preserve">Date </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20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Fixed Rate Investments: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Mezzanine Loan </w:t>
            </w:r>
            <w:r>
              <w:rPr>
                <w:rFonts w:ascii="Times New Roman" w:cs="Times New Roman" w:eastAsia="Times New Roman" w:hAnsi="Times New Roman"/>
                <w:sz w:val="20"/>
                <w:szCs w:val="20"/>
                <w:color w:val="auto"/>
                <w:vertAlign w:val="superscript"/>
              </w:rPr>
              <w:t>(3) (4) (5)</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105,000</w:t>
            </w:r>
          </w:p>
        </w:tc>
        <w:tc>
          <w:tcPr>
            <w:tcW w:w="12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13,366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2025</w:t>
            </w:r>
          </w:p>
        </w:tc>
        <w:tc>
          <w:tcPr>
            <w:tcW w:w="0" w:type="dxa"/>
            <w:vAlign w:val="bottom"/>
          </w:tcPr>
          <w:p>
            <w:pPr>
              <w:spacing w:after="0"/>
              <w:rPr>
                <w:sz w:val="1"/>
                <w:szCs w:val="1"/>
                <w:color w:val="auto"/>
              </w:rPr>
            </w:pPr>
          </w:p>
        </w:tc>
      </w:tr>
      <w:tr>
        <w:trPr>
          <w:trHeight w:val="210"/>
        </w:trPr>
        <w:tc>
          <w:tcPr>
            <w:tcW w:w="268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Mezzanine Loan </w:t>
            </w:r>
            <w:r>
              <w:rPr>
                <w:rFonts w:ascii="Times New Roman" w:cs="Times New Roman" w:eastAsia="Times New Roman" w:hAnsi="Times New Roman"/>
                <w:sz w:val="20"/>
                <w:szCs w:val="20"/>
                <w:color w:val="auto"/>
                <w:vertAlign w:val="superscript"/>
              </w:rPr>
              <w:t>(6)</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2025</w:t>
            </w:r>
          </w:p>
        </w:tc>
        <w:tc>
          <w:tcPr>
            <w:tcW w:w="0" w:type="dxa"/>
            <w:vAlign w:val="bottom"/>
          </w:tcPr>
          <w:p>
            <w:pPr>
              <w:spacing w:after="0"/>
              <w:rPr>
                <w:sz w:val="1"/>
                <w:szCs w:val="1"/>
                <w:color w:val="auto"/>
              </w:rPr>
            </w:pPr>
          </w:p>
        </w:tc>
      </w:tr>
      <w:tr>
        <w:trPr>
          <w:trHeight w:val="20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Mezzanine Loan</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2029</w:t>
            </w:r>
          </w:p>
        </w:tc>
        <w:tc>
          <w:tcPr>
            <w:tcW w:w="0" w:type="dxa"/>
            <w:vAlign w:val="bottom"/>
          </w:tcPr>
          <w:p>
            <w:pPr>
              <w:spacing w:after="0"/>
              <w:rPr>
                <w:sz w:val="1"/>
                <w:szCs w:val="1"/>
                <w:color w:val="auto"/>
              </w:rPr>
            </w:pPr>
          </w:p>
        </w:tc>
      </w:tr>
      <w:tr>
        <w:trPr>
          <w:trHeight w:val="204"/>
        </w:trPr>
        <w:tc>
          <w:tcPr>
            <w:tcW w:w="268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fixed rate</w:t>
            </w: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285,000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63,366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63,366</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Floating Rate Investments:</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Mezzanine Loan</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2025</w:t>
            </w:r>
          </w:p>
        </w:tc>
        <w:tc>
          <w:tcPr>
            <w:tcW w:w="0" w:type="dxa"/>
            <w:vAlign w:val="bottom"/>
          </w:tcPr>
          <w:p>
            <w:pPr>
              <w:spacing w:after="0"/>
              <w:rPr>
                <w:sz w:val="1"/>
                <w:szCs w:val="1"/>
                <w:color w:val="auto"/>
              </w:rPr>
            </w:pPr>
          </w:p>
        </w:tc>
      </w:tr>
      <w:tr>
        <w:trPr>
          <w:trHeight w:val="210"/>
        </w:trPr>
        <w:tc>
          <w:tcPr>
            <w:tcW w:w="26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Mezzanine Loan </w:t>
            </w:r>
            <w:r>
              <w:rPr>
                <w:rFonts w:ascii="Times New Roman" w:cs="Times New Roman" w:eastAsia="Times New Roman" w:hAnsi="Times New Roman"/>
                <w:sz w:val="20"/>
                <w:szCs w:val="20"/>
                <w:color w:val="auto"/>
                <w:vertAlign w:val="superscript"/>
              </w:rPr>
              <w:t>(5) (7)</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283,000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53,687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2025</w:t>
            </w:r>
          </w:p>
        </w:tc>
        <w:tc>
          <w:tcPr>
            <w:tcW w:w="0" w:type="dxa"/>
            <w:vAlign w:val="bottom"/>
          </w:tcPr>
          <w:p>
            <w:pPr>
              <w:spacing w:after="0"/>
              <w:rPr>
                <w:sz w:val="1"/>
                <w:szCs w:val="1"/>
                <w:color w:val="auto"/>
              </w:rPr>
            </w:pPr>
          </w:p>
        </w:tc>
      </w:tr>
      <w:tr>
        <w:trPr>
          <w:trHeight w:val="210"/>
        </w:trPr>
        <w:tc>
          <w:tcPr>
            <w:tcW w:w="2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Mezzanine Loan</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190,021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54,482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48,323</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2026</w:t>
            </w:r>
          </w:p>
        </w:tc>
        <w:tc>
          <w:tcPr>
            <w:tcW w:w="0" w:type="dxa"/>
            <w:vAlign w:val="bottom"/>
          </w:tcPr>
          <w:p>
            <w:pPr>
              <w:spacing w:after="0"/>
              <w:rPr>
                <w:sz w:val="1"/>
                <w:szCs w:val="1"/>
                <w:color w:val="auto"/>
              </w:rPr>
            </w:pPr>
          </w:p>
        </w:tc>
      </w:tr>
      <w:tr>
        <w:trPr>
          <w:trHeight w:val="209"/>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Mezzanine Loan</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62,333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2024</w:t>
            </w:r>
          </w:p>
        </w:tc>
        <w:tc>
          <w:tcPr>
            <w:tcW w:w="0" w:type="dxa"/>
            <w:vAlign w:val="bottom"/>
          </w:tcPr>
          <w:p>
            <w:pPr>
              <w:spacing w:after="0"/>
              <w:rPr>
                <w:sz w:val="1"/>
                <w:szCs w:val="1"/>
                <w:color w:val="auto"/>
              </w:rPr>
            </w:pPr>
          </w:p>
        </w:tc>
      </w:tr>
      <w:tr>
        <w:trPr>
          <w:trHeight w:val="204"/>
        </w:trPr>
        <w:tc>
          <w:tcPr>
            <w:tcW w:w="268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floating rate</w:t>
            </w: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4,603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527,021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117,160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168,899</w:t>
            </w: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Allowance for loan loss</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(13,520)</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4,603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812,021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167,006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218,745</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is net of discounts, premiums, original issue discounts and deferred origination fees.</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contractual maturity, excluding any extension options to the extent they have not been exercised as of the date of this filing.</w:t>
      </w:r>
    </w:p>
    <w:p>
      <w:pPr>
        <w:spacing w:after="0" w:line="5" w:lineRule="exact"/>
        <w:rPr>
          <w:rFonts w:ascii="Times New Roman" w:cs="Times New Roman" w:eastAsia="Times New Roman" w:hAnsi="Times New Roman"/>
          <w:sz w:val="14"/>
          <w:szCs w:val="14"/>
          <w:color w:val="auto"/>
        </w:rPr>
      </w:pPr>
    </w:p>
    <w:p>
      <w:pPr>
        <w:ind w:left="400" w:hanging="395"/>
        <w:spacing w:after="0" w:line="254" w:lineRule="auto"/>
        <w:tabs>
          <w:tab w:leader="none" w:pos="39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is net of a $12.0 million participation that was sold and did not meet the conditions for sale accounting, which is included in Other assets and Other liabilities on the consolidated balance sheets.</w:t>
      </w:r>
    </w:p>
    <w:p>
      <w:pPr>
        <w:jc w:val="both"/>
        <w:ind w:left="400" w:hanging="395"/>
        <w:spacing w:after="0" w:line="247" w:lineRule="auto"/>
        <w:tabs>
          <w:tab w:leader="none" w:pos="39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loan went into default and was put on non-accrual in June 2020 and remains on non-accrual as of December 31, 2024. No investment income has been recognized subsequent to it being put on non-accrual. In the first quarter of 2023, the Company fully reserved the balance of the investment. Additionally, we determined the borrower entity to be a VIE in which we are not the primary beneficiary.</w:t>
      </w:r>
    </w:p>
    <w:p>
      <w:pPr>
        <w:spacing w:after="0" w:line="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Company's alternative strategy portfolio.</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 discussions with the borrower with respect to the loan.</w:t>
      </w:r>
    </w:p>
    <w:p>
      <w:pPr>
        <w:spacing w:after="0" w:line="9" w:lineRule="exact"/>
        <w:rPr>
          <w:rFonts w:ascii="Times New Roman" w:cs="Times New Roman" w:eastAsia="Times New Roman" w:hAnsi="Times New Roman"/>
          <w:sz w:val="14"/>
          <w:szCs w:val="14"/>
          <w:color w:val="auto"/>
        </w:rPr>
      </w:pPr>
    </w:p>
    <w:p>
      <w:pPr>
        <w:ind w:left="400" w:hanging="395"/>
        <w:spacing w:after="0" w:line="268" w:lineRule="auto"/>
        <w:tabs>
          <w:tab w:leader="none" w:pos="39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loan was put on non-accrual in January 2023 and remains on non-accrual as of December 31, 2024. No investment income has been recognized since it was put on non-accrual. In December 2024, the maturity date of the loan was extended to December 2025. Additionally, we determined the borrower entity to be a VIE in which we are not the primary beneficiary.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Equity Investments</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As of December 31, 2024 and 2023, we held the following preferred equity investments with an aggregate weighted average current yield of 6.55% as of December 31, 2024 (dollars in thousands), excluding a $214.7 million preferred equity investment that is included in Investment in unconsolidated joint ventures in our consolidated balance sheet: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42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Future Funding</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8"/>
              </w:rPr>
              <w:t>Senior</w:t>
            </w:r>
          </w:p>
        </w:tc>
        <w:tc>
          <w:tcPr>
            <w:tcW w:w="160" w:type="dxa"/>
            <w:vAlign w:val="bottom"/>
          </w:tcPr>
          <w:p>
            <w:pPr>
              <w:spacing w:after="0"/>
              <w:rPr>
                <w:sz w:val="13"/>
                <w:szCs w:val="13"/>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160" w:type="dxa"/>
            <w:vAlign w:val="bottom"/>
          </w:tcPr>
          <w:p>
            <w:pPr>
              <w:spacing w:after="0"/>
              <w:rPr>
                <w:sz w:val="13"/>
                <w:szCs w:val="13"/>
                <w:color w:val="auto"/>
              </w:rPr>
            </w:pPr>
          </w:p>
        </w:tc>
        <w:tc>
          <w:tcPr>
            <w:tcW w:w="1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1480" w:type="dxa"/>
            <w:vAlign w:val="bottom"/>
          </w:tcPr>
          <w:p>
            <w:pPr>
              <w:jc w:val="center"/>
              <w:ind w:left="41"/>
              <w:spacing w:after="0" w:line="155" w:lineRule="exact"/>
              <w:rPr>
                <w:sz w:val="20"/>
                <w:szCs w:val="20"/>
                <w:color w:val="auto"/>
              </w:rPr>
            </w:pPr>
            <w:r>
              <w:rPr>
                <w:rFonts w:ascii="Times New Roman" w:cs="Times New Roman" w:eastAsia="Times New Roman" w:hAnsi="Times New Roman"/>
                <w:sz w:val="16"/>
                <w:szCs w:val="16"/>
                <w:b w:val="1"/>
                <w:bCs w:val="1"/>
                <w:color w:val="auto"/>
                <w:w w:val="98"/>
              </w:rPr>
              <w:t>Mandatory</w:t>
            </w:r>
          </w:p>
        </w:tc>
        <w:tc>
          <w:tcPr>
            <w:tcW w:w="0" w:type="dxa"/>
            <w:vAlign w:val="bottom"/>
          </w:tcPr>
          <w:p>
            <w:pPr>
              <w:spacing w:after="0"/>
              <w:rPr>
                <w:sz w:val="1"/>
                <w:szCs w:val="1"/>
                <w:color w:val="auto"/>
              </w:rPr>
            </w:pPr>
          </w:p>
        </w:tc>
      </w:tr>
      <w:tr>
        <w:trPr>
          <w:trHeight w:val="210"/>
        </w:trPr>
        <w:tc>
          <w:tcPr>
            <w:tcW w:w="2680" w:type="dxa"/>
            <w:vAlign w:val="bottom"/>
            <w:gridSpan w:val="2"/>
            <w:vMerge w:val="continue"/>
          </w:tcPr>
          <w:p>
            <w:pPr>
              <w:spacing w:after="0"/>
              <w:rPr>
                <w:sz w:val="18"/>
                <w:szCs w:val="18"/>
                <w:color w:val="auto"/>
              </w:rPr>
            </w:pPr>
          </w:p>
        </w:tc>
        <w:tc>
          <w:tcPr>
            <w:tcW w:w="142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Financing</w:t>
            </w:r>
          </w:p>
        </w:tc>
        <w:tc>
          <w:tcPr>
            <w:tcW w:w="1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480" w:type="dxa"/>
            <w:vAlign w:val="bottom"/>
          </w:tcPr>
          <w:p>
            <w:pPr>
              <w:jc w:val="center"/>
              <w:ind w:left="21"/>
              <w:spacing w:after="0" w:line="209" w:lineRule="exact"/>
              <w:rPr>
                <w:sz w:val="20"/>
                <w:szCs w:val="20"/>
                <w:color w:val="auto"/>
              </w:rPr>
            </w:pPr>
            <w:r>
              <w:rPr>
                <w:rFonts w:ascii="Times New Roman" w:cs="Times New Roman" w:eastAsia="Times New Roman" w:hAnsi="Times New Roman"/>
                <w:sz w:val="16"/>
                <w:szCs w:val="16"/>
                <w:b w:val="1"/>
                <w:bCs w:val="1"/>
                <w:color w:val="auto"/>
                <w:w w:val="95"/>
              </w:rPr>
              <w:t xml:space="preserve">Redemption </w:t>
            </w:r>
            <w:r>
              <w:rPr>
                <w:rFonts w:ascii="Times New Roman" w:cs="Times New Roman" w:eastAsia="Times New Roman" w:hAnsi="Times New Roman"/>
                <w:sz w:val="20"/>
                <w:szCs w:val="20"/>
                <w:b w:val="1"/>
                <w:bCs w:val="1"/>
                <w:color w:val="auto"/>
                <w:w w:val="95"/>
                <w:vertAlign w:val="superscript"/>
              </w:rPr>
              <w:t>(2)</w:t>
            </w:r>
          </w:p>
        </w:tc>
        <w:tc>
          <w:tcPr>
            <w:tcW w:w="0" w:type="dxa"/>
            <w:vAlign w:val="bottom"/>
          </w:tcPr>
          <w:p>
            <w:pPr>
              <w:spacing w:after="0"/>
              <w:rPr>
                <w:sz w:val="1"/>
                <w:szCs w:val="1"/>
                <w:color w:val="auto"/>
              </w:rPr>
            </w:pPr>
          </w:p>
        </w:tc>
      </w:tr>
      <w:tr>
        <w:trPr>
          <w:trHeight w:val="20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Equity</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bottom w:val="single" w:sz="8" w:color="auto"/>
            </w:tcBorders>
            <w:shd w:val="clear" w:color="auto" w:fill="CCEEFF"/>
          </w:tcPr>
          <w:p>
            <w:pPr>
              <w:jc w:val="right"/>
              <w:ind w:right="12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250,000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136,720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128,000</w:t>
            </w:r>
          </w:p>
        </w:tc>
        <w:tc>
          <w:tcPr>
            <w:tcW w:w="148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w w:val="98"/>
              </w:rPr>
              <w:t>February 2027</w:t>
            </w:r>
          </w:p>
        </w:tc>
        <w:tc>
          <w:tcPr>
            <w:tcW w:w="0" w:type="dxa"/>
            <w:vAlign w:val="bottom"/>
          </w:tcPr>
          <w:p>
            <w:pPr>
              <w:spacing w:after="0"/>
              <w:rPr>
                <w:sz w:val="1"/>
                <w:szCs w:val="1"/>
                <w:color w:val="auto"/>
              </w:rPr>
            </w:pPr>
          </w:p>
        </w:tc>
      </w:tr>
      <w:tr>
        <w:trPr>
          <w:trHeight w:val="203"/>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20" w:type="dxa"/>
            <w:vAlign w:val="bottom"/>
            <w:tcBorders>
              <w:bottom w:val="single" w:sz="8" w:color="auto"/>
            </w:tcBorders>
          </w:tcPr>
          <w:p>
            <w:pPr>
              <w:jc w:val="right"/>
              <w:ind w:right="12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250,000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136,720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128,000</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is net of deferred origination fees.</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contractual redemption, excluding any unexercised extension options.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Investments in Unconsolidated Joint Ventures</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We have investments in several real estate joint ventures with various third-party partners. As of December 31, 2024, the book value of these investments was $2.7 billion, net of investments with negative book values totaling $150.5 million for which we have an implicit commitment to fund future capital needs.</w:t>
      </w:r>
    </w:p>
    <w:p>
      <w:pPr>
        <w:spacing w:after="0" w:line="41"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As of December 31, 2024, 800 Third Avenue and our preferred equity investment in 625 Madison Avenue are VIEs in which we are not the primary beneficiary. As of December 31, 2023, 800 Third Avenue and 625 Madison Avenue were VIEs in which we are not the primary beneficiary. Our net equity investment in these VIEs was $263.8 million as of December 31, 2024, and $437.9 million as of December 31, 2023. Our maximum loss is limited to the amount of our equity investment in these VIEs. See the "Principles of Consolidation" section of Note 2, "Significant Accounting Policies." All other investments below are voting interest entities. As we have the ability to exercise significant influence over, but do not control, the joint ventures listed below, we account for them under the equity method of accounting.</w:t>
      </w:r>
    </w:p>
    <w:p>
      <w:pPr>
        <w:spacing w:after="0" w:line="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table below provides general information on each of our joint ventures as of December 31,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780" w:type="dxa"/>
            <w:vAlign w:val="bottom"/>
            <w:vMerge w:val="restart"/>
          </w:tcPr>
          <w:p>
            <w:pPr>
              <w:jc w:val="center"/>
              <w:ind w:left="601"/>
              <w:spacing w:after="0"/>
              <w:rPr>
                <w:sz w:val="20"/>
                <w:szCs w:val="20"/>
                <w:color w:val="auto"/>
              </w:rPr>
            </w:pPr>
            <w:r>
              <w:rPr>
                <w:rFonts w:ascii="Times New Roman" w:cs="Times New Roman" w:eastAsia="Times New Roman" w:hAnsi="Times New Roman"/>
                <w:sz w:val="16"/>
                <w:szCs w:val="16"/>
                <w:b w:val="1"/>
                <w:bCs w:val="1"/>
                <w:color w:val="auto"/>
                <w:w w:val="97"/>
              </w:rPr>
              <w:t>Economic</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0" w:type="dxa"/>
            <w:vAlign w:val="bottom"/>
          </w:tcPr>
          <w:p>
            <w:pPr>
              <w:spacing w:after="0"/>
              <w:rPr>
                <w:sz w:val="1"/>
                <w:szCs w:val="1"/>
                <w:color w:val="auto"/>
              </w:rPr>
            </w:pPr>
          </w:p>
        </w:tc>
      </w:tr>
      <w:tr>
        <w:trPr>
          <w:trHeight w:val="157"/>
        </w:trPr>
        <w:tc>
          <w:tcPr>
            <w:tcW w:w="1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6160" w:type="dxa"/>
            <w:vAlign w:val="bottom"/>
            <w:vMerge w:val="restart"/>
          </w:tcPr>
          <w:p>
            <w:pPr>
              <w:ind w:left="3300"/>
              <w:spacing w:after="0"/>
              <w:rPr>
                <w:sz w:val="20"/>
                <w:szCs w:val="20"/>
                <w:color w:val="auto"/>
              </w:rPr>
            </w:pPr>
            <w:r>
              <w:rPr>
                <w:rFonts w:ascii="Times New Roman" w:cs="Times New Roman" w:eastAsia="Times New Roman" w:hAnsi="Times New Roman"/>
                <w:sz w:val="16"/>
                <w:szCs w:val="16"/>
                <w:b w:val="1"/>
                <w:bCs w:val="1"/>
                <w:color w:val="auto"/>
              </w:rPr>
              <w:t>Partner</w:t>
            </w:r>
          </w:p>
        </w:tc>
        <w:tc>
          <w:tcPr>
            <w:tcW w:w="1780" w:type="dxa"/>
            <w:vAlign w:val="bottom"/>
            <w:vMerge w:val="continue"/>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Approximate</w:t>
            </w:r>
          </w:p>
        </w:tc>
        <w:tc>
          <w:tcPr>
            <w:tcW w:w="0" w:type="dxa"/>
            <w:vAlign w:val="bottom"/>
          </w:tcPr>
          <w:p>
            <w:pPr>
              <w:spacing w:after="0"/>
              <w:rPr>
                <w:sz w:val="1"/>
                <w:szCs w:val="1"/>
                <w:color w:val="auto"/>
              </w:rPr>
            </w:pPr>
          </w:p>
        </w:tc>
      </w:tr>
      <w:tr>
        <w:trPr>
          <w:trHeight w:val="210"/>
        </w:trPr>
        <w:tc>
          <w:tcPr>
            <w:tcW w:w="1980" w:type="dxa"/>
            <w:vAlign w:val="bottom"/>
            <w:tcBorders>
              <w:bottom w:val="single" w:sz="8" w:color="auto"/>
            </w:tcBorders>
            <w:gridSpan w:val="2"/>
            <w:vMerge w:val="continue"/>
          </w:tcPr>
          <w:p>
            <w:pPr>
              <w:spacing w:after="0"/>
              <w:rPr>
                <w:sz w:val="18"/>
                <w:szCs w:val="18"/>
                <w:color w:val="auto"/>
              </w:rPr>
            </w:pPr>
          </w:p>
        </w:tc>
        <w:tc>
          <w:tcPr>
            <w:tcW w:w="6160" w:type="dxa"/>
            <w:vAlign w:val="bottom"/>
            <w:tcBorders>
              <w:bottom w:val="single" w:sz="8" w:color="auto"/>
            </w:tcBorders>
            <w:vMerge w:val="continue"/>
          </w:tcPr>
          <w:p>
            <w:pPr>
              <w:spacing w:after="0"/>
              <w:rPr>
                <w:sz w:val="18"/>
                <w:szCs w:val="18"/>
                <w:color w:val="auto"/>
              </w:rPr>
            </w:pPr>
          </w:p>
        </w:tc>
        <w:tc>
          <w:tcPr>
            <w:tcW w:w="1780" w:type="dxa"/>
            <w:vAlign w:val="bottom"/>
            <w:tcBorders>
              <w:bottom w:val="single" w:sz="8" w:color="auto"/>
            </w:tcBorders>
          </w:tcPr>
          <w:p>
            <w:pPr>
              <w:jc w:val="center"/>
              <w:ind w:left="581"/>
              <w:spacing w:after="0" w:line="209" w:lineRule="exact"/>
              <w:rPr>
                <w:sz w:val="20"/>
                <w:szCs w:val="20"/>
                <w:color w:val="auto"/>
              </w:rPr>
            </w:pPr>
            <w:r>
              <w:rPr>
                <w:rFonts w:ascii="Times New Roman" w:cs="Times New Roman" w:eastAsia="Times New Roman" w:hAnsi="Times New Roman"/>
                <w:sz w:val="16"/>
                <w:szCs w:val="16"/>
                <w:b w:val="1"/>
                <w:bCs w:val="1"/>
                <w:color w:val="auto"/>
                <w:w w:val="93"/>
              </w:rPr>
              <w:t xml:space="preserve">Interest </w:t>
            </w:r>
            <w:r>
              <w:rPr>
                <w:rFonts w:ascii="Times New Roman" w:cs="Times New Roman" w:eastAsia="Times New Roman" w:hAnsi="Times New Roman"/>
                <w:sz w:val="20"/>
                <w:szCs w:val="20"/>
                <w:b w:val="1"/>
                <w:bCs w:val="1"/>
                <w:color w:val="auto"/>
                <w:w w:val="93"/>
                <w:vertAlign w:val="superscript"/>
              </w:rPr>
              <w:t>(1)</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Square Feet</w:t>
            </w:r>
          </w:p>
        </w:tc>
        <w:tc>
          <w:tcPr>
            <w:tcW w:w="0" w:type="dxa"/>
            <w:vAlign w:val="bottom"/>
          </w:tcPr>
          <w:p>
            <w:pPr>
              <w:spacing w:after="0"/>
              <w:rPr>
                <w:sz w:val="1"/>
                <w:szCs w:val="1"/>
                <w:color w:val="auto"/>
              </w:rPr>
            </w:pPr>
          </w:p>
        </w:tc>
      </w:tr>
      <w:tr>
        <w:trPr>
          <w:trHeight w:val="203"/>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800</w:t>
            </w:r>
          </w:p>
        </w:tc>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 Avenue</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Private Investors</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60.52%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526,000</w:t>
            </w:r>
          </w:p>
        </w:tc>
        <w:tc>
          <w:tcPr>
            <w:tcW w:w="0" w:type="dxa"/>
            <w:vAlign w:val="bottom"/>
          </w:tcPr>
          <w:p>
            <w:pPr>
              <w:spacing w:after="0"/>
              <w:rPr>
                <w:sz w:val="1"/>
                <w:szCs w:val="1"/>
                <w:color w:val="auto"/>
              </w:rPr>
            </w:pPr>
          </w:p>
        </w:tc>
      </w:tr>
      <w:tr>
        <w:trPr>
          <w:trHeight w:val="208"/>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919</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Third Avenue</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New York State Teacher's Retirement System</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51.00%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1,454,000</w:t>
            </w: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11 West 34th Street </w:t>
            </w:r>
            <w:r>
              <w:rPr>
                <w:rFonts w:ascii="Times New Roman" w:cs="Times New Roman" w:eastAsia="Times New Roman" w:hAnsi="Times New Roman"/>
                <w:sz w:val="20"/>
                <w:szCs w:val="20"/>
                <w:color w:val="auto"/>
                <w:vertAlign w:val="superscript"/>
              </w:rPr>
              <w:t>(2)</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Private Investor / Wharton Properties</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30.00%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17,150</w:t>
            </w:r>
          </w:p>
        </w:tc>
        <w:tc>
          <w:tcPr>
            <w:tcW w:w="0" w:type="dxa"/>
            <w:vAlign w:val="bottom"/>
          </w:tcPr>
          <w:p>
            <w:pPr>
              <w:spacing w:after="0"/>
              <w:rPr>
                <w:sz w:val="1"/>
                <w:szCs w:val="1"/>
                <w:color w:val="auto"/>
              </w:rPr>
            </w:pPr>
          </w:p>
        </w:tc>
      </w:tr>
      <w:tr>
        <w:trPr>
          <w:trHeight w:val="208"/>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280</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Park Avenue</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Vornado Realty Trust</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50.00%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1,219,158</w:t>
            </w: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1552-1560 Broadway </w:t>
            </w:r>
            <w:r>
              <w:rPr>
                <w:rFonts w:ascii="Times New Roman" w:cs="Times New Roman" w:eastAsia="Times New Roman" w:hAnsi="Times New Roman"/>
                <w:sz w:val="20"/>
                <w:szCs w:val="20"/>
                <w:color w:val="auto"/>
                <w:vertAlign w:val="superscript"/>
              </w:rPr>
              <w:t>(2) (3)</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Wharton Properties</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50.00%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57,718</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650</w:t>
            </w:r>
          </w:p>
        </w:tc>
        <w:tc>
          <w:tcPr>
            <w:tcW w:w="170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Fifth Avenue </w:t>
            </w:r>
            <w:r>
              <w:rPr>
                <w:rFonts w:ascii="Times New Roman" w:cs="Times New Roman" w:eastAsia="Times New Roman" w:hAnsi="Times New Roman"/>
                <w:sz w:val="20"/>
                <w:szCs w:val="20"/>
                <w:color w:val="auto"/>
                <w:vertAlign w:val="superscript"/>
              </w:rPr>
              <w:t>(2) (4)</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Wharton Properties</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50.00%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69,214</w:t>
            </w:r>
          </w:p>
        </w:tc>
        <w:tc>
          <w:tcPr>
            <w:tcW w:w="0" w:type="dxa"/>
            <w:vAlign w:val="bottom"/>
          </w:tcPr>
          <w:p>
            <w:pPr>
              <w:spacing w:after="0"/>
              <w:rPr>
                <w:sz w:val="1"/>
                <w:szCs w:val="1"/>
                <w:color w:val="auto"/>
              </w:rPr>
            </w:pPr>
          </w:p>
        </w:tc>
      </w:tr>
      <w:tr>
        <w:trPr>
          <w:trHeight w:val="210"/>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 Madison Avenue</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PGIM Real Estate</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60.00%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2,314,000</w:t>
            </w:r>
          </w:p>
        </w:tc>
        <w:tc>
          <w:tcPr>
            <w:tcW w:w="0" w:type="dxa"/>
            <w:vAlign w:val="bottom"/>
          </w:tcPr>
          <w:p>
            <w:pPr>
              <w:spacing w:after="0"/>
              <w:rPr>
                <w:sz w:val="1"/>
                <w:szCs w:val="1"/>
                <w:color w:val="auto"/>
              </w:rPr>
            </w:pPr>
          </w:p>
        </w:tc>
      </w:tr>
      <w:tr>
        <w:trPr>
          <w:trHeight w:val="210"/>
        </w:trPr>
        <w:tc>
          <w:tcPr>
            <w:tcW w:w="19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One Vanderbilt Avenue </w:t>
            </w:r>
            <w:r>
              <w:rPr>
                <w:rFonts w:ascii="Times New Roman" w:cs="Times New Roman" w:eastAsia="Times New Roman" w:hAnsi="Times New Roman"/>
                <w:sz w:val="20"/>
                <w:szCs w:val="20"/>
                <w:color w:val="auto"/>
                <w:vertAlign w:val="superscript"/>
              </w:rPr>
              <w:t>(5)</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National Pension Service of Korea / Hines Interest LP / Mori Building Co., Ltd</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60.01%</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1,657,198</w:t>
            </w:r>
          </w:p>
        </w:tc>
        <w:tc>
          <w:tcPr>
            <w:tcW w:w="0" w:type="dxa"/>
            <w:vAlign w:val="bottom"/>
          </w:tcPr>
          <w:p>
            <w:pPr>
              <w:spacing w:after="0"/>
              <w:rPr>
                <w:sz w:val="1"/>
                <w:szCs w:val="1"/>
                <w:color w:val="auto"/>
              </w:rPr>
            </w:pPr>
          </w:p>
        </w:tc>
      </w:tr>
      <w:tr>
        <w:trPr>
          <w:trHeight w:val="210"/>
        </w:trPr>
        <w:tc>
          <w:tcPr>
            <w:tcW w:w="198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Worldwide Plaza </w:t>
            </w:r>
            <w:r>
              <w:rPr>
                <w:rFonts w:ascii="Times New Roman" w:cs="Times New Roman" w:eastAsia="Times New Roman" w:hAnsi="Times New Roman"/>
                <w:sz w:val="20"/>
                <w:szCs w:val="20"/>
                <w:color w:val="auto"/>
                <w:vertAlign w:val="superscript"/>
              </w:rPr>
              <w:t>(2) (6)</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RXR Realty / New York REIT</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24.95%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2,048,725</w:t>
            </w:r>
          </w:p>
        </w:tc>
        <w:tc>
          <w:tcPr>
            <w:tcW w:w="0" w:type="dxa"/>
            <w:vAlign w:val="bottom"/>
          </w:tcPr>
          <w:p>
            <w:pPr>
              <w:spacing w:after="0"/>
              <w:rPr>
                <w:sz w:val="1"/>
                <w:szCs w:val="1"/>
                <w:color w:val="auto"/>
              </w:rPr>
            </w:pPr>
          </w:p>
        </w:tc>
      </w:tr>
      <w:tr>
        <w:trPr>
          <w:trHeight w:val="208"/>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1515 Broadway</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Allianz Real Estate of America</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56.87%</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1,750,000</w:t>
            </w:r>
          </w:p>
        </w:tc>
        <w:tc>
          <w:tcPr>
            <w:tcW w:w="0" w:type="dxa"/>
            <w:vAlign w:val="bottom"/>
          </w:tcPr>
          <w:p>
            <w:pPr>
              <w:spacing w:after="0"/>
              <w:rPr>
                <w:sz w:val="1"/>
                <w:szCs w:val="1"/>
                <w:color w:val="auto"/>
              </w:rPr>
            </w:pPr>
          </w:p>
        </w:tc>
      </w:tr>
      <w:tr>
        <w:trPr>
          <w:trHeight w:val="212"/>
        </w:trPr>
        <w:tc>
          <w:tcPr>
            <w:tcW w:w="1980" w:type="dxa"/>
            <w:vAlign w:val="bottom"/>
            <w:gridSpan w:val="2"/>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2 Herald Square </w:t>
            </w:r>
            <w:r>
              <w:rPr>
                <w:rFonts w:ascii="Times New Roman" w:cs="Times New Roman" w:eastAsia="Times New Roman" w:hAnsi="Times New Roman"/>
                <w:sz w:val="20"/>
                <w:szCs w:val="20"/>
                <w:color w:val="auto"/>
                <w:vertAlign w:val="superscript"/>
              </w:rPr>
              <w:t>(2) (7) (8)</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Israeli Institutional Investor</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95.00%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369,000</w:t>
            </w:r>
          </w:p>
        </w:tc>
        <w:tc>
          <w:tcPr>
            <w:tcW w:w="0" w:type="dxa"/>
            <w:vAlign w:val="bottom"/>
          </w:tcPr>
          <w:p>
            <w:pPr>
              <w:spacing w:after="0"/>
              <w:rPr>
                <w:sz w:val="1"/>
                <w:szCs w:val="1"/>
                <w:color w:val="auto"/>
              </w:rPr>
            </w:pPr>
          </w:p>
        </w:tc>
      </w:tr>
      <w:tr>
        <w:trPr>
          <w:trHeight w:val="210"/>
        </w:trPr>
        <w:tc>
          <w:tcPr>
            <w:tcW w:w="19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115 Spring Street </w:t>
            </w:r>
            <w:r>
              <w:rPr>
                <w:rFonts w:ascii="Times New Roman" w:cs="Times New Roman" w:eastAsia="Times New Roman" w:hAnsi="Times New Roman"/>
                <w:sz w:val="20"/>
                <w:szCs w:val="20"/>
                <w:color w:val="auto"/>
                <w:vertAlign w:val="superscript"/>
              </w:rPr>
              <w:t>(2) (9)</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Private Investor</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51.00%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0" w:type="dxa"/>
            <w:vAlign w:val="bottom"/>
          </w:tcPr>
          <w:p>
            <w:pPr>
              <w:spacing w:after="0"/>
              <w:rPr>
                <w:sz w:val="1"/>
                <w:szCs w:val="1"/>
                <w:color w:val="auto"/>
              </w:rPr>
            </w:pPr>
          </w:p>
        </w:tc>
      </w:tr>
      <w:tr>
        <w:trPr>
          <w:trHeight w:val="210"/>
        </w:trPr>
        <w:tc>
          <w:tcPr>
            <w:tcW w:w="198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15 Beekman </w:t>
            </w:r>
            <w:r>
              <w:rPr>
                <w:rFonts w:ascii="Times New Roman" w:cs="Times New Roman" w:eastAsia="Times New Roman" w:hAnsi="Times New Roman"/>
                <w:sz w:val="20"/>
                <w:szCs w:val="20"/>
                <w:color w:val="auto"/>
                <w:vertAlign w:val="superscript"/>
              </w:rPr>
              <w:t>(10)</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 fund managed by Meritz Alternative Investment Management</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20.00%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221,884</w:t>
            </w:r>
          </w:p>
        </w:tc>
        <w:tc>
          <w:tcPr>
            <w:tcW w:w="0" w:type="dxa"/>
            <w:vAlign w:val="bottom"/>
          </w:tcPr>
          <w:p>
            <w:pPr>
              <w:spacing w:after="0"/>
              <w:rPr>
                <w:sz w:val="1"/>
                <w:szCs w:val="1"/>
                <w:color w:val="auto"/>
              </w:rPr>
            </w:pPr>
          </w:p>
        </w:tc>
      </w:tr>
      <w:tr>
        <w:trPr>
          <w:trHeight w:val="210"/>
        </w:trPr>
        <w:tc>
          <w:tcPr>
            <w:tcW w:w="198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85 Fifth Avenue </w:t>
            </w:r>
            <w:r>
              <w:rPr>
                <w:rFonts w:ascii="Times New Roman" w:cs="Times New Roman" w:eastAsia="Times New Roman" w:hAnsi="Times New Roman"/>
                <w:sz w:val="20"/>
                <w:szCs w:val="20"/>
                <w:color w:val="auto"/>
                <w:vertAlign w:val="superscript"/>
              </w:rPr>
              <w:t>(11)</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Wells Fargo</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36.27%</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12,946</w:t>
            </w:r>
          </w:p>
        </w:tc>
        <w:tc>
          <w:tcPr>
            <w:tcW w:w="0" w:type="dxa"/>
            <w:vAlign w:val="bottom"/>
          </w:tcPr>
          <w:p>
            <w:pPr>
              <w:spacing w:after="0"/>
              <w:rPr>
                <w:sz w:val="1"/>
                <w:szCs w:val="1"/>
                <w:color w:val="auto"/>
              </w:rPr>
            </w:pPr>
          </w:p>
        </w:tc>
      </w:tr>
      <w:tr>
        <w:trPr>
          <w:trHeight w:val="210"/>
        </w:trPr>
        <w:tc>
          <w:tcPr>
            <w:tcW w:w="1980" w:type="dxa"/>
            <w:vAlign w:val="bottom"/>
            <w:gridSpan w:val="2"/>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One Madison Avenue </w:t>
            </w:r>
            <w:r>
              <w:rPr>
                <w:rFonts w:ascii="Times New Roman" w:cs="Times New Roman" w:eastAsia="Times New Roman" w:hAnsi="Times New Roman"/>
                <w:sz w:val="20"/>
                <w:szCs w:val="20"/>
                <w:color w:val="auto"/>
                <w:vertAlign w:val="superscript"/>
              </w:rPr>
              <w:t>(12)</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National Pension Service of Korea / Hines Interest LP / International Investor</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25.50%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1,048,700</w:t>
            </w:r>
          </w:p>
        </w:tc>
        <w:tc>
          <w:tcPr>
            <w:tcW w:w="0" w:type="dxa"/>
            <w:vAlign w:val="bottom"/>
          </w:tcPr>
          <w:p>
            <w:pPr>
              <w:spacing w:after="0"/>
              <w:rPr>
                <w:sz w:val="1"/>
                <w:szCs w:val="1"/>
                <w:color w:val="auto"/>
              </w:rPr>
            </w:pPr>
          </w:p>
        </w:tc>
      </w:tr>
      <w:tr>
        <w:trPr>
          <w:trHeight w:val="208"/>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220</w:t>
            </w:r>
          </w:p>
        </w:tc>
        <w:tc>
          <w:tcPr>
            <w:tcW w:w="1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East 42nd Street</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 fund managed by Meritz Alternative Investment Management</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51.00%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1,135,000</w:t>
            </w:r>
          </w:p>
        </w:tc>
        <w:tc>
          <w:tcPr>
            <w:tcW w:w="0" w:type="dxa"/>
            <w:vAlign w:val="bottom"/>
          </w:tcPr>
          <w:p>
            <w:pPr>
              <w:spacing w:after="0"/>
              <w:rPr>
                <w:sz w:val="1"/>
                <w:szCs w:val="1"/>
                <w:color w:val="auto"/>
              </w:rPr>
            </w:pP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450</w:t>
            </w:r>
          </w:p>
        </w:tc>
        <w:tc>
          <w:tcPr>
            <w:tcW w:w="170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Park Avenue </w:t>
            </w:r>
            <w:r>
              <w:rPr>
                <w:rFonts w:ascii="Times New Roman" w:cs="Times New Roman" w:eastAsia="Times New Roman" w:hAnsi="Times New Roman"/>
                <w:sz w:val="20"/>
                <w:szCs w:val="20"/>
                <w:color w:val="auto"/>
                <w:vertAlign w:val="superscript"/>
              </w:rPr>
              <w:t>(13)</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Korean Institutional Investor / Israeli Institutional Investor</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25.10%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337,000</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245</w:t>
            </w:r>
          </w:p>
        </w:tc>
        <w:tc>
          <w:tcPr>
            <w:tcW w:w="170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Park Avenue </w:t>
            </w:r>
            <w:r>
              <w:rPr>
                <w:rFonts w:ascii="Times New Roman" w:cs="Times New Roman" w:eastAsia="Times New Roman" w:hAnsi="Times New Roman"/>
                <w:sz w:val="20"/>
                <w:szCs w:val="20"/>
                <w:color w:val="auto"/>
                <w:vertAlign w:val="superscript"/>
              </w:rPr>
              <w:t>(14)</w:t>
            </w:r>
          </w:p>
        </w:tc>
        <w:tc>
          <w:tcPr>
            <w:tcW w:w="6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U.S. Affiliate of Mori Trust Co., Ltd</w:t>
            </w:r>
          </w:p>
        </w:tc>
        <w:tc>
          <w:tcPr>
            <w:tcW w:w="17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rPr>
              <w:t>50.10%</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1,782,793</w:t>
            </w:r>
          </w:p>
        </w:tc>
        <w:tc>
          <w:tcPr>
            <w:tcW w:w="0" w:type="dxa"/>
            <w:vAlign w:val="bottom"/>
          </w:tcPr>
          <w:p>
            <w:pPr>
              <w:spacing w:after="0"/>
              <w:rPr>
                <w:sz w:val="1"/>
                <w:szCs w:val="1"/>
                <w:color w:val="auto"/>
              </w:rPr>
            </w:pPr>
          </w:p>
        </w:tc>
      </w:tr>
      <w:tr>
        <w:trPr>
          <w:trHeight w:val="210"/>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625</w:t>
            </w:r>
          </w:p>
        </w:tc>
        <w:tc>
          <w:tcPr>
            <w:tcW w:w="1700" w:type="dxa"/>
            <w:vAlign w:val="bottom"/>
            <w:shd w:val="clear" w:color="auto" w:fill="CCEEFF"/>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Madison Avenue </w:t>
            </w:r>
            <w:r>
              <w:rPr>
                <w:rFonts w:ascii="Times New Roman" w:cs="Times New Roman" w:eastAsia="Times New Roman" w:hAnsi="Times New Roman"/>
                <w:sz w:val="20"/>
                <w:szCs w:val="20"/>
                <w:color w:val="auto"/>
                <w:vertAlign w:val="superscript"/>
              </w:rPr>
              <w:t>(15)</w:t>
            </w:r>
          </w:p>
        </w:tc>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Private Investor</w:t>
            </w:r>
          </w:p>
        </w:tc>
        <w:tc>
          <w:tcPr>
            <w:tcW w:w="1780" w:type="dxa"/>
            <w:vAlign w:val="bottom"/>
            <w:shd w:val="clear" w:color="auto" w:fill="CCEEFF"/>
          </w:tcPr>
          <w:p>
            <w:pPr>
              <w:jc w:val="center"/>
              <w:ind w:left="601"/>
              <w:spacing w:after="0"/>
              <w:rPr>
                <w:sz w:val="20"/>
                <w:szCs w:val="20"/>
                <w:color w:val="auto"/>
              </w:rPr>
            </w:pPr>
            <w:r>
              <w:rPr>
                <w:rFonts w:ascii="Times New Roman" w:cs="Times New Roman" w:eastAsia="Times New Roman" w:hAnsi="Times New Roman"/>
                <w:sz w:val="16"/>
                <w:szCs w:val="16"/>
                <w:color w:val="auto"/>
              </w:rPr>
              <w:t>90.93%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563,000</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interest represent the Company's interests in the joint venture as of December 31, 2024. Changes in economic interests within the current year are disclosed in the notes below.</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Company's alternative strategy portfolio.</w:t>
      </w:r>
    </w:p>
    <w:p>
      <w:pPr>
        <w:spacing w:after="0" w:line="5" w:lineRule="exact"/>
        <w:rPr>
          <w:rFonts w:ascii="Times New Roman" w:cs="Times New Roman" w:eastAsia="Times New Roman" w:hAnsi="Times New Roman"/>
          <w:sz w:val="14"/>
          <w:szCs w:val="14"/>
          <w:color w:val="auto"/>
        </w:rPr>
      </w:pPr>
    </w:p>
    <w:p>
      <w:pPr>
        <w:jc w:val="both"/>
        <w:ind w:left="400" w:hanging="395"/>
        <w:spacing w:after="0" w:line="254" w:lineRule="auto"/>
        <w:tabs>
          <w:tab w:leader="none" w:pos="39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joint venture owns a long-term leasehold interest in the retail space and certain other spaces at 1560 Broadway, which is adjacent to 1552 Broadway. In December 2023, following an assessment of the investment for recoverability, the Company recorded a charge of $8.1 million, which is included in Depreciable real estate reserves and impairments in the consolidated statements of operations.</w:t>
      </w:r>
    </w:p>
    <w:p>
      <w:pPr>
        <w:ind w:left="400" w:hanging="395"/>
        <w:spacing w:after="0"/>
        <w:tabs>
          <w:tab w:leader="none" w:pos="4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joint venture owns a long-term leasehold interest in the retail space at 650 Fifth Avenue.</w:t>
      </w:r>
    </w:p>
    <w:p>
      <w:pPr>
        <w:ind w:left="400" w:hanging="395"/>
        <w:spacing w:after="0" w:line="251" w:lineRule="auto"/>
        <w:tabs>
          <w:tab w:leader="none" w:pos="39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November 2024, the Company sold an additional 11% interest in the joint venture. The Company retained a 60.01% ownership interest in the investment and recognized a $187.6 million gain in Equity in net gain (loss) on sale of interest in unconsolidated joint venture/real estate.</w:t>
      </w:r>
    </w:p>
    <w:p>
      <w:pPr>
        <w:ind w:left="400" w:hanging="395"/>
        <w:spacing w:after="0" w:line="254" w:lineRule="auto"/>
        <w:tabs>
          <w:tab w:leader="none" w:pos="39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following an assessment of the investment for recoverability, the Company recorded a charge of $72.6 million, which is included in Equity in net loss from unconsolidated joint ventures in the consolidated statements of operations.</w:t>
      </w:r>
    </w:p>
    <w:p>
      <w:pPr>
        <w:jc w:val="both"/>
        <w:ind w:left="400" w:hanging="395"/>
        <w:spacing w:after="0" w:line="249" w:lineRule="auto"/>
        <w:tabs>
          <w:tab w:leader="none" w:pos="39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2023, following an assessment of the property and the investment for recoverability, the Company recorded a charge of $101.7 million, which is included in Depreciable real estate reserves and impairments in the consolidated statements of operations. In January 2024, the Company closed on the acquisition of interests in the joint venture that owns the leasehold interest for no consideration, which increases the Company's interest in the joint venture to 95.0%. In addition, in February 2024, the joint venture settled the previously existing $182.5 million mortgage on the property for a net payment of $7.0 million.</w:t>
      </w:r>
    </w:p>
    <w:p>
      <w:pPr>
        <w:ind w:left="400" w:hanging="395"/>
        <w:spacing w:after="0" w:line="268" w:lineRule="auto"/>
        <w:tabs>
          <w:tab w:leader="none" w:pos="39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following an assessment of the investment for recoverability, the Company recorded a charge of $20.4 million, which is included in Equity in net loss from unconsolidated joint ventures in the consolidated statements of operations.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69" w:lineRule="exact"/>
        <w:rPr>
          <w:sz w:val="20"/>
          <w:szCs w:val="20"/>
          <w:color w:val="auto"/>
        </w:rPr>
      </w:pPr>
    </w:p>
    <w:p>
      <w:pPr>
        <w:ind w:left="400" w:hanging="395"/>
        <w:spacing w:after="0" w:line="263" w:lineRule="auto"/>
        <w:tabs>
          <w:tab w:leader="none" w:pos="39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following an assessment of the property for recoverability, the Company recognized a charge of $11.7 million, which is included in Equity in net loss from unconsolidated joint ventures in the consolidated statements of operations.</w:t>
      </w:r>
    </w:p>
    <w:p>
      <w:pPr>
        <w:ind w:left="400" w:hanging="395"/>
        <w:spacing w:after="0"/>
        <w:tabs>
          <w:tab w:leader="none" w:pos="4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2020, the Company formed a joint venture, which then entered into a long-term sublease with the Company.</w:t>
      </w:r>
    </w:p>
    <w:p>
      <w:pPr>
        <w:ind w:left="400" w:hanging="395"/>
        <w:spacing w:after="0" w:line="244" w:lineRule="auto"/>
        <w:tabs>
          <w:tab w:leader="none" w:pos="391"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2024, following an assessment of the property and investment for recoverability, the Company recorded a charge of $12.0 million, which is included in Equity in net loss from unconsolidated joint ventures in the consolidated statements of operations.</w:t>
      </w:r>
    </w:p>
    <w:p>
      <w:pPr>
        <w:jc w:val="both"/>
        <w:ind w:left="400" w:hanging="395"/>
        <w:spacing w:after="0" w:line="239" w:lineRule="auto"/>
        <w:tabs>
          <w:tab w:leader="none" w:pos="397"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2021, the Company admitted an additional partner to the development project with the partner's indirect ownership in the joint venture totaling 25.0%. The transaction did not meet sale accounting under ASC 860 and, as a result, was treated as a secured borrowing for accounting purposes and is included in Other liabilities in our consolidated balance sheets at December 31, 2024 and 2023.</w:t>
      </w:r>
    </w:p>
    <w:p>
      <w:pPr>
        <w:jc w:val="both"/>
        <w:ind w:left="400" w:hanging="395"/>
        <w:spacing w:after="0" w:line="241" w:lineRule="auto"/>
        <w:tabs>
          <w:tab w:leader="none" w:pos="397"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25.1% economic interest reflected in this table excludes a 25.0% economic interest held by a third party. The third-party's economic interest is held in a joint venture that we consolidate as a 50.1% ownership interest. The third-party's 25.0% economic interest is recognized in Noncontrolling interests in other partnerships on our consolidated balance sheet. A separate third-party owns the remaining 49.9% economic interest in the property.</w:t>
      </w:r>
    </w:p>
    <w:p>
      <w:pPr>
        <w:jc w:val="both"/>
        <w:ind w:left="400" w:hanging="395"/>
        <w:spacing w:after="0" w:line="236" w:lineRule="auto"/>
        <w:tabs>
          <w:tab w:leader="none" w:pos="397"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2023, the Company sold a 49.9% interest, which resulted in the Company no longer retaining a controlling interest in the entity, as defined in ASC 810, and deconsolidation of the 50.1% interest we retained. We recorded our investment at fair value which resulted in the recognition of a fair value adjustment of ($17.0 million) during the year ended December 31, 2023. The fair value of our investment was determined by the terms of the joint venture agreement.</w:t>
      </w:r>
    </w:p>
    <w:p>
      <w:pPr>
        <w:spacing w:after="0" w:line="1" w:lineRule="exact"/>
        <w:rPr>
          <w:rFonts w:ascii="Times New Roman" w:cs="Times New Roman" w:eastAsia="Times New Roman" w:hAnsi="Times New Roman"/>
          <w:sz w:val="14"/>
          <w:szCs w:val="14"/>
          <w:color w:val="auto"/>
        </w:rPr>
      </w:pPr>
    </w:p>
    <w:p>
      <w:pPr>
        <w:jc w:val="both"/>
        <w:ind w:left="400" w:hanging="395"/>
        <w:spacing w:after="0" w:line="256" w:lineRule="auto"/>
        <w:tabs>
          <w:tab w:leader="none" w:pos="397"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2023, following a UCC foreclosure, the Company converted its previous mezzanine debt investments in the fee interest to a 90.43% ownership interest. See Note 5, "Debt and Preferred Equity Investments." In December 2023, together with its joint venture partner, the Company entered into a contract to sell the fee ownership in the property. In connection with this contract, the Company recorded a charge of $23.1 million, which is included in Depreciable real estate reserves and impairments in the consolidated statements of operations. In connection with the sale, which closed in May 2024, the Company, together with its joint venture partner, originated a $235.4 million preferred equity investment in the property with a mandatory redemption date of December 2026. The Company's share, net of unamortized discounts, is $214.7 million with an aggregate weighted average current yield of 8.86% as of December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Disposition of Joint Venture Interests or Properties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investments in unconsolidated joint ventures sold during the years ended December 31, 2024, 2023, and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Ownership Interest</w:t>
            </w: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Gross Asset Valuation</w:t>
            </w:r>
          </w:p>
        </w:tc>
        <w:tc>
          <w:tcPr>
            <w:tcW w:w="180" w:type="dxa"/>
            <w:vAlign w:val="bottom"/>
          </w:tcPr>
          <w:p>
            <w:pPr>
              <w:spacing w:after="0"/>
              <w:rPr>
                <w:sz w:val="16"/>
                <w:szCs w:val="16"/>
                <w:color w:val="auto"/>
              </w:rPr>
            </w:pPr>
          </w:p>
        </w:tc>
        <w:tc>
          <w:tcPr>
            <w:tcW w:w="144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7"/>
              </w:rPr>
              <w:t>Gain (Loss)</w:t>
            </w:r>
          </w:p>
        </w:tc>
        <w:tc>
          <w:tcPr>
            <w:tcW w:w="0" w:type="dxa"/>
            <w:vAlign w:val="bottom"/>
          </w:tcPr>
          <w:p>
            <w:pPr>
              <w:spacing w:after="0"/>
              <w:rPr>
                <w:sz w:val="1"/>
                <w:szCs w:val="1"/>
                <w:color w:val="auto"/>
              </w:rPr>
            </w:pPr>
          </w:p>
        </w:tc>
      </w:tr>
      <w:tr>
        <w:trPr>
          <w:trHeight w:val="157"/>
        </w:trPr>
        <w:tc>
          <w:tcPr>
            <w:tcW w:w="280" w:type="dxa"/>
            <w:vAlign w:val="bottom"/>
          </w:tcPr>
          <w:p>
            <w:pPr>
              <w:spacing w:after="0"/>
              <w:rPr>
                <w:sz w:val="13"/>
                <w:szCs w:val="13"/>
                <w:color w:val="auto"/>
              </w:rPr>
            </w:pPr>
          </w:p>
        </w:tc>
        <w:tc>
          <w:tcPr>
            <w:tcW w:w="402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600" w:type="dxa"/>
            <w:vAlign w:val="bottom"/>
            <w:gridSpan w:val="2"/>
            <w:vMerge w:val="continue"/>
          </w:tcPr>
          <w:p>
            <w:pPr>
              <w:spacing w:after="0"/>
              <w:rPr>
                <w:sz w:val="13"/>
                <w:szCs w:val="13"/>
                <w:color w:val="auto"/>
              </w:rPr>
            </w:pPr>
          </w:p>
        </w:tc>
        <w:tc>
          <w:tcPr>
            <w:tcW w:w="1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Disposition Date</w:t>
            </w:r>
          </w:p>
        </w:tc>
        <w:tc>
          <w:tcPr>
            <w:tcW w:w="17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jc w:val="center"/>
              <w:ind w:right="101"/>
              <w:spacing w:after="0" w:line="158" w:lineRule="exact"/>
              <w:rPr>
                <w:sz w:val="20"/>
                <w:szCs w:val="20"/>
                <w:color w:val="auto"/>
              </w:rPr>
            </w:pPr>
            <w:r>
              <w:rPr>
                <w:rFonts w:ascii="Times New Roman" w:cs="Times New Roman" w:eastAsia="Times New Roman" w:hAnsi="Times New Roman"/>
                <w:sz w:val="16"/>
                <w:szCs w:val="16"/>
                <w:b w:val="1"/>
                <w:bCs w:val="1"/>
                <w:color w:val="auto"/>
              </w:rPr>
              <w:t>on Sale</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4020" w:type="dxa"/>
            <w:vAlign w:val="bottom"/>
            <w:gridSpan w:val="2"/>
            <w:vMerge w:val="continue"/>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Sold</w:t>
            </w:r>
          </w:p>
        </w:tc>
        <w:tc>
          <w:tcPr>
            <w:tcW w:w="1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7"/>
              </w:rPr>
              <w:t>(in millions)</w:t>
            </w:r>
          </w:p>
        </w:tc>
        <w:tc>
          <w:tcPr>
            <w:tcW w:w="180" w:type="dxa"/>
            <w:vAlign w:val="bottom"/>
          </w:tcPr>
          <w:p>
            <w:pPr>
              <w:spacing w:after="0"/>
              <w:rPr>
                <w:sz w:val="18"/>
                <w:szCs w:val="18"/>
                <w:color w:val="auto"/>
              </w:rPr>
            </w:pPr>
          </w:p>
        </w:tc>
        <w:tc>
          <w:tcPr>
            <w:tcW w:w="1440" w:type="dxa"/>
            <w:vAlign w:val="bottom"/>
          </w:tcPr>
          <w:p>
            <w:pPr>
              <w:jc w:val="center"/>
              <w:ind w:right="101"/>
              <w:spacing w:after="0" w:line="209" w:lineRule="exact"/>
              <w:rPr>
                <w:sz w:val="20"/>
                <w:szCs w:val="20"/>
                <w:color w:val="auto"/>
              </w:rPr>
            </w:pPr>
            <w:r>
              <w:rPr>
                <w:rFonts w:ascii="Times New Roman" w:cs="Times New Roman" w:eastAsia="Times New Roman" w:hAnsi="Times New Roman"/>
                <w:sz w:val="16"/>
                <w:szCs w:val="16"/>
                <w:b w:val="1"/>
                <w:bCs w:val="1"/>
                <w:color w:val="auto"/>
                <w:w w:val="91"/>
              </w:rPr>
              <w:t xml:space="preserve">(in millions) </w:t>
            </w:r>
            <w:r>
              <w:rPr>
                <w:rFonts w:ascii="Times New Roman" w:cs="Times New Roman" w:eastAsia="Times New Roman" w:hAnsi="Times New Roman"/>
                <w:sz w:val="20"/>
                <w:szCs w:val="20"/>
                <w:b w:val="1"/>
                <w:bCs w:val="1"/>
                <w:color w:val="auto"/>
                <w:w w:val="91"/>
                <w:vertAlign w:val="superscript"/>
              </w:rPr>
              <w:t>(1) (2)</w:t>
            </w:r>
          </w:p>
        </w:tc>
        <w:tc>
          <w:tcPr>
            <w:tcW w:w="0" w:type="dxa"/>
            <w:vAlign w:val="bottom"/>
          </w:tcPr>
          <w:p>
            <w:pPr>
              <w:spacing w:after="0"/>
              <w:rPr>
                <w:sz w:val="1"/>
                <w:szCs w:val="1"/>
                <w:color w:val="auto"/>
              </w:rPr>
            </w:pPr>
          </w:p>
        </w:tc>
      </w:tr>
      <w:tr>
        <w:trPr>
          <w:trHeight w:val="203"/>
        </w:trPr>
        <w:tc>
          <w:tcPr>
            <w:tcW w:w="4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One Vanderbilt Avenue</w:t>
            </w:r>
          </w:p>
        </w:tc>
        <w:tc>
          <w:tcPr>
            <w:tcW w:w="1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11.00%</w:t>
            </w:r>
          </w:p>
        </w:tc>
        <w:tc>
          <w:tcPr>
            <w:tcW w:w="1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November 2024</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4,700.0</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187.6</w:t>
            </w:r>
          </w:p>
        </w:tc>
        <w:tc>
          <w:tcPr>
            <w:tcW w:w="0" w:type="dxa"/>
            <w:vAlign w:val="bottom"/>
          </w:tcPr>
          <w:p>
            <w:pPr>
              <w:spacing w:after="0"/>
              <w:rPr>
                <w:sz w:val="1"/>
                <w:szCs w:val="1"/>
                <w:color w:val="auto"/>
              </w:rPr>
            </w:pPr>
          </w:p>
        </w:tc>
      </w:tr>
      <w:tr>
        <w:trPr>
          <w:trHeight w:val="210"/>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625</w:t>
            </w:r>
          </w:p>
        </w:tc>
        <w:tc>
          <w:tcPr>
            <w:tcW w:w="4020" w:type="dxa"/>
            <w:vAlign w:val="bottom"/>
            <w:gridSpan w:val="2"/>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Madison Avenue </w:t>
            </w:r>
            <w:r>
              <w:rPr>
                <w:rFonts w:ascii="Times New Roman" w:cs="Times New Roman" w:eastAsia="Times New Roman" w:hAnsi="Times New Roman"/>
                <w:sz w:val="20"/>
                <w:szCs w:val="20"/>
                <w:color w:val="auto"/>
                <w:vertAlign w:val="superscript"/>
              </w:rPr>
              <w:t>(3)</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90.43%</w:t>
            </w:r>
          </w:p>
        </w:tc>
        <w:tc>
          <w:tcPr>
            <w:tcW w:w="16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May 2024</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0"/>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717</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Fifth Avenue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10.92%</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January 2024</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08"/>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21 East 66th Street</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32.28%</w:t>
            </w:r>
          </w:p>
        </w:tc>
        <w:tc>
          <w:tcPr>
            <w:tcW w:w="16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8"/>
              </w:rPr>
              <w:t>December 2023</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2"/>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121</w:t>
            </w:r>
          </w:p>
        </w:tc>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Greene Street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50.00%</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8"/>
              </w:rPr>
              <w:t>February 2023</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6"/>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Stonehenge Portfolio</w:t>
            </w: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4"/>
              </w:rPr>
              <w:t>Various</w:t>
            </w: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April 2022</w:t>
            </w: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400" w:hanging="395"/>
        <w:spacing w:after="0"/>
        <w:tabs>
          <w:tab w:leader="none" w:pos="4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Company's share of the gain or loss</w:t>
      </w:r>
    </w:p>
    <w:p>
      <w:pPr>
        <w:spacing w:after="0" w:line="21" w:lineRule="exact"/>
        <w:rPr>
          <w:rFonts w:ascii="Times New Roman" w:cs="Times New Roman" w:eastAsia="Times New Roman" w:hAnsi="Times New Roman"/>
          <w:sz w:val="14"/>
          <w:szCs w:val="14"/>
          <w:color w:val="auto"/>
        </w:rPr>
      </w:pPr>
    </w:p>
    <w:p>
      <w:pPr>
        <w:jc w:val="both"/>
        <w:ind w:left="400" w:hanging="395"/>
        <w:spacing w:after="0" w:line="247" w:lineRule="auto"/>
        <w:tabs>
          <w:tab w:leader="none" w:pos="39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2024 and December 31, 2023, the (losses) gains on sale are net of $16.8 million and $2.0 million, respectively, of employee compensation accrued in connection with the realization of the investment dispositions. There was no amount accrued for employee compensation in the year ended December 31, 2022. Additionally, amounts do not include adjustments for expenses recorded in subsequent periods.</w:t>
      </w:r>
    </w:p>
    <w:p>
      <w:pPr>
        <w:spacing w:after="0" w:line="1" w:lineRule="exact"/>
        <w:rPr>
          <w:rFonts w:ascii="Times New Roman" w:cs="Times New Roman" w:eastAsia="Times New Roman" w:hAnsi="Times New Roman"/>
          <w:sz w:val="14"/>
          <w:szCs w:val="14"/>
          <w:color w:val="auto"/>
        </w:rPr>
      </w:pPr>
    </w:p>
    <w:p>
      <w:pPr>
        <w:jc w:val="both"/>
        <w:ind w:left="400" w:hanging="395"/>
        <w:spacing w:after="0" w:line="258" w:lineRule="auto"/>
        <w:tabs>
          <w:tab w:leader="none" w:pos="392"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sale of the fee ownership interest, the Company, together with its joint venture partner, originated a $235.4 million preferred equity investment in the property with a mandatory redemption date of December 2026. The Company's share, net of unamortized discounts, is $214.7 million with an aggregate weighted average current yield of 8.86% as of December 31, 2024. Prior to the completion of the sale, the Company recorded a charge of $5.9 million for capital contributions required during the three months ended March 31, 2024 while the investment was under contract, which is included in Depreciable real estate reserves and impairments in the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Joint Venture Mortgages and Other Loans Payable</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We generally finance our joint ventures with non-recourse debt. In certain cases we may provide guarantees or master leases, which terminate upon the satisfaction of specified circumstances or repayment of the underlying loans. The mortgage notes and other loans payable collateralized by the respective joint venture properties and assignment of leases as of December 31, 2024 and 2023, respectively, are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260" w:type="dxa"/>
            <w:vAlign w:val="bottom"/>
          </w:tcPr>
          <w:p>
            <w:pPr>
              <w:spacing w:after="0"/>
              <w:rPr>
                <w:sz w:val="16"/>
                <w:szCs w:val="16"/>
                <w:color w:val="auto"/>
              </w:rPr>
            </w:pPr>
          </w:p>
        </w:tc>
        <w:tc>
          <w:tcPr>
            <w:tcW w:w="2000" w:type="dxa"/>
            <w:vAlign w:val="bottom"/>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Economic</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Current Maturity</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Final Maturity</w:t>
            </w:r>
          </w:p>
        </w:tc>
        <w:tc>
          <w:tcPr>
            <w:tcW w:w="340" w:type="dxa"/>
            <w:vAlign w:val="bottom"/>
          </w:tcPr>
          <w:p>
            <w:pPr>
              <w:spacing w:after="0"/>
              <w:rPr>
                <w:sz w:val="17"/>
                <w:szCs w:val="17"/>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60" w:type="dxa"/>
            <w:vAlign w:val="bottom"/>
          </w:tcPr>
          <w:p>
            <w:pPr>
              <w:spacing w:after="0"/>
              <w:rPr>
                <w:sz w:val="17"/>
                <w:szCs w:val="17"/>
                <w:color w:val="auto"/>
              </w:rPr>
            </w:pPr>
          </w:p>
        </w:tc>
        <w:tc>
          <w:tcPr>
            <w:tcW w:w="21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7"/>
                <w:szCs w:val="17"/>
                <w:color w:val="auto"/>
              </w:rPr>
            </w:pPr>
          </w:p>
        </w:tc>
        <w:tc>
          <w:tcPr>
            <w:tcW w:w="200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1780" w:type="dxa"/>
            <w:vAlign w:val="bottom"/>
            <w:gridSpan w:val="3"/>
          </w:tcPr>
          <w:p>
            <w:pPr>
              <w:spacing w:after="0"/>
              <w:rPr>
                <w:sz w:val="2"/>
                <w:szCs w:val="2"/>
                <w:color w:val="auto"/>
              </w:rPr>
            </w:pPr>
          </w:p>
        </w:tc>
        <w:tc>
          <w:tcPr>
            <w:tcW w:w="13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xml:space="preserve">Interest </w:t>
            </w:r>
            <w:r>
              <w:rPr>
                <w:rFonts w:ascii="Times New Roman" w:cs="Times New Roman" w:eastAsia="Times New Roman" w:hAnsi="Times New Roman"/>
                <w:sz w:val="18"/>
                <w:szCs w:val="18"/>
                <w:b w:val="1"/>
                <w:bCs w:val="1"/>
                <w:color w:val="auto"/>
                <w:vertAlign w:val="superscript"/>
              </w:rPr>
              <w:t>(1)</w:t>
            </w:r>
          </w:p>
        </w:tc>
        <w:tc>
          <w:tcPr>
            <w:tcW w:w="1320" w:type="dxa"/>
            <w:vAlign w:val="bottom"/>
          </w:tcPr>
          <w:p>
            <w:pPr>
              <w:spacing w:after="0"/>
              <w:rPr>
                <w:sz w:val="2"/>
                <w:szCs w:val="2"/>
                <w:color w:val="auto"/>
              </w:rPr>
            </w:pPr>
          </w:p>
        </w:tc>
        <w:tc>
          <w:tcPr>
            <w:tcW w:w="1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 xml:space="preserve">Date </w:t>
            </w:r>
            <w:r>
              <w:rPr>
                <w:rFonts w:ascii="Times New Roman" w:cs="Times New Roman" w:eastAsia="Times New Roman" w:hAnsi="Times New Roman"/>
                <w:sz w:val="18"/>
                <w:szCs w:val="18"/>
                <w:b w:val="1"/>
                <w:bCs w:val="1"/>
                <w:color w:val="auto"/>
                <w:vertAlign w:val="superscript"/>
              </w:rPr>
              <w:t>(2)</w:t>
            </w:r>
          </w:p>
        </w:tc>
        <w:tc>
          <w:tcPr>
            <w:tcW w:w="340" w:type="dxa"/>
            <w:vAlign w:val="bottom"/>
          </w:tcPr>
          <w:p>
            <w:pPr>
              <w:spacing w:after="0"/>
              <w:rPr>
                <w:sz w:val="2"/>
                <w:szCs w:val="2"/>
                <w:color w:val="auto"/>
              </w:rPr>
            </w:pP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(3)</w:t>
            </w: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320" w:type="dxa"/>
            <w:vAlign w:val="bottom"/>
            <w:gridSpan w:val="3"/>
            <w:vMerge w:val="continue"/>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SLG Share</w:t>
            </w:r>
          </w:p>
        </w:tc>
        <w:tc>
          <w:tcPr>
            <w:tcW w:w="26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24"/>
                <w:szCs w:val="24"/>
                <w:color w:val="auto"/>
              </w:rPr>
            </w:pP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99"/>
              </w:rPr>
              <w:t>SLG Share</w:t>
            </w:r>
          </w:p>
        </w:tc>
        <w:tc>
          <w:tcPr>
            <w:tcW w:w="0" w:type="dxa"/>
            <w:vAlign w:val="bottom"/>
          </w:tcPr>
          <w:p>
            <w:pPr>
              <w:spacing w:after="0"/>
              <w:rPr>
                <w:sz w:val="1"/>
                <w:szCs w:val="1"/>
                <w:color w:val="auto"/>
              </w:rPr>
            </w:pPr>
          </w:p>
        </w:tc>
      </w:tr>
      <w:tr>
        <w:trPr>
          <w:trHeight w:val="190"/>
        </w:trPr>
        <w:tc>
          <w:tcPr>
            <w:tcW w:w="16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 Debt:</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650</w:t>
            </w:r>
          </w:p>
        </w:tc>
        <w:tc>
          <w:tcPr>
            <w:tcW w:w="154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Fifth Avenue </w:t>
            </w:r>
            <w:r>
              <w:rPr>
                <w:rFonts w:ascii="Times New Roman" w:cs="Times New Roman" w:eastAsia="Times New Roman" w:hAnsi="Times New Roman"/>
                <w:sz w:val="18"/>
                <w:szCs w:val="18"/>
                <w:color w:val="auto"/>
                <w:vertAlign w:val="superscript"/>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130"/>
              <w:spacing w:after="0" w:line="197" w:lineRule="exact"/>
              <w:rPr>
                <w:sz w:val="20"/>
                <w:szCs w:val="20"/>
                <w:color w:val="auto"/>
              </w:rPr>
            </w:pPr>
            <w:r>
              <w:rPr>
                <w:rFonts w:ascii="Times New Roman" w:cs="Times New Roman" w:eastAsia="Times New Roman" w:hAnsi="Times New Roman"/>
                <w:sz w:val="14"/>
                <w:szCs w:val="14"/>
                <w:color w:val="auto"/>
              </w:rPr>
              <w:t xml:space="preserve">February 2025 </w:t>
            </w:r>
            <w:r>
              <w:rPr>
                <w:rFonts w:ascii="Times New Roman" w:cs="Times New Roman" w:eastAsia="Times New Roman" w:hAnsi="Times New Roman"/>
                <w:sz w:val="18"/>
                <w:szCs w:val="18"/>
                <w:color w:val="auto"/>
                <w:vertAlign w:val="superscript"/>
              </w:rPr>
              <w:t>(5)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July 2025</w:t>
            </w:r>
          </w:p>
        </w:tc>
        <w:tc>
          <w:tcPr>
            <w:tcW w:w="340" w:type="dxa"/>
            <w:vAlign w:val="bottom"/>
          </w:tcPr>
          <w:p>
            <w:pPr>
              <w:spacing w:after="0"/>
              <w:rPr>
                <w:sz w:val="17"/>
                <w:szCs w:val="17"/>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7"/>
                <w:szCs w:val="17"/>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65,000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32,500</w:t>
            </w:r>
          </w:p>
        </w:tc>
        <w:tc>
          <w:tcPr>
            <w:tcW w:w="100" w:type="dxa"/>
            <w:vAlign w:val="bottom"/>
          </w:tcPr>
          <w:p>
            <w:pPr>
              <w:spacing w:after="0"/>
              <w:rPr>
                <w:sz w:val="17"/>
                <w:szCs w:val="17"/>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32,500</w:t>
            </w:r>
          </w:p>
        </w:tc>
        <w:tc>
          <w:tcPr>
            <w:tcW w:w="0" w:type="dxa"/>
            <w:vAlign w:val="bottom"/>
          </w:tcPr>
          <w:p>
            <w:pPr>
              <w:spacing w:after="0"/>
              <w:rPr>
                <w:sz w:val="1"/>
                <w:szCs w:val="1"/>
                <w:color w:val="auto"/>
              </w:rPr>
            </w:pPr>
          </w:p>
        </w:tc>
      </w:tr>
      <w:tr>
        <w:trPr>
          <w:trHeight w:val="197"/>
        </w:trPr>
        <w:tc>
          <w:tcPr>
            <w:tcW w:w="1780" w:type="dxa"/>
            <w:vAlign w:val="bottom"/>
            <w:gridSpan w:val="3"/>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115 Spring Street </w:t>
            </w:r>
            <w:r>
              <w:rPr>
                <w:rFonts w:ascii="Times New Roman" w:cs="Times New Roman" w:eastAsia="Times New Roman" w:hAnsi="Times New Roman"/>
                <w:sz w:val="18"/>
                <w:szCs w:val="18"/>
                <w:color w:val="auto"/>
                <w:vertAlign w:val="superscript"/>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March 2025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March 2025</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65,550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33,431</w:t>
            </w:r>
          </w:p>
        </w:tc>
        <w:tc>
          <w:tcPr>
            <w:tcW w:w="0" w:type="dxa"/>
            <w:vAlign w:val="bottom"/>
          </w:tcPr>
          <w:p>
            <w:pPr>
              <w:spacing w:after="0"/>
              <w:rPr>
                <w:sz w:val="1"/>
                <w:szCs w:val="1"/>
                <w:color w:val="auto"/>
              </w:rPr>
            </w:pPr>
          </w:p>
        </w:tc>
      </w:tr>
      <w:tr>
        <w:trPr>
          <w:trHeight w:val="191"/>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450</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June 2025</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June 2027</w:t>
            </w:r>
          </w:p>
        </w:tc>
        <w:tc>
          <w:tcPr>
            <w:tcW w:w="34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284,835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71,494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68,120</w:t>
            </w:r>
          </w:p>
        </w:tc>
        <w:tc>
          <w:tcPr>
            <w:tcW w:w="0" w:type="dxa"/>
            <w:vAlign w:val="bottom"/>
          </w:tcPr>
          <w:p>
            <w:pPr>
              <w:spacing w:after="0"/>
              <w:rPr>
                <w:sz w:val="1"/>
                <w:szCs w:val="1"/>
                <w:color w:val="auto"/>
              </w:rPr>
            </w:pPr>
          </w:p>
        </w:tc>
      </w:tr>
      <w:tr>
        <w:trPr>
          <w:trHeight w:val="203"/>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11 Madison Avenue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September 2025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September 2025</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840,000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840,000</w:t>
            </w:r>
          </w:p>
        </w:tc>
        <w:tc>
          <w:tcPr>
            <w:tcW w:w="0" w:type="dxa"/>
            <w:vAlign w:val="bottom"/>
          </w:tcPr>
          <w:p>
            <w:pPr>
              <w:spacing w:after="0"/>
              <w:rPr>
                <w:sz w:val="1"/>
                <w:szCs w:val="1"/>
                <w:color w:val="auto"/>
              </w:rPr>
            </w:pPr>
          </w:p>
        </w:tc>
      </w:tr>
      <w:tr>
        <w:trPr>
          <w:trHeight w:val="191"/>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15 Beekman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January 2026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January 2028</w:t>
            </w:r>
          </w:p>
        </w:tc>
        <w:tc>
          <w:tcPr>
            <w:tcW w:w="34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800</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Avenue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60.52 %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February 2026</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February 2026</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177,000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107,120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107,120</w:t>
            </w:r>
          </w:p>
        </w:tc>
        <w:tc>
          <w:tcPr>
            <w:tcW w:w="0" w:type="dxa"/>
            <w:vAlign w:val="bottom"/>
          </w:tcPr>
          <w:p>
            <w:pPr>
              <w:spacing w:after="0"/>
              <w:rPr>
                <w:sz w:val="1"/>
                <w:szCs w:val="1"/>
                <w:color w:val="auto"/>
              </w:rPr>
            </w:pPr>
          </w:p>
        </w:tc>
      </w:tr>
      <w:tr>
        <w:trPr>
          <w:trHeight w:val="191"/>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1515 Broadway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56.87 %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March 2026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March 2028</w:t>
            </w:r>
          </w:p>
        </w:tc>
        <w:tc>
          <w:tcPr>
            <w:tcW w:w="34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740,947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421,369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762,002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433,344</w:t>
            </w: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919</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Avenue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April 2026</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April 2028</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255,000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255,000</w:t>
            </w:r>
          </w:p>
        </w:tc>
        <w:tc>
          <w:tcPr>
            <w:tcW w:w="0" w:type="dxa"/>
            <w:vAlign w:val="bottom"/>
          </w:tcPr>
          <w:p>
            <w:pPr>
              <w:spacing w:after="0"/>
              <w:rPr>
                <w:sz w:val="1"/>
                <w:szCs w:val="1"/>
                <w:color w:val="auto"/>
              </w:rPr>
            </w:pPr>
          </w:p>
        </w:tc>
      </w:tr>
      <w:tr>
        <w:trPr>
          <w:trHeight w:val="191"/>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280 Park Avenue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September 2026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September 2028</w:t>
            </w:r>
          </w:p>
        </w:tc>
        <w:tc>
          <w:tcPr>
            <w:tcW w:w="34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1,075,000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537,500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245</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June 2027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June 2027</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1,768,000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885,768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1,768,000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885,768</w:t>
            </w:r>
          </w:p>
        </w:tc>
        <w:tc>
          <w:tcPr>
            <w:tcW w:w="0" w:type="dxa"/>
            <w:vAlign w:val="bottom"/>
          </w:tcPr>
          <w:p>
            <w:pPr>
              <w:spacing w:after="0"/>
              <w:rPr>
                <w:sz w:val="1"/>
                <w:szCs w:val="1"/>
                <w:color w:val="auto"/>
              </w:rPr>
            </w:pPr>
          </w:p>
        </w:tc>
      </w:tr>
      <w:tr>
        <w:trPr>
          <w:trHeight w:val="197"/>
        </w:trPr>
        <w:tc>
          <w:tcPr>
            <w:tcW w:w="178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One Madison Avenue </w:t>
            </w:r>
            <w:r>
              <w:rPr>
                <w:rFonts w:ascii="Times New Roman" w:cs="Times New Roman" w:eastAsia="Times New Roman" w:hAnsi="Times New Roman"/>
                <w:sz w:val="18"/>
                <w:szCs w:val="18"/>
                <w:color w:val="auto"/>
                <w:vertAlign w:val="superscript"/>
              </w:rPr>
              <w:t>(6)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November 2027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November 2027</w:t>
            </w:r>
          </w:p>
        </w:tc>
        <w:tc>
          <w:tcPr>
            <w:tcW w:w="340" w:type="dxa"/>
            <w:vAlign w:val="bottom"/>
          </w:tcPr>
          <w:p>
            <w:pPr>
              <w:spacing w:after="0"/>
              <w:rPr>
                <w:sz w:val="17"/>
                <w:szCs w:val="17"/>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658,357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167,881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733,103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186,941</w:t>
            </w:r>
          </w:p>
        </w:tc>
        <w:tc>
          <w:tcPr>
            <w:tcW w:w="0" w:type="dxa"/>
            <w:vAlign w:val="bottom"/>
          </w:tcPr>
          <w:p>
            <w:pPr>
              <w:spacing w:after="0"/>
              <w:rPr>
                <w:sz w:val="1"/>
                <w:szCs w:val="1"/>
                <w:color w:val="auto"/>
              </w:rPr>
            </w:pPr>
          </w:p>
        </w:tc>
      </w:tr>
      <w:tr>
        <w:trPr>
          <w:trHeight w:val="197"/>
        </w:trPr>
        <w:tc>
          <w:tcPr>
            <w:tcW w:w="1780" w:type="dxa"/>
            <w:vAlign w:val="bottom"/>
            <w:gridSpan w:val="3"/>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Worldwide Plaza </w:t>
            </w:r>
            <w:r>
              <w:rPr>
                <w:rFonts w:ascii="Times New Roman" w:cs="Times New Roman" w:eastAsia="Times New Roman" w:hAnsi="Times New Roman"/>
                <w:sz w:val="18"/>
                <w:szCs w:val="18"/>
                <w:color w:val="auto"/>
                <w:vertAlign w:val="superscript"/>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November 2027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November 2027</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299,400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299,400</w:t>
            </w:r>
          </w:p>
        </w:tc>
        <w:tc>
          <w:tcPr>
            <w:tcW w:w="0" w:type="dxa"/>
            <w:vAlign w:val="bottom"/>
          </w:tcPr>
          <w:p>
            <w:pPr>
              <w:spacing w:after="0"/>
              <w:rPr>
                <w:sz w:val="1"/>
                <w:szCs w:val="1"/>
                <w:color w:val="auto"/>
              </w:rPr>
            </w:pPr>
          </w:p>
        </w:tc>
      </w:tr>
      <w:tr>
        <w:trPr>
          <w:trHeight w:val="191"/>
        </w:trPr>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5"/>
              </w:rPr>
              <w:t>220</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East 42nd Street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December 2027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December 2027</w:t>
            </w:r>
          </w:p>
        </w:tc>
        <w:tc>
          <w:tcPr>
            <w:tcW w:w="34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496,412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253,170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257,760</w:t>
            </w:r>
          </w:p>
        </w:tc>
        <w:tc>
          <w:tcPr>
            <w:tcW w:w="0" w:type="dxa"/>
            <w:vAlign w:val="bottom"/>
          </w:tcPr>
          <w:p>
            <w:pPr>
              <w:spacing w:after="0"/>
              <w:rPr>
                <w:sz w:val="1"/>
                <w:szCs w:val="1"/>
                <w:color w:val="auto"/>
              </w:rPr>
            </w:pPr>
          </w:p>
        </w:tc>
      </w:tr>
      <w:tr>
        <w:trPr>
          <w:trHeight w:val="203"/>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One Vanderbilt Avenue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60.01 %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July 2031</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July 2031</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1,800,300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2,130,300</w:t>
            </w:r>
          </w:p>
        </w:tc>
        <w:tc>
          <w:tcPr>
            <w:tcW w:w="0" w:type="dxa"/>
            <w:vAlign w:val="bottom"/>
          </w:tcPr>
          <w:p>
            <w:pPr>
              <w:spacing w:after="0"/>
              <w:rPr>
                <w:sz w:val="1"/>
                <w:szCs w:val="1"/>
                <w:color w:val="auto"/>
              </w:rPr>
            </w:pPr>
          </w:p>
        </w:tc>
      </w:tr>
      <w:tr>
        <w:trPr>
          <w:trHeight w:val="197"/>
        </w:trPr>
        <w:tc>
          <w:tcPr>
            <w:tcW w:w="178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5 Times Square </w:t>
            </w:r>
            <w:r>
              <w:rPr>
                <w:rFonts w:ascii="Times New Roman" w:cs="Times New Roman" w:eastAsia="Times New Roman" w:hAnsi="Times New Roman"/>
                <w:sz w:val="18"/>
                <w:szCs w:val="18"/>
                <w:color w:val="auto"/>
                <w:vertAlign w:val="superscript"/>
              </w:rPr>
              <w:t>(7)</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477,783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150,740</w:t>
            </w:r>
          </w:p>
        </w:tc>
        <w:tc>
          <w:tcPr>
            <w:tcW w:w="0" w:type="dxa"/>
            <w:vAlign w:val="bottom"/>
          </w:tcPr>
          <w:p>
            <w:pPr>
              <w:spacing w:after="0"/>
              <w:rPr>
                <w:sz w:val="1"/>
                <w:szCs w:val="1"/>
                <w:color w:val="auto"/>
              </w:rPr>
            </w:pPr>
          </w:p>
        </w:tc>
      </w:tr>
      <w:tr>
        <w:trPr>
          <w:trHeight w:val="197"/>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625</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Madison Avenue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180,848</w:t>
            </w:r>
          </w:p>
        </w:tc>
        <w:tc>
          <w:tcPr>
            <w:tcW w:w="0" w:type="dxa"/>
            <w:vAlign w:val="bottom"/>
          </w:tcPr>
          <w:p>
            <w:pPr>
              <w:spacing w:after="0"/>
              <w:rPr>
                <w:sz w:val="1"/>
                <w:szCs w:val="1"/>
                <w:color w:val="auto"/>
              </w:rPr>
            </w:pPr>
          </w:p>
        </w:tc>
      </w:tr>
      <w:tr>
        <w:trPr>
          <w:trHeight w:val="191"/>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10 East 53rd Street</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121,000</w:t>
            </w:r>
          </w:p>
        </w:tc>
        <w:tc>
          <w:tcPr>
            <w:tcW w:w="0" w:type="dxa"/>
            <w:vAlign w:val="bottom"/>
          </w:tcPr>
          <w:p>
            <w:pPr>
              <w:spacing w:after="0"/>
              <w:rPr>
                <w:sz w:val="1"/>
                <w:szCs w:val="1"/>
                <w:color w:val="auto"/>
              </w:rPr>
            </w:pPr>
          </w:p>
        </w:tc>
      </w:tr>
      <w:tr>
        <w:trPr>
          <w:trHeight w:val="203"/>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717</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Fifth Avenue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655,328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71,536</w:t>
            </w:r>
          </w:p>
        </w:tc>
        <w:tc>
          <w:tcPr>
            <w:tcW w:w="0" w:type="dxa"/>
            <w:vAlign w:val="bottom"/>
          </w:tcPr>
          <w:p>
            <w:pPr>
              <w:spacing w:after="0"/>
              <w:rPr>
                <w:sz w:val="1"/>
                <w:szCs w:val="1"/>
                <w:color w:val="auto"/>
              </w:rPr>
            </w:pPr>
          </w:p>
        </w:tc>
      </w:tr>
      <w:tr>
        <w:trPr>
          <w:trHeight w:val="184"/>
        </w:trPr>
        <w:tc>
          <w:tcPr>
            <w:tcW w:w="17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Total fixed rate debt</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11,551,101</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5,728,933</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12,000,559</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6,053,808</w:t>
            </w:r>
          </w:p>
        </w:tc>
        <w:tc>
          <w:tcPr>
            <w:tcW w:w="0" w:type="dxa"/>
            <w:vAlign w:val="bottom"/>
          </w:tcPr>
          <w:p>
            <w:pPr>
              <w:spacing w:after="0"/>
              <w:rPr>
                <w:sz w:val="1"/>
                <w:szCs w:val="1"/>
                <w:color w:val="auto"/>
              </w:rPr>
            </w:pPr>
          </w:p>
        </w:tc>
      </w:tr>
      <w:tr>
        <w:trPr>
          <w:trHeight w:val="216"/>
        </w:trPr>
        <w:tc>
          <w:tcPr>
            <w:tcW w:w="1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Floating Rate Debt:</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8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 xml:space="preserve">11 West 34th Street </w:t>
            </w:r>
            <w:r>
              <w:rPr>
                <w:rFonts w:ascii="Times New Roman" w:cs="Times New Roman" w:eastAsia="Times New Roman" w:hAnsi="Times New Roman"/>
                <w:sz w:val="18"/>
                <w:szCs w:val="18"/>
                <w:color w:val="auto"/>
                <w:vertAlign w:val="superscript"/>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line="203" w:lineRule="exact"/>
              <w:rPr>
                <w:sz w:val="20"/>
                <w:szCs w:val="20"/>
                <w:color w:val="auto"/>
              </w:rPr>
            </w:pPr>
            <w:r>
              <w:rPr>
                <w:rFonts w:ascii="Times New Roman" w:cs="Times New Roman" w:eastAsia="Times New Roman" w:hAnsi="Times New Roman"/>
                <w:sz w:val="14"/>
                <w:szCs w:val="14"/>
                <w:color w:val="auto"/>
              </w:rPr>
              <w:t xml:space="preserve">February 2023 </w:t>
            </w:r>
            <w:r>
              <w:rPr>
                <w:rFonts w:ascii="Times New Roman" w:cs="Times New Roman" w:eastAsia="Times New Roman" w:hAnsi="Times New Roman"/>
                <w:sz w:val="18"/>
                <w:szCs w:val="18"/>
                <w:color w:val="auto"/>
                <w:vertAlign w:val="superscript"/>
              </w:rPr>
              <w:t>(8)</w:t>
            </w:r>
          </w:p>
        </w:tc>
        <w:tc>
          <w:tcPr>
            <w:tcW w:w="12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4"/>
                <w:szCs w:val="14"/>
                <w:color w:val="auto"/>
              </w:rPr>
              <w:t xml:space="preserve">February 2023 </w:t>
            </w:r>
            <w:r>
              <w:rPr>
                <w:rFonts w:ascii="Times New Roman" w:cs="Times New Roman" w:eastAsia="Times New Roman" w:hAnsi="Times New Roman"/>
                <w:sz w:val="18"/>
                <w:szCs w:val="18"/>
                <w:color w:val="auto"/>
                <w:vertAlign w:val="superscript"/>
              </w:rPr>
              <w:t>(8)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L+</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6,900</w:t>
            </w:r>
          </w:p>
        </w:tc>
        <w:tc>
          <w:tcPr>
            <w:tcW w:w="0" w:type="dxa"/>
            <w:vAlign w:val="bottom"/>
          </w:tcPr>
          <w:p>
            <w:pPr>
              <w:spacing w:after="0"/>
              <w:rPr>
                <w:sz w:val="1"/>
                <w:szCs w:val="1"/>
                <w:color w:val="auto"/>
              </w:rPr>
            </w:pPr>
          </w:p>
        </w:tc>
      </w:tr>
      <w:tr>
        <w:trPr>
          <w:trHeight w:val="197"/>
        </w:trPr>
        <w:tc>
          <w:tcPr>
            <w:tcW w:w="178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1552 Broadway </w:t>
            </w:r>
            <w:r>
              <w:rPr>
                <w:rFonts w:ascii="Times New Roman" w:cs="Times New Roman" w:eastAsia="Times New Roman" w:hAnsi="Times New Roman"/>
                <w:sz w:val="18"/>
                <w:szCs w:val="18"/>
                <w:color w:val="auto"/>
                <w:vertAlign w:val="superscript"/>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130"/>
              <w:spacing w:after="0" w:line="197" w:lineRule="exact"/>
              <w:rPr>
                <w:sz w:val="20"/>
                <w:szCs w:val="20"/>
                <w:color w:val="auto"/>
              </w:rPr>
            </w:pPr>
            <w:r>
              <w:rPr>
                <w:rFonts w:ascii="Times New Roman" w:cs="Times New Roman" w:eastAsia="Times New Roman" w:hAnsi="Times New Roman"/>
                <w:sz w:val="14"/>
                <w:szCs w:val="14"/>
                <w:color w:val="auto"/>
              </w:rPr>
              <w:t xml:space="preserve">February 2024 </w:t>
            </w:r>
            <w:r>
              <w:rPr>
                <w:rFonts w:ascii="Times New Roman" w:cs="Times New Roman" w:eastAsia="Times New Roman" w:hAnsi="Times New Roman"/>
                <w:sz w:val="18"/>
                <w:szCs w:val="18"/>
                <w:color w:val="auto"/>
                <w:vertAlign w:val="superscript"/>
              </w:rPr>
              <w:t>(9)</w:t>
            </w:r>
          </w:p>
        </w:tc>
        <w:tc>
          <w:tcPr>
            <w:tcW w:w="1260" w:type="dxa"/>
            <w:vAlign w:val="bottom"/>
            <w:gridSpan w:val="2"/>
          </w:tcPr>
          <w:p>
            <w:pPr>
              <w:jc w:val="right"/>
              <w:ind w:right="100"/>
              <w:spacing w:after="0" w:line="197" w:lineRule="exact"/>
              <w:rPr>
                <w:sz w:val="20"/>
                <w:szCs w:val="20"/>
                <w:color w:val="auto"/>
              </w:rPr>
            </w:pPr>
            <w:r>
              <w:rPr>
                <w:rFonts w:ascii="Times New Roman" w:cs="Times New Roman" w:eastAsia="Times New Roman" w:hAnsi="Times New Roman"/>
                <w:sz w:val="14"/>
                <w:szCs w:val="14"/>
                <w:color w:val="auto"/>
              </w:rPr>
              <w:t xml:space="preserve">February 2024 </w:t>
            </w:r>
            <w:r>
              <w:rPr>
                <w:rFonts w:ascii="Times New Roman" w:cs="Times New Roman" w:eastAsia="Times New Roman" w:hAnsi="Times New Roman"/>
                <w:sz w:val="18"/>
                <w:szCs w:val="18"/>
                <w:color w:val="auto"/>
                <w:vertAlign w:val="superscript"/>
              </w:rPr>
              <w:t>(9)</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193,132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96,566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96,567</w:t>
            </w:r>
          </w:p>
        </w:tc>
        <w:tc>
          <w:tcPr>
            <w:tcW w:w="0" w:type="dxa"/>
            <w:vAlign w:val="bottom"/>
          </w:tcPr>
          <w:p>
            <w:pPr>
              <w:spacing w:after="0"/>
              <w:rPr>
                <w:sz w:val="1"/>
                <w:szCs w:val="1"/>
                <w:color w:val="auto"/>
              </w:rPr>
            </w:pPr>
          </w:p>
        </w:tc>
      </w:tr>
      <w:tr>
        <w:trPr>
          <w:trHeight w:val="197"/>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650</w:t>
            </w:r>
          </w:p>
        </w:tc>
        <w:tc>
          <w:tcPr>
            <w:tcW w:w="1540" w:type="dxa"/>
            <w:vAlign w:val="bottom"/>
            <w:gridSpan w:val="2"/>
            <w:shd w:val="clear" w:color="auto" w:fill="CCEEFF"/>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Fifth Avenue </w:t>
            </w:r>
            <w:r>
              <w:rPr>
                <w:rFonts w:ascii="Times New Roman" w:cs="Times New Roman" w:eastAsia="Times New Roman" w:hAnsi="Times New Roman"/>
                <w:sz w:val="18"/>
                <w:szCs w:val="18"/>
                <w:color w:val="auto"/>
                <w:vertAlign w:val="superscript"/>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50.00 %</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30"/>
              <w:spacing w:after="0" w:line="197" w:lineRule="exact"/>
              <w:rPr>
                <w:sz w:val="20"/>
                <w:szCs w:val="20"/>
                <w:color w:val="auto"/>
              </w:rPr>
            </w:pPr>
            <w:r>
              <w:rPr>
                <w:rFonts w:ascii="Times New Roman" w:cs="Times New Roman" w:eastAsia="Times New Roman" w:hAnsi="Times New Roman"/>
                <w:sz w:val="14"/>
                <w:szCs w:val="14"/>
                <w:color w:val="auto"/>
              </w:rPr>
              <w:t xml:space="preserve">February 2025 </w:t>
            </w:r>
            <w:r>
              <w:rPr>
                <w:rFonts w:ascii="Times New Roman" w:cs="Times New Roman" w:eastAsia="Times New Roman" w:hAnsi="Times New Roman"/>
                <w:sz w:val="18"/>
                <w:szCs w:val="18"/>
                <w:color w:val="auto"/>
                <w:vertAlign w:val="superscript"/>
              </w:rPr>
              <w:t>(5)</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July 2025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0" w:type="dxa"/>
            <w:vAlign w:val="bottom"/>
          </w:tcPr>
          <w:p>
            <w:pPr>
              <w:spacing w:after="0"/>
              <w:rPr>
                <w:sz w:val="1"/>
                <w:szCs w:val="1"/>
                <w:color w:val="auto"/>
              </w:rPr>
            </w:pPr>
          </w:p>
        </w:tc>
      </w:tr>
      <w:tr>
        <w:trPr>
          <w:trHeight w:val="197"/>
        </w:trPr>
        <w:tc>
          <w:tcPr>
            <w:tcW w:w="178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One Madison Avenue </w:t>
            </w:r>
            <w:r>
              <w:rPr>
                <w:rFonts w:ascii="Times New Roman" w:cs="Times New Roman" w:eastAsia="Times New Roman" w:hAnsi="Times New Roman"/>
                <w:sz w:val="18"/>
                <w:szCs w:val="18"/>
                <w:color w:val="auto"/>
                <w:vertAlign w:val="superscript"/>
              </w:rPr>
              <w:t>(6)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November 2027</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November 2027</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w:t>
            </w: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354,757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90,463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100</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179,640</w:t>
            </w:r>
          </w:p>
        </w:tc>
        <w:tc>
          <w:tcPr>
            <w:tcW w:w="0" w:type="dxa"/>
            <w:vAlign w:val="bottom"/>
          </w:tcPr>
          <w:p>
            <w:pPr>
              <w:spacing w:after="0"/>
              <w:rPr>
                <w:sz w:val="1"/>
                <w:szCs w:val="1"/>
                <w:color w:val="auto"/>
              </w:rPr>
            </w:pPr>
          </w:p>
        </w:tc>
      </w:tr>
      <w:tr>
        <w:trPr>
          <w:trHeight w:val="197"/>
        </w:trPr>
        <w:tc>
          <w:tcPr>
            <w:tcW w:w="1780" w:type="dxa"/>
            <w:vAlign w:val="bottom"/>
            <w:gridSpan w:val="3"/>
          </w:tcPr>
          <w:p>
            <w:pPr>
              <w:ind w:left="20"/>
              <w:spacing w:after="0" w:line="197" w:lineRule="exact"/>
              <w:rPr>
                <w:sz w:val="20"/>
                <w:szCs w:val="20"/>
                <w:color w:val="auto"/>
              </w:rPr>
            </w:pPr>
            <w:r>
              <w:rPr>
                <w:rFonts w:ascii="Times New Roman" w:cs="Times New Roman" w:eastAsia="Times New Roman" w:hAnsi="Times New Roman"/>
                <w:sz w:val="14"/>
                <w:szCs w:val="14"/>
                <w:color w:val="auto"/>
              </w:rPr>
              <w:t xml:space="preserve">5 Times Square </w:t>
            </w:r>
            <w:r>
              <w:rPr>
                <w:rFonts w:ascii="Times New Roman" w:cs="Times New Roman" w:eastAsia="Times New Roman" w:hAnsi="Times New Roman"/>
                <w:sz w:val="18"/>
                <w:szCs w:val="18"/>
                <w:color w:val="auto"/>
                <w:vertAlign w:val="superscript"/>
              </w:rPr>
              <w:t>(7)</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610,010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192,458</w:t>
            </w:r>
          </w:p>
        </w:tc>
        <w:tc>
          <w:tcPr>
            <w:tcW w:w="0" w:type="dxa"/>
            <w:vAlign w:val="bottom"/>
          </w:tcPr>
          <w:p>
            <w:pPr>
              <w:spacing w:after="0"/>
              <w:rPr>
                <w:sz w:val="1"/>
                <w:szCs w:val="1"/>
                <w:color w:val="auto"/>
              </w:rPr>
            </w:pPr>
          </w:p>
        </w:tc>
      </w:tr>
      <w:tr>
        <w:trPr>
          <w:trHeight w:val="197"/>
        </w:trPr>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280</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Park Avenue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0" w:type="dxa"/>
            <w:vAlign w:val="bottom"/>
          </w:tcPr>
          <w:p>
            <w:pPr>
              <w:spacing w:after="0"/>
              <w:rPr>
                <w:sz w:val="1"/>
                <w:szCs w:val="1"/>
                <w:color w:val="auto"/>
              </w:rPr>
            </w:pPr>
          </w:p>
        </w:tc>
      </w:tr>
      <w:tr>
        <w:trPr>
          <w:trHeight w:val="191"/>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2 Herald Square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93,075</w:t>
            </w:r>
          </w:p>
        </w:tc>
        <w:tc>
          <w:tcPr>
            <w:tcW w:w="0" w:type="dxa"/>
            <w:vAlign w:val="bottom"/>
          </w:tcPr>
          <w:p>
            <w:pPr>
              <w:spacing w:after="0"/>
              <w:rPr>
                <w:sz w:val="1"/>
                <w:szCs w:val="1"/>
                <w:color w:val="auto"/>
              </w:rPr>
            </w:pPr>
          </w:p>
        </w:tc>
      </w:tr>
      <w:tr>
        <w:trPr>
          <w:trHeight w:val="203"/>
        </w:trPr>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15 Beekman</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124,137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24,827</w:t>
            </w:r>
          </w:p>
        </w:tc>
        <w:tc>
          <w:tcPr>
            <w:tcW w:w="0" w:type="dxa"/>
            <w:vAlign w:val="bottom"/>
          </w:tcPr>
          <w:p>
            <w:pPr>
              <w:spacing w:after="0"/>
              <w:rPr>
                <w:sz w:val="1"/>
                <w:szCs w:val="1"/>
                <w:color w:val="auto"/>
              </w:rPr>
            </w:pPr>
          </w:p>
        </w:tc>
      </w:tr>
      <w:tr>
        <w:trPr>
          <w:trHeight w:val="184"/>
        </w:trPr>
        <w:tc>
          <w:tcPr>
            <w:tcW w:w="17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Total floating rate debt</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780,889</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298,929</w:t>
            </w:r>
          </w:p>
        </w:tc>
        <w:tc>
          <w:tcPr>
            <w:tcW w:w="100" w:type="dxa"/>
            <w:vAlign w:val="bottom"/>
          </w:tcPr>
          <w:p>
            <w:pPr>
              <w:spacing w:after="0"/>
              <w:rPr>
                <w:sz w:val="15"/>
                <w:szCs w:val="15"/>
                <w:color w:val="auto"/>
              </w:rPr>
            </w:pPr>
          </w:p>
        </w:tc>
        <w:tc>
          <w:tcPr>
            <w:tcW w:w="2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2,902,780</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1,298,467</w:t>
            </w:r>
          </w:p>
        </w:tc>
        <w:tc>
          <w:tcPr>
            <w:tcW w:w="0" w:type="dxa"/>
            <w:vAlign w:val="bottom"/>
          </w:tcPr>
          <w:p>
            <w:pPr>
              <w:spacing w:after="0"/>
              <w:rPr>
                <w:sz w:val="1"/>
                <w:szCs w:val="1"/>
                <w:color w:val="auto"/>
              </w:rPr>
            </w:pPr>
          </w:p>
        </w:tc>
      </w:tr>
      <w:tr>
        <w:trPr>
          <w:trHeight w:val="203"/>
        </w:trPr>
        <w:tc>
          <w:tcPr>
            <w:tcW w:w="310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joint venture mortgages and other loans payable</w:t>
            </w:r>
          </w:p>
        </w:tc>
        <w:tc>
          <w:tcPr>
            <w:tcW w:w="1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12,331,990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6,027,862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14,903,339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7,352,275</w:t>
            </w:r>
          </w:p>
        </w:tc>
        <w:tc>
          <w:tcPr>
            <w:tcW w:w="0" w:type="dxa"/>
            <w:vAlign w:val="bottom"/>
          </w:tcPr>
          <w:p>
            <w:pPr>
              <w:spacing w:after="0"/>
              <w:rPr>
                <w:sz w:val="1"/>
                <w:szCs w:val="1"/>
                <w:color w:val="auto"/>
              </w:rPr>
            </w:pPr>
          </w:p>
        </w:tc>
      </w:tr>
      <w:tr>
        <w:trPr>
          <w:trHeight w:val="191"/>
        </w:trPr>
        <w:tc>
          <w:tcPr>
            <w:tcW w:w="1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Deferred financing costs, net</w:t>
            </w: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(97,729)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(49,058)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(104,062)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(54,865)</w:t>
            </w:r>
          </w:p>
        </w:tc>
        <w:tc>
          <w:tcPr>
            <w:tcW w:w="0" w:type="dxa"/>
            <w:vAlign w:val="bottom"/>
          </w:tcPr>
          <w:p>
            <w:pPr>
              <w:spacing w:after="0"/>
              <w:rPr>
                <w:sz w:val="1"/>
                <w:szCs w:val="1"/>
                <w:color w:val="auto"/>
              </w:rPr>
            </w:pPr>
          </w:p>
        </w:tc>
      </w:tr>
      <w:tr>
        <w:trPr>
          <w:trHeight w:val="221"/>
        </w:trPr>
        <w:tc>
          <w:tcPr>
            <w:tcW w:w="442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joint venture mortgages and other loans payable, net</w:t>
            </w: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12,234,261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5,978,804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14,799,277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7,297,410</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line="263" w:lineRule="auto"/>
        <w:tabs>
          <w:tab w:leader="none" w:pos="39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interest represents the Company's interests in the joint venture as of December 31, 2024. Changes in ownership or economic interests, if any, within the current year are disclosed in the notes to the investment in unconsolidated joint ventures table above.</w:t>
      </w:r>
    </w:p>
    <w:p>
      <w:pPr>
        <w:ind w:left="400" w:hanging="395"/>
        <w:spacing w:after="0"/>
        <w:tabs>
          <w:tab w:leader="none" w:pos="4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exercise of all available extension options. The ability to exercise extension options may be subject to certain conditions, including the operating performance of the property.</w:t>
      </w:r>
    </w:p>
    <w:p>
      <w:pPr>
        <w:spacing w:after="0" w:line="9" w:lineRule="exact"/>
        <w:rPr>
          <w:rFonts w:ascii="Times New Roman" w:cs="Times New Roman" w:eastAsia="Times New Roman" w:hAnsi="Times New Roman"/>
          <w:sz w:val="14"/>
          <w:szCs w:val="14"/>
          <w:color w:val="auto"/>
        </w:rPr>
      </w:pPr>
    </w:p>
    <w:p>
      <w:pPr>
        <w:ind w:left="400" w:hanging="395"/>
        <w:spacing w:after="0" w:line="247" w:lineRule="auto"/>
        <w:tabs>
          <w:tab w:leader="none" w:pos="39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rates as of December 31, 2024, taking into account interest rate hedges at the joint venture. Corporate interest rate hedges are not taken into consideration. Floating rate debt is presented with the stated spread over Term SOFR ("S").</w:t>
      </w:r>
    </w:p>
    <w:p>
      <w:pPr>
        <w:ind w:left="400" w:hanging="395"/>
        <w:spacing w:after="0"/>
        <w:tabs>
          <w:tab w:leader="none" w:pos="4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the Company's alternative strategy portfolio.</w:t>
      </w:r>
    </w:p>
    <w:p>
      <w:pPr>
        <w:spacing w:after="0" w:line="5"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2025, the maturity date of the loan was extended to July 2025.</w:t>
      </w:r>
    </w:p>
    <w:p>
      <w:pPr>
        <w:spacing w:after="0" w:line="9" w:lineRule="exact"/>
        <w:rPr>
          <w:rFonts w:ascii="Times New Roman" w:cs="Times New Roman" w:eastAsia="Times New Roman" w:hAnsi="Times New Roman"/>
          <w:sz w:val="14"/>
          <w:szCs w:val="14"/>
          <w:color w:val="auto"/>
        </w:rPr>
      </w:pPr>
    </w:p>
    <w:p>
      <w:pPr>
        <w:ind w:left="400" w:hanging="395"/>
        <w:spacing w:after="0" w:line="247" w:lineRule="auto"/>
        <w:tabs>
          <w:tab w:leader="none" w:pos="39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loan is a $1.25 billion construction facility, which was fully extended to November 2027. Advances under the loan are subject to costs incurred. In conjunction with the loan, the Company provided partial guarantees for interest and principal payments, the amounts of which are based on certain construction milestones and operating metrics.</w:t>
      </w:r>
    </w:p>
    <w:p>
      <w:pPr>
        <w:ind w:left="400" w:hanging="395"/>
        <w:spacing w:after="0" w:line="262" w:lineRule="auto"/>
        <w:tabs>
          <w:tab w:leader="none" w:pos="39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fourth quarter of 2024, the Company recorded a $146.4 million charge, which is included in Equity in net loss from unconsolidated joint ventures. The Company no longer has an ownership interest in the property.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69" w:lineRule="exact"/>
        <w:rPr>
          <w:sz w:val="20"/>
          <w:szCs w:val="20"/>
          <w:color w:val="auto"/>
        </w:rPr>
      </w:pPr>
    </w:p>
    <w:p>
      <w:pPr>
        <w:ind w:left="400" w:hanging="395"/>
        <w:spacing w:after="0"/>
        <w:tabs>
          <w:tab w:leader="none" w:pos="4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joint venture partner is in discussions with the lender on resolution of the past maturity.</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in discussions with the lender on resolution of the past maturity.</w:t>
      </w:r>
    </w:p>
    <w:p>
      <w:pPr>
        <w:spacing w:after="0" w:line="238"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We are entitled to receive fees for providing management, leasing, construction supervision and asset management services to certain of our joint ventures. We earned $21.9 million, $21.1 million and $24.0 million from these services, net of our ownership share of the joint ventures, for the years ended December 31, 2024, 2023, and 2022, respectively. In addition, we have the ability to earn incentive fees based on the ultimate financial performance of certain of the joint venture properties.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combined balance sheets for the unconsolidated joint ventures, as of December 31, 2024 and 2023, are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156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2"/>
        </w:trPr>
        <w:tc>
          <w:tcPr>
            <w:tcW w:w="7340" w:type="dxa"/>
            <w:vAlign w:val="bottom"/>
            <w:tcBorders>
              <w:top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Assets </w:t>
            </w:r>
            <w:r>
              <w:rPr>
                <w:rFonts w:ascii="Times New Roman" w:cs="Times New Roman" w:eastAsia="Times New Roman" w:hAnsi="Times New Roman"/>
                <w:sz w:val="20"/>
                <w:szCs w:val="20"/>
                <w:b w:val="1"/>
                <w:bCs w:val="1"/>
                <w:i w:val="1"/>
                <w:iCs w:val="1"/>
                <w:color w:val="auto"/>
                <w:vertAlign w:val="superscript"/>
              </w:rPr>
              <w:t>(1)</w:t>
            </w:r>
          </w:p>
        </w:tc>
        <w:tc>
          <w:tcPr>
            <w:tcW w:w="16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0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 real estate property,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15,327,542</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17,561,406</w:t>
            </w:r>
          </w:p>
        </w:tc>
      </w:tr>
      <w:tr>
        <w:trPr>
          <w:trHeight w:val="21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restricted cash</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649,426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656,038</w:t>
            </w:r>
          </w:p>
        </w:tc>
      </w:tr>
      <w:tr>
        <w:trPr>
          <w:trHeight w:val="20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Tenant and other receivables, related party receivables, and deferred rents receivable</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621,748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673,532</w:t>
            </w:r>
          </w:p>
        </w:tc>
      </w:tr>
      <w:tr>
        <w:trPr>
          <w:trHeight w:val="21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and preferred equity investments, net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236,512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919,658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905,934</w:t>
            </w:r>
          </w:p>
        </w:tc>
      </w:tr>
      <w:tr>
        <w:trPr>
          <w:trHeight w:val="21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1,739,549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2,584,765</w:t>
            </w:r>
          </w:p>
        </w:tc>
      </w:tr>
      <w:tr>
        <w:trPr>
          <w:trHeight w:val="204"/>
        </w:trPr>
        <w:tc>
          <w:tcPr>
            <w:tcW w:w="7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19,494,435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22,381,675</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6"/>
        </w:trPr>
        <w:tc>
          <w:tcPr>
            <w:tcW w:w="7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i w:val="1"/>
                <w:iCs w:val="1"/>
                <w:color w:val="auto"/>
              </w:rPr>
              <w:t xml:space="preserve">Liabilities and equity </w:t>
            </w:r>
            <w:r>
              <w:rPr>
                <w:rFonts w:ascii="Times New Roman" w:cs="Times New Roman" w:eastAsia="Times New Roman" w:hAnsi="Times New Roman"/>
                <w:sz w:val="20"/>
                <w:szCs w:val="20"/>
                <w:b w:val="1"/>
                <w:bCs w:val="1"/>
                <w:i w:val="1"/>
                <w:iCs w:val="1"/>
                <w:color w:val="auto"/>
                <w:vertAlign w:val="superscript"/>
              </w:rPr>
              <w:t>(1)</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0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Mortgages and other loans payable,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12,234,261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14,799,277</w:t>
            </w:r>
          </w:p>
        </w:tc>
      </w:tr>
      <w:tr>
        <w:trPr>
          <w:trHeight w:val="21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956,217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1,108,180</w:t>
            </w:r>
          </w:p>
        </w:tc>
      </w:tr>
      <w:tr>
        <w:trPr>
          <w:trHeight w:val="209"/>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1,008,085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990,276</w:t>
            </w:r>
          </w:p>
        </w:tc>
      </w:tr>
      <w:tr>
        <w:trPr>
          <w:trHeight w:val="211"/>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519,582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447,705</w:t>
            </w:r>
          </w:p>
        </w:tc>
      </w:tr>
      <w:tr>
        <w:trPr>
          <w:trHeight w:val="209"/>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4,776,290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5,036,237</w:t>
            </w:r>
          </w:p>
        </w:tc>
      </w:tr>
      <w:tr>
        <w:trPr>
          <w:trHeight w:val="229"/>
        </w:trPr>
        <w:tc>
          <w:tcPr>
            <w:tcW w:w="7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19,494,435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22,381,675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73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Company's investments in unconsolidated joint ventures</w:t>
            </w:r>
          </w:p>
        </w:tc>
        <w:tc>
          <w:tcPr>
            <w:tcW w:w="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2,690,138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2,983,313</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line="286" w:lineRule="auto"/>
        <w:tabs>
          <w:tab w:leader="none" w:pos="392"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$480.8 million of net unamortized basis differences between the amount at which our investments are carried and our share of equity in net assets of the underlying property will be amortized through equity in net income (loss) from unconsolidated joint ventures over the remaining life of the underlying items having given rise to the differences.</w:t>
      </w:r>
    </w:p>
    <w:p>
      <w:pPr>
        <w:spacing w:after="0" w:line="66"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The combined statements of operations for the unconsolidated joint ventures, from acquisition date through the years ended December 31, 2024, 2023, and 2022 are as follows (unaudited,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5"/>
              </w:rPr>
              <w:t>Year Ended December 31,</w:t>
            </w:r>
          </w:p>
        </w:tc>
        <w:tc>
          <w:tcPr>
            <w:tcW w:w="1160" w:type="dxa"/>
            <w:vAlign w:val="bottom"/>
            <w:tcBorders>
              <w:bottom w:val="single" w:sz="8" w:color="auto"/>
            </w:tcBorders>
          </w:tcPr>
          <w:p>
            <w:pPr>
              <w:spacing w:after="0"/>
              <w:rPr>
                <w:sz w:val="18"/>
                <w:szCs w:val="18"/>
                <w:color w:val="auto"/>
              </w:rPr>
            </w:pPr>
          </w:p>
        </w:tc>
      </w:tr>
      <w:tr>
        <w:trPr>
          <w:trHeight w:val="204"/>
        </w:trPr>
        <w:tc>
          <w:tcPr>
            <w:tcW w:w="6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1,484,459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1,525,044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1,339,364</w:t>
            </w:r>
          </w:p>
        </w:tc>
      </w:tr>
      <w:tr>
        <w:trPr>
          <w:trHeight w:val="202"/>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259,558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253,630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240,002</w:t>
            </w:r>
          </w:p>
        </w:tc>
      </w:tr>
      <w:tr>
        <w:trPr>
          <w:trHeight w:val="21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297,520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287,462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252,806</w:t>
            </w:r>
          </w:p>
        </w:tc>
      </w:tr>
      <w:tr>
        <w:trPr>
          <w:trHeight w:val="209"/>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33,207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29,048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26,152</w:t>
            </w:r>
          </w:p>
        </w:tc>
      </w:tr>
      <w:tr>
        <w:trPr>
          <w:trHeight w:val="21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573,148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574,032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431,865</w:t>
            </w:r>
          </w:p>
        </w:tc>
      </w:tr>
      <w:tr>
        <w:trPr>
          <w:trHeight w:val="209"/>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21,289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28,157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27,754</w:t>
            </w:r>
          </w:p>
        </w:tc>
      </w:tr>
      <w:tr>
        <w:trPr>
          <w:trHeight w:val="21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538,390</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516,466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465,100</w:t>
            </w:r>
          </w:p>
        </w:tc>
      </w:tr>
      <w:tr>
        <w:trPr>
          <w:trHeight w:val="202"/>
        </w:trPr>
        <w:tc>
          <w:tcPr>
            <w:tcW w:w="6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1,723,112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1,688,795</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1,443,679</w:t>
            </w:r>
          </w:p>
        </w:tc>
      </w:tr>
      <w:tr>
        <w:trPr>
          <w:trHeight w:val="21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early extinguishment of debt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233,704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r>
      <w:tr>
        <w:trPr>
          <w:trHeight w:val="209"/>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 and impairments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(181,798)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6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before gain (loss) on sale</w:t>
            </w: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(186,747)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(163,751)</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(104,782)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gridSpan w:val="3"/>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62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Company's equity in net loss from unconsolidated joint ventures</w:t>
            </w:r>
          </w:p>
        </w:tc>
        <w:tc>
          <w:tcPr>
            <w:tcW w:w="340" w:type="dxa"/>
            <w:vAlign w:val="bottom"/>
          </w:tcPr>
          <w:p>
            <w:pPr>
              <w:jc w:val="right"/>
              <w:ind w:right="161"/>
              <w:spacing w:after="0" w:line="182" w:lineRule="exact"/>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(179,695)</w:t>
            </w:r>
          </w:p>
        </w:tc>
        <w:tc>
          <w:tcPr>
            <w:tcW w:w="460" w:type="dxa"/>
            <w:vAlign w:val="bottom"/>
            <w:gridSpan w:val="3"/>
          </w:tcPr>
          <w:p>
            <w:pPr>
              <w:jc w:val="right"/>
              <w:ind w:right="161"/>
              <w:spacing w:after="0" w:line="182" w:lineRule="exact"/>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(76,509)</w:t>
            </w:r>
          </w:p>
        </w:tc>
        <w:tc>
          <w:tcPr>
            <w:tcW w:w="100" w:type="dxa"/>
            <w:vAlign w:val="bottom"/>
          </w:tcPr>
          <w:p>
            <w:pPr>
              <w:spacing w:after="0"/>
              <w:rPr>
                <w:sz w:val="15"/>
                <w:szCs w:val="15"/>
                <w:color w:val="auto"/>
              </w:rPr>
            </w:pPr>
          </w:p>
        </w:tc>
        <w:tc>
          <w:tcPr>
            <w:tcW w:w="340" w:type="dxa"/>
            <w:vAlign w:val="bottom"/>
          </w:tcPr>
          <w:p>
            <w:pPr>
              <w:jc w:val="right"/>
              <w:ind w:right="161"/>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(57,958)</w:t>
            </w:r>
          </w:p>
        </w:tc>
      </w:tr>
      <w:tr>
        <w:trPr>
          <w:trHeight w:val="20"/>
        </w:trPr>
        <w:tc>
          <w:tcPr>
            <w:tcW w:w="6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Deferred Costs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Deferred costs as of December 31, 2024 and 2023 consisted of the following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18"/>
                <w:szCs w:val="18"/>
                <w:color w:val="auto"/>
              </w:rPr>
            </w:pPr>
          </w:p>
        </w:tc>
        <w:tc>
          <w:tcPr>
            <w:tcW w:w="17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leasing costs</w:t>
            </w: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426,055</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399,224</w:t>
            </w:r>
          </w:p>
        </w:tc>
      </w:tr>
      <w:tr>
        <w:trPr>
          <w:trHeight w:val="209"/>
        </w:trPr>
        <w:tc>
          <w:tcPr>
            <w:tcW w:w="7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(308,923)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(287,761)</w:t>
            </w:r>
          </w:p>
        </w:tc>
      </w:tr>
      <w:tr>
        <w:trPr>
          <w:trHeight w:val="229"/>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costs, net</w:t>
            </w: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117,132</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Mortgages and Other Loans Payable</w:t>
      </w:r>
    </w:p>
    <w:p>
      <w:pPr>
        <w:spacing w:after="0" w:line="121"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mortgages and other loans payable collateralized by the respective properties and assignment of leases or debt investments as of December 31, 2024 and 2023, respectively, were as follows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48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Current Maturity</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Final Maturity Date</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140" w:type="dxa"/>
            <w:vAlign w:val="bottom"/>
          </w:tcPr>
          <w:p>
            <w:pPr>
              <w:spacing w:after="0"/>
              <w:rPr>
                <w:sz w:val="18"/>
                <w:szCs w:val="18"/>
                <w:color w:val="auto"/>
              </w:rPr>
            </w:pPr>
          </w:p>
        </w:tc>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8"/>
                <w:szCs w:val="18"/>
                <w:color w:val="auto"/>
              </w:rPr>
            </w:pPr>
          </w:p>
        </w:tc>
        <w:tc>
          <w:tcPr>
            <w:tcW w:w="154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7"/>
        </w:trPr>
        <w:tc>
          <w:tcPr>
            <w:tcW w:w="3700" w:type="dxa"/>
            <w:vAlign w:val="bottom"/>
            <w:gridSpan w:val="3"/>
            <w:vMerge w:val="continue"/>
          </w:tcPr>
          <w:p>
            <w:pPr>
              <w:spacing w:after="0"/>
              <w:rPr>
                <w:sz w:val="13"/>
                <w:szCs w:val="13"/>
                <w:color w:val="auto"/>
              </w:rPr>
            </w:pPr>
          </w:p>
        </w:tc>
        <w:tc>
          <w:tcPr>
            <w:tcW w:w="1480" w:type="dxa"/>
            <w:vAlign w:val="bottom"/>
          </w:tcPr>
          <w:p>
            <w:pPr>
              <w:jc w:val="right"/>
              <w:ind w:right="521"/>
              <w:spacing w:after="0" w:line="158" w:lineRule="exact"/>
              <w:rPr>
                <w:sz w:val="20"/>
                <w:szCs w:val="20"/>
                <w:color w:val="auto"/>
              </w:rPr>
            </w:pPr>
            <w:r>
              <w:rPr>
                <w:rFonts w:ascii="Times New Roman" w:cs="Times New Roman" w:eastAsia="Times New Roman" w:hAnsi="Times New Roman"/>
                <w:sz w:val="16"/>
                <w:szCs w:val="16"/>
                <w:b w:val="1"/>
                <w:bCs w:val="1"/>
                <w:color w:val="auto"/>
              </w:rPr>
              <w:t>Date</w:t>
            </w:r>
          </w:p>
        </w:tc>
        <w:tc>
          <w:tcPr>
            <w:tcW w:w="1440" w:type="dxa"/>
            <w:vAlign w:val="bottom"/>
          </w:tcPr>
          <w:p>
            <w:pPr>
              <w:jc w:val="right"/>
              <w:ind w:right="604"/>
              <w:spacing w:after="0"/>
              <w:rPr>
                <w:sz w:val="20"/>
                <w:szCs w:val="20"/>
                <w:color w:val="auto"/>
              </w:rPr>
            </w:pP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3"/>
                <w:szCs w:val="13"/>
                <w:color w:val="auto"/>
              </w:rPr>
            </w:pPr>
          </w:p>
        </w:tc>
        <w:tc>
          <w:tcPr>
            <w:tcW w:w="104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8"/>
                <w:szCs w:val="18"/>
                <w:b w:val="1"/>
                <w:bCs w:val="1"/>
                <w:color w:val="auto"/>
                <w:vertAlign w:val="superscript"/>
              </w:rPr>
              <w:t>(2)</w:t>
            </w:r>
          </w:p>
        </w:tc>
        <w:tc>
          <w:tcPr>
            <w:tcW w:w="14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Fixed Rate Debt:</w:t>
            </w: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10 East 53rd Street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2025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May 2028</w:t>
            </w:r>
          </w:p>
        </w:tc>
        <w:tc>
          <w:tcPr>
            <w:tcW w:w="380" w:type="dxa"/>
            <w:vAlign w:val="bottom"/>
          </w:tcPr>
          <w:p>
            <w:pPr>
              <w:spacing w:after="0"/>
              <w:rPr>
                <w:sz w:val="18"/>
                <w:szCs w:val="18"/>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205,000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100</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Church Street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2025</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June 2027</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370,000</w:t>
            </w:r>
          </w:p>
        </w:tc>
        <w:tc>
          <w:tcPr>
            <w:tcW w:w="0" w:type="dxa"/>
            <w:vAlign w:val="bottom"/>
          </w:tcPr>
          <w:p>
            <w:pPr>
              <w:spacing w:after="0"/>
              <w:rPr>
                <w:sz w:val="1"/>
                <w:szCs w:val="1"/>
                <w:color w:val="auto"/>
              </w:rPr>
            </w:pPr>
          </w:p>
        </w:tc>
      </w:tr>
      <w:tr>
        <w:trPr>
          <w:trHeight w:val="209"/>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7 Dey / 185 Broadway</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2025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November 2026</w:t>
            </w:r>
          </w:p>
        </w:tc>
        <w:tc>
          <w:tcPr>
            <w:tcW w:w="380" w:type="dxa"/>
            <w:vAlign w:val="bottom"/>
          </w:tcPr>
          <w:p>
            <w:pPr>
              <w:spacing w:after="0"/>
              <w:rPr>
                <w:sz w:val="18"/>
                <w:szCs w:val="18"/>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190,148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190,148</w:t>
            </w:r>
          </w:p>
        </w:tc>
        <w:tc>
          <w:tcPr>
            <w:tcW w:w="0" w:type="dxa"/>
            <w:vAlign w:val="bottom"/>
          </w:tcPr>
          <w:p>
            <w:pPr>
              <w:spacing w:after="0"/>
              <w:rPr>
                <w:sz w:val="1"/>
                <w:szCs w:val="1"/>
                <w:color w:val="auto"/>
              </w:rPr>
            </w:pPr>
          </w:p>
        </w:tc>
      </w:tr>
      <w:tr>
        <w:trPr>
          <w:trHeight w:val="211"/>
        </w:trPr>
        <w:tc>
          <w:tcPr>
            <w:tcW w:w="3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Landmark Square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2027</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January 2027</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9"/>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485</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Lexington Avenue</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February 2027</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2027</w:t>
            </w:r>
          </w:p>
        </w:tc>
        <w:tc>
          <w:tcPr>
            <w:tcW w:w="380" w:type="dxa"/>
            <w:vAlign w:val="bottom"/>
          </w:tcPr>
          <w:p>
            <w:pPr>
              <w:spacing w:after="0"/>
              <w:rPr>
                <w:sz w:val="18"/>
                <w:szCs w:val="18"/>
                <w:color w:val="auto"/>
              </w:rPr>
            </w:pP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0" w:type="dxa"/>
            <w:vAlign w:val="bottom"/>
          </w:tcPr>
          <w:p>
            <w:pPr>
              <w:spacing w:after="0"/>
              <w:rPr>
                <w:sz w:val="1"/>
                <w:szCs w:val="1"/>
                <w:color w:val="auto"/>
              </w:rPr>
            </w:pPr>
          </w:p>
        </w:tc>
      </w:tr>
      <w:tr>
        <w:trPr>
          <w:trHeight w:val="211"/>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420</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Lexington Avenue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October 2040</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October 2040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272,326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277,238</w:t>
            </w:r>
          </w:p>
        </w:tc>
        <w:tc>
          <w:tcPr>
            <w:tcW w:w="0" w:type="dxa"/>
            <w:vAlign w:val="bottom"/>
          </w:tcPr>
          <w:p>
            <w:pPr>
              <w:spacing w:after="0"/>
              <w:rPr>
                <w:sz w:val="1"/>
                <w:szCs w:val="1"/>
                <w:color w:val="auto"/>
              </w:rPr>
            </w:pPr>
          </w:p>
        </w:tc>
      </w:tr>
      <w:tr>
        <w:trPr>
          <w:trHeight w:val="202"/>
        </w:trPr>
        <w:tc>
          <w:tcPr>
            <w:tcW w:w="370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Total fixed rate debt</w:t>
            </w:r>
          </w:p>
        </w:tc>
        <w:tc>
          <w:tcPr>
            <w:tcW w:w="14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1,587,474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1,387,386</w:t>
            </w:r>
          </w:p>
        </w:tc>
        <w:tc>
          <w:tcPr>
            <w:tcW w:w="0" w:type="dxa"/>
            <w:vAlign w:val="bottom"/>
          </w:tcPr>
          <w:p>
            <w:pPr>
              <w:spacing w:after="0"/>
              <w:rPr>
                <w:sz w:val="1"/>
                <w:szCs w:val="1"/>
                <w:color w:val="auto"/>
              </w:rPr>
            </w:pPr>
          </w:p>
        </w:tc>
      </w:tr>
      <w:tr>
        <w:trPr>
          <w:trHeight w:val="191"/>
        </w:trPr>
        <w:tc>
          <w:tcPr>
            <w:tcW w:w="3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Floating Rate Debt:</w:t>
            </w:r>
          </w:p>
        </w:tc>
        <w:tc>
          <w:tcPr>
            <w:tcW w:w="14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CMBS Repurchase Facility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2025</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June 2025</w:t>
            </w:r>
          </w:p>
        </w:tc>
        <w:tc>
          <w:tcPr>
            <w:tcW w:w="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3,550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3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 Park Avenue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2025</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December 2027</w:t>
            </w:r>
          </w:p>
        </w:tc>
        <w:tc>
          <w:tcPr>
            <w:tcW w:w="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w:t>
            </w:r>
          </w:p>
        </w:tc>
        <w:tc>
          <w:tcPr>
            <w:tcW w:w="5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690</w:t>
            </w: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Madison Avenue</w:t>
            </w: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0" w:type="dxa"/>
            <w:vAlign w:val="bottom"/>
          </w:tcPr>
          <w:p>
            <w:pPr>
              <w:spacing w:after="0"/>
              <w:rPr>
                <w:sz w:val="1"/>
                <w:szCs w:val="1"/>
                <w:color w:val="auto"/>
              </w:rPr>
            </w:pPr>
          </w:p>
        </w:tc>
      </w:tr>
      <w:tr>
        <w:trPr>
          <w:trHeight w:val="211"/>
        </w:trPr>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719</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Seventh Avenue</w:t>
            </w: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02"/>
        </w:trPr>
        <w:tc>
          <w:tcPr>
            <w:tcW w:w="370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Total floating rate debt</w:t>
            </w:r>
          </w:p>
        </w:tc>
        <w:tc>
          <w:tcPr>
            <w:tcW w:w="148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363,550</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0" w:type="dxa"/>
            <w:vAlign w:val="bottom"/>
          </w:tcPr>
          <w:p>
            <w:pPr>
              <w:spacing w:after="0"/>
              <w:rPr>
                <w:sz w:val="1"/>
                <w:szCs w:val="1"/>
                <w:color w:val="auto"/>
              </w:rPr>
            </w:pPr>
          </w:p>
        </w:tc>
      </w:tr>
      <w:tr>
        <w:trPr>
          <w:trHeight w:val="204"/>
        </w:trPr>
        <w:tc>
          <w:tcPr>
            <w:tcW w:w="3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mortgages and other loans payable</w:t>
            </w:r>
          </w:p>
        </w:tc>
        <w:tc>
          <w:tcPr>
            <w:tcW w:w="1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1,951,024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1,497,386</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Deferred financing costs, net of amortization</w:t>
            </w:r>
          </w:p>
        </w:tc>
        <w:tc>
          <w:tcPr>
            <w:tcW w:w="14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(6,389)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mortgages and other loans payable, net</w:t>
            </w:r>
          </w:p>
        </w:tc>
        <w:tc>
          <w:tcPr>
            <w:tcW w:w="14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1,944,635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1,491,319</w:t>
            </w:r>
          </w:p>
        </w:tc>
        <w:tc>
          <w:tcPr>
            <w:tcW w:w="0" w:type="dxa"/>
            <w:vAlign w:val="bottom"/>
          </w:tcPr>
          <w:p>
            <w:pPr>
              <w:spacing w:after="0"/>
              <w:rPr>
                <w:sz w:val="1"/>
                <w:szCs w:val="1"/>
                <w:color w:val="auto"/>
              </w:rPr>
            </w:pP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tabs>
          <w:tab w:leader="none" w:pos="4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exercise of all available extension options. The ability to exercise extension options may be subject to certain conditions, including the operating performance of the property.</w:t>
      </w:r>
    </w:p>
    <w:p>
      <w:pPr>
        <w:spacing w:after="0" w:line="21" w:lineRule="exact"/>
        <w:rPr>
          <w:rFonts w:ascii="Times New Roman" w:cs="Times New Roman" w:eastAsia="Times New Roman" w:hAnsi="Times New Roman"/>
          <w:sz w:val="14"/>
          <w:szCs w:val="14"/>
          <w:color w:val="auto"/>
        </w:rPr>
      </w:pPr>
    </w:p>
    <w:p>
      <w:pPr>
        <w:ind w:left="400" w:hanging="395"/>
        <w:spacing w:after="0" w:line="268" w:lineRule="auto"/>
        <w:tabs>
          <w:tab w:leader="none" w:pos="392"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as of December 31, 2024, taking into account interest rate hedges in effect during the period. Floating rate debt is presented with the stated spread over Term SOFR ("S"), unless otherwise specified.</w:t>
      </w:r>
    </w:p>
    <w:p>
      <w:pPr>
        <w:spacing w:after="0" w:line="78"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As of December 31, 2024 and 2023, the gross book value of the properties collateralizing the mortgages and other loans payable was approximately $2.2 billion and $1.9 billion,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33333"/>
        </w:rPr>
        <w:t>CMBS Securities Repurchase Facility</w:t>
      </w:r>
    </w:p>
    <w:p>
      <w:pPr>
        <w:spacing w:after="0" w:line="121"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In December 2024, the Company entered into a repurchase facility for CMBS securities (CMBS Repurchase Facility), which provides us with the ability to sell certain CMBS investments with a simultaneous agreement to repurchase the same at a certain date or on demand. We seek to mitigate risks associated with our repurchase facility by managing the credit quality of our assets, early repayments, interest rate volatility, liquidity, and market value. The margin call provisions under our repurchase facility permit valuation adjustments based on capital markets activity and are not limited to collateral-specific credit marks. To monitor credit risk associated with our CMBS investments, our asset management team regularly reviews our investment portfolio and is in contact with our borrowers in order to monitor the collateral and enforce our rights as necessary. The risk associated with potential margin calls is further mitigated by our ability to collateralize the facility with additional assets from our portfolio of investments, our ability to satisfy margin calls with cash or cash equivalents and our access to additional liquidity. As of December 31, 2024, there have been no margin calls on the CMBS Repurchase Facility. At December 31, 2024, the facility had an outstanding balance of $3.6 million.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ind w:right="9260" w:firstLine="5"/>
        <w:spacing w:after="0" w:line="387" w:lineRule="auto"/>
        <w:tabs>
          <w:tab w:leader="none" w:pos="175"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Corporate Indebtedness 2021 Credit Facility</w:t>
      </w:r>
    </w:p>
    <w:p>
      <w:pPr>
        <w:spacing w:after="0" w:line="1"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In December 2021, we entered into an amended and restated credit facility, referred to as the 2021 credit facility, that was previously amended by the Company in November 2017, and was originally entered into by the Company in November 2012. As of December 31, 2024, the 2021 credit facility consisted of a $1.25 billion revolving credit facility, a $1.05 billion term loan (or "Term Loan A"), and a $200.0 million term loan (or "Term Loan B") with maturity dates of May 15, 2026, May 15, 2027, and November 21, 2024, respectively. In November 2024, Term Loan B was paid down to $100 million and the maturity date was extended to November 19, 2025, with two additional six-month as-of-right extension options. The revolving credit facility has two six-month as-of-right extension options to May 15, 2027. We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our existing lenders and other financial institutions.</w:t>
      </w:r>
    </w:p>
    <w:p>
      <w:pPr>
        <w:spacing w:after="0" w:line="70"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As of December 31, 2024, the 2021 credit facility bore interest at a spread over adjusted Term SOFR plus 10 basis points with an interest period of one or three months, as we may elect, ranging from (i) 72.5 basis points to 140 basis points for loans under the revolving credit facility, (ii) 80 basis points to 160 basis points for loans under Term Loan A, and (iii) 85 basis points to 165 basis points for loans under Term Loan B, in each case based on the credit rating assigned to the senior unsecured long term indebtedness of the Company. In instances where there are either only two ratings available or where there are more than two and the difference between them is one rating category, the applicable rating shall be the highest rating. In instances where there are more than two ratings and the difference between the highest and the lowest is two or more rating categories, then the applicable rating used is the average of the highest two, rounded down if the average is not a recognized category.</w:t>
      </w:r>
    </w:p>
    <w:p>
      <w:pPr>
        <w:spacing w:after="0" w:line="68"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As of December 31, 2024, the applicable spread over adjusted Term SOFR plus 10 basis points for the 2021 credit facility was 140 basis points for the revolving credit facility, 160 basis points for Term Loan A, and 180 basis points for Term Loan B. We are required to pay quarterly in arrears a 12.5 to 30 basis point facility fee on the total commitments under the revolving credit facility based on the credit rating assigned to the senior unsecured long-term indebtedness of the Company. As of December 31, 2024, the facility fee was 30 basis points.</w:t>
      </w:r>
    </w:p>
    <w:p>
      <w:pPr>
        <w:spacing w:after="0" w:line="64"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As of December 31, 2024, we had $7.5 million of outstanding letters of credit, $320.0 million drawn under the revolving credit facility and $1.15 billion of outstanding term loans, with total undrawn capacity of $922.5 million under the 2021 credit facility. As of December 31, 2024 and December 31, 2023, the revolving credit facility had a carrying value of $316.2 million and $554.8 million, respectively, net of deferred financing costs. As of December 31, 2024 and December 31, 2023, the term loans had a carrying value of $1.1 billion and $1.2 billion, respectively, net of deferred financing costs.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and the Operating Partnership are borrowers jointly and severally obligated under the 2021 credit facility.</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2021 credit facility includes certain restrictions and covenants (see Restrictive Covenants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Unsecured Notes</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sets forth our senior unsecured notes and other related disclosures as of December 31, 2024 and 2023, respectively, by scheduled maturity date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gridSpan w:val="5"/>
          </w:tcPr>
          <w:p>
            <w:pPr>
              <w:ind w:left="8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144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jc w:val="center"/>
              <w:ind w:right="260"/>
              <w:spacing w:after="0" w:line="155" w:lineRule="exact"/>
              <w:rPr>
                <w:sz w:val="20"/>
                <w:szCs w:val="20"/>
                <w:color w:val="auto"/>
              </w:rPr>
            </w:pPr>
            <w:r>
              <w:rPr>
                <w:rFonts w:ascii="Times New Roman" w:cs="Times New Roman" w:eastAsia="Times New Roman" w:hAnsi="Times New Roman"/>
                <w:sz w:val="16"/>
                <w:szCs w:val="16"/>
                <w:b w:val="1"/>
                <w:bCs w:val="1"/>
                <w:color w:val="auto"/>
                <w:w w:val="98"/>
              </w:rPr>
              <w:t>Unpaid Principal</w:t>
            </w:r>
          </w:p>
        </w:tc>
        <w:tc>
          <w:tcPr>
            <w:tcW w:w="3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ind w:right="221"/>
              <w:spacing w:after="0" w:line="155" w:lineRule="exact"/>
              <w:rPr>
                <w:sz w:val="20"/>
                <w:szCs w:val="20"/>
                <w:color w:val="auto"/>
              </w:rPr>
            </w:pPr>
            <w:r>
              <w:rPr>
                <w:rFonts w:ascii="Times New Roman" w:cs="Times New Roman" w:eastAsia="Times New Roman" w:hAnsi="Times New Roman"/>
                <w:sz w:val="16"/>
                <w:szCs w:val="16"/>
                <w:b w:val="1"/>
                <w:bCs w:val="1"/>
                <w:color w:val="auto"/>
                <w:w w:val="97"/>
              </w:rPr>
              <w:t>Accreted</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41"/>
              <w:spacing w:after="0" w:line="155" w:lineRule="exact"/>
              <w:rPr>
                <w:sz w:val="20"/>
                <w:szCs w:val="20"/>
                <w:color w:val="auto"/>
              </w:rPr>
            </w:pPr>
            <w:r>
              <w:rPr>
                <w:rFonts w:ascii="Times New Roman" w:cs="Times New Roman" w:eastAsia="Times New Roman" w:hAnsi="Times New Roman"/>
                <w:sz w:val="16"/>
                <w:szCs w:val="16"/>
                <w:b w:val="1"/>
                <w:bCs w:val="1"/>
                <w:color w:val="auto"/>
                <w:w w:val="97"/>
              </w:rPr>
              <w:t>Accreted</w:t>
            </w:r>
          </w:p>
        </w:tc>
        <w:tc>
          <w:tcPr>
            <w:tcW w:w="100" w:type="dxa"/>
            <w:vAlign w:val="bottom"/>
          </w:tcPr>
          <w:p>
            <w:pPr>
              <w:spacing w:after="0"/>
              <w:rPr>
                <w:sz w:val="13"/>
                <w:szCs w:val="13"/>
                <w:color w:val="auto"/>
              </w:rPr>
            </w:pPr>
          </w:p>
        </w:tc>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 xml:space="preserve">Interest Rate </w:t>
            </w:r>
            <w:r>
              <w:rPr>
                <w:rFonts w:ascii="Times New Roman" w:cs="Times New Roman" w:eastAsia="Times New Roman" w:hAnsi="Times New Roman"/>
                <w:sz w:val="20"/>
                <w:szCs w:val="20"/>
                <w:b w:val="1"/>
                <w:bCs w:val="1"/>
                <w:color w:val="auto"/>
                <w:vertAlign w:val="superscript"/>
              </w:rPr>
              <w:t>(1)</w:t>
            </w:r>
          </w:p>
        </w:tc>
        <w:tc>
          <w:tcPr>
            <w:tcW w:w="100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7"/>
              </w:rPr>
              <w:t>Initial Term</w:t>
            </w:r>
          </w:p>
        </w:tc>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0" w:type="dxa"/>
            <w:vAlign w:val="bottom"/>
          </w:tcPr>
          <w:p>
            <w:pPr>
              <w:spacing w:after="0"/>
              <w:rPr>
                <w:sz w:val="1"/>
                <w:szCs w:val="1"/>
                <w:color w:val="auto"/>
              </w:rPr>
            </w:pPr>
          </w:p>
        </w:tc>
      </w:tr>
      <w:tr>
        <w:trPr>
          <w:trHeight w:val="210"/>
        </w:trPr>
        <w:tc>
          <w:tcPr>
            <w:tcW w:w="2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Balance</w:t>
            </w:r>
          </w:p>
        </w:tc>
        <w:tc>
          <w:tcPr>
            <w:tcW w:w="30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5"/>
              </w:rPr>
              <w:t>Balance</w:t>
            </w:r>
          </w:p>
        </w:tc>
        <w:tc>
          <w:tcPr>
            <w:tcW w:w="120" w:type="dxa"/>
            <w:vAlign w:val="bottom"/>
          </w:tcPr>
          <w:p>
            <w:pPr>
              <w:spacing w:after="0"/>
              <w:rPr>
                <w:sz w:val="18"/>
                <w:szCs w:val="18"/>
                <w:color w:val="auto"/>
              </w:rPr>
            </w:pPr>
          </w:p>
        </w:tc>
        <w:tc>
          <w:tcPr>
            <w:tcW w:w="144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5"/>
              </w:rPr>
              <w:t>Balance</w:t>
            </w:r>
          </w:p>
        </w:tc>
        <w:tc>
          <w:tcPr>
            <w:tcW w:w="10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December 17, 2015 </w:t>
            </w:r>
            <w:r>
              <w:rPr>
                <w:rFonts w:ascii="Times New Roman" w:cs="Times New Roman" w:eastAsia="Times New Roman" w:hAnsi="Times New Roman"/>
                <w:sz w:val="20"/>
                <w:szCs w:val="20"/>
                <w:color w:val="auto"/>
                <w:vertAlign w:val="superscript"/>
              </w:rPr>
              <w:t>(2)</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4.27 %</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8"/>
              </w:rPr>
              <w:t>December 2025</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financing costs, net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100,000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99,897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99,795</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00" w:hanging="395"/>
        <w:spacing w:after="0"/>
        <w:tabs>
          <w:tab w:leader="none" w:pos="4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as of December 31, 2024.</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by the Company and the Operating Partnership as co-obligors in a private placement.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Restrictive Covenants</w:t>
      </w:r>
    </w:p>
    <w:p>
      <w:pPr>
        <w:spacing w:after="0" w:line="121"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terms of the 2021 credit facility and our senior unsecured notes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December 31, 2024 and 2023, we were in compliance with all such covenants.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Junior Subordinated Deferrable Interest Debentures</w:t>
      </w:r>
    </w:p>
    <w:p>
      <w:pPr>
        <w:spacing w:after="0" w:line="12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In June 2005, the Company and the Operating Partnership issued $100.0 million in unsecured trust preferred securities through a newly formed trust, SL Green Capital Trust I, or the Trust, which is a wholly owned subsidiary of the Operating Partnership. The securities mature in 2035 and bear interest at a floating rate of 26 basis points over the three-month Term SOFR. Interest payments may be deferred for a period of up to eight consecutive quarters if the Operating Partnership exercises its right to defer such payments. The Trust preferred securities are redeemable at the option of the Operating Partnership, in whole or in part, with no prepayment premium. We do not consolidate the Trust even though it is a variable interest entity as we are not the primary beneficiary. Because the Trust is not consolidated, we have recorded the debt on our consolidated balance sheets and the related payments are classified as interest expense.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Maturities</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Combined aggregate principal maturities of mortgages and other loans payable, the 2021 credit facility, trust preferred securities, senior unsecured notes and our share of joint venture debt as of December 31, 2024, including as-of-right extension options but excluding other extension options, were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Revolving</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Trust</w:t>
            </w:r>
          </w:p>
        </w:tc>
        <w:tc>
          <w:tcPr>
            <w:tcW w:w="160" w:type="dxa"/>
            <w:vAlign w:val="bottom"/>
          </w:tcPr>
          <w:p>
            <w:pPr>
              <w:spacing w:after="0"/>
              <w:rPr>
                <w:sz w:val="13"/>
                <w:szCs w:val="13"/>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Senior</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Company's</w:t>
            </w:r>
          </w:p>
        </w:tc>
        <w:tc>
          <w:tcPr>
            <w:tcW w:w="0" w:type="dxa"/>
            <w:vAlign w:val="bottom"/>
          </w:tcPr>
          <w:p>
            <w:pPr>
              <w:spacing w:after="0"/>
              <w:rPr>
                <w:sz w:val="1"/>
                <w:szCs w:val="1"/>
                <w:color w:val="auto"/>
              </w:rPr>
            </w:pPr>
          </w:p>
        </w:tc>
      </w:tr>
      <w:tr>
        <w:trPr>
          <w:trHeight w:val="143"/>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Unsecured Term</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5"/>
              <w:spacing w:after="0" w:line="143" w:lineRule="exact"/>
              <w:rPr>
                <w:sz w:val="20"/>
                <w:szCs w:val="20"/>
                <w:color w:val="auto"/>
              </w:rPr>
            </w:pPr>
            <w:r>
              <w:rPr>
                <w:rFonts w:ascii="Times New Roman" w:cs="Times New Roman" w:eastAsia="Times New Roman" w:hAnsi="Times New Roman"/>
                <w:sz w:val="14"/>
                <w:szCs w:val="14"/>
                <w:b w:val="1"/>
                <w:bCs w:val="1"/>
                <w:color w:val="auto"/>
                <w:w w:val="99"/>
              </w:rPr>
              <w:t>Share of Joint</w:t>
            </w: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Credit</w:t>
            </w: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Unsecured</w:t>
            </w:r>
          </w:p>
        </w:tc>
        <w:tc>
          <w:tcPr>
            <w:tcW w:w="240" w:type="dxa"/>
            <w:vAlign w:val="bottom"/>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960" w:type="dxa"/>
            <w:vAlign w:val="bottom"/>
          </w:tcPr>
          <w:p>
            <w:pPr>
              <w:jc w:val="center"/>
              <w:ind w:right="45"/>
              <w:spacing w:after="0" w:line="145" w:lineRule="exact"/>
              <w:rPr>
                <w:sz w:val="20"/>
                <w:szCs w:val="20"/>
                <w:color w:val="auto"/>
              </w:rPr>
            </w:pPr>
            <w:r>
              <w:rPr>
                <w:rFonts w:ascii="Times New Roman" w:cs="Times New Roman" w:eastAsia="Times New Roman" w:hAnsi="Times New Roman"/>
                <w:sz w:val="14"/>
                <w:szCs w:val="14"/>
                <w:b w:val="1"/>
                <w:bCs w:val="1"/>
                <w:color w:val="auto"/>
                <w:w w:val="97"/>
              </w:rPr>
              <w:t>Venture</w:t>
            </w: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Facility</w:t>
            </w:r>
          </w:p>
        </w:tc>
        <w:tc>
          <w:tcPr>
            <w:tcW w:w="22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7"/>
              </w:rPr>
              <w:t>Debt</w:t>
            </w:r>
          </w:p>
        </w:tc>
        <w:tc>
          <w:tcPr>
            <w:tcW w:w="0" w:type="dxa"/>
            <w:vAlign w:val="bottom"/>
          </w:tcPr>
          <w:p>
            <w:pPr>
              <w:spacing w:after="0"/>
              <w:rPr>
                <w:sz w:val="1"/>
                <w:szCs w:val="1"/>
                <w:color w:val="auto"/>
              </w:rPr>
            </w:pPr>
          </w:p>
        </w:tc>
      </w:tr>
      <w:tr>
        <w:trPr>
          <w:trHeight w:val="208"/>
        </w:trPr>
        <w:tc>
          <w:tcPr>
            <w:tcW w:w="1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373,551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473,551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1,198,400</w:t>
            </w:r>
          </w:p>
        </w:tc>
        <w:tc>
          <w:tcPr>
            <w:tcW w:w="0" w:type="dxa"/>
            <w:vAlign w:val="bottom"/>
          </w:tcPr>
          <w:p>
            <w:pPr>
              <w:spacing w:after="0"/>
              <w:rPr>
                <w:sz w:val="1"/>
                <w:szCs w:val="1"/>
                <w:color w:val="auto"/>
              </w:rPr>
            </w:pPr>
          </w:p>
        </w:tc>
      </w:tr>
      <w:tr>
        <w:trPr>
          <w:trHeight w:val="208"/>
        </w:trPr>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18"/>
                <w:szCs w:val="18"/>
                <w:color w:val="auto"/>
              </w:rPr>
            </w:pPr>
          </w:p>
        </w:tc>
        <w:tc>
          <w:tcPr>
            <w:tcW w:w="130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936,639</w:t>
            </w:r>
          </w:p>
        </w:tc>
        <w:tc>
          <w:tcPr>
            <w:tcW w:w="0" w:type="dxa"/>
            <w:vAlign w:val="bottom"/>
          </w:tcPr>
          <w:p>
            <w:pPr>
              <w:spacing w:after="0"/>
              <w:rPr>
                <w:sz w:val="1"/>
                <w:szCs w:val="1"/>
                <w:color w:val="auto"/>
              </w:rPr>
            </w:pPr>
          </w:p>
        </w:tc>
      </w:tr>
      <w:tr>
        <w:trPr>
          <w:trHeight w:val="212"/>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1,710,229</w:t>
            </w:r>
          </w:p>
        </w:tc>
        <w:tc>
          <w:tcPr>
            <w:tcW w:w="0" w:type="dxa"/>
            <w:vAlign w:val="bottom"/>
          </w:tcPr>
          <w:p>
            <w:pPr>
              <w:spacing w:after="0"/>
              <w:rPr>
                <w:sz w:val="1"/>
                <w:szCs w:val="1"/>
                <w:color w:val="auto"/>
              </w:rPr>
            </w:pPr>
          </w:p>
        </w:tc>
      </w:tr>
      <w:tr>
        <w:trPr>
          <w:trHeight w:val="208"/>
        </w:trPr>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18"/>
                <w:szCs w:val="18"/>
                <w:color w:val="auto"/>
              </w:rPr>
            </w:pPr>
          </w:p>
        </w:tc>
        <w:tc>
          <w:tcPr>
            <w:tcW w:w="130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382,294</w:t>
            </w:r>
          </w:p>
        </w:tc>
        <w:tc>
          <w:tcPr>
            <w:tcW w:w="0" w:type="dxa"/>
            <w:vAlign w:val="bottom"/>
          </w:tcPr>
          <w:p>
            <w:pPr>
              <w:spacing w:after="0"/>
              <w:rPr>
                <w:sz w:val="1"/>
                <w:szCs w:val="1"/>
                <w:color w:val="auto"/>
              </w:rPr>
            </w:pPr>
          </w:p>
        </w:tc>
      </w:tr>
      <w:tr>
        <w:trPr>
          <w:trHeight w:val="212"/>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Pr>
          <w:p>
            <w:pPr>
              <w:spacing w:after="0"/>
              <w:rPr>
                <w:sz w:val="18"/>
                <w:szCs w:val="18"/>
                <w:color w:val="auto"/>
              </w:rPr>
            </w:pPr>
          </w:p>
        </w:tc>
        <w:tc>
          <w:tcPr>
            <w:tcW w:w="130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1,800,300</w:t>
            </w:r>
          </w:p>
        </w:tc>
        <w:tc>
          <w:tcPr>
            <w:tcW w:w="0" w:type="dxa"/>
            <w:vAlign w:val="bottom"/>
          </w:tcPr>
          <w:p>
            <w:pPr>
              <w:spacing w:after="0"/>
              <w:rPr>
                <w:sz w:val="1"/>
                <w:szCs w:val="1"/>
                <w:color w:val="auto"/>
              </w:rPr>
            </w:pPr>
          </w:p>
        </w:tc>
      </w:tr>
      <w:tr>
        <w:trPr>
          <w:trHeight w:val="230"/>
        </w:trPr>
        <w:tc>
          <w:tcPr>
            <w:tcW w:w="1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1,951,024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3,621,024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6,027,862</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Consolidated interest expense, excluding capitalized interest, was comprised of the following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04"/>
        </w:trPr>
        <w:tc>
          <w:tcPr>
            <w:tcW w:w="7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before capitalized interest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196,334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166,493</w:t>
            </w: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financing leases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4,555</w:t>
            </w:r>
          </w:p>
        </w:tc>
      </w:tr>
      <w:tr>
        <w:trPr>
          <w:trHeight w:val="21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(50,148)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(82,444)</w:t>
            </w:r>
          </w:p>
        </w:tc>
      </w:tr>
      <w:tr>
        <w:trPr>
          <w:trHeight w:val="209"/>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discount on assumed debt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w:t>
            </w:r>
          </w:p>
        </w:tc>
      </w:tr>
      <w:tr>
        <w:trPr>
          <w:trHeight w:val="21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(3,962)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w:t>
            </w:r>
          </w:p>
        </w:tc>
      </w:tr>
      <w:tr>
        <w:trPr>
          <w:trHeight w:val="20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147,220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137,114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89,473</w:t>
            </w: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ind w:right="8600" w:firstLine="5"/>
        <w:spacing w:after="0" w:line="387" w:lineRule="auto"/>
        <w:tabs>
          <w:tab w:leader="none" w:pos="262"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One Vanderbilt Avenue Investment</w:t>
      </w:r>
    </w:p>
    <w:p>
      <w:pPr>
        <w:spacing w:after="0" w:line="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In December 2016, we entered into agreements with entities owned and controlled by our Chairman, Chief Executive Officer ("CEO") and Interim President, Marc Holliday, and our former President, Andrew Mathias, pursuant to which they agreed to make an investment in our One Vanderbilt project (inclusive of the property and SUMMIT One Vanderbilt) at the appraised fair market value for the interests acquired. This investment entitles these entities to receive a percentage of any profits realized by the Company from its One Vanderbilt project in excess of the Company's capital contributions, of approximately 1.27% and 0.85%, respectively, on account of the property and 1.92% and 1.28%, respectively, on account of SUMMIT One Vanderbilt. The entities had no right to any return of capital. Accordingly, subject to previously disclosed repurchase rights, these interests had no value and these entities were not entitled to any amounts (other than limited distributions to cover tax liabilities incurred) unless and until the Company received distributions from the One Vanderbilt project in excess of the Company's aggregate investment in the project. The entities owned and controlled by Messrs. Holliday and Mathias paid $1.4 million and $1.0 million, respectively, which equaled the fair market value of the interests acquired as of the date the investment agreements were entered into as determined by an independent third-party appraisal that we obtained.</w:t>
      </w:r>
    </w:p>
    <w:p>
      <w:pPr>
        <w:spacing w:after="0" w:line="77"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Messrs. Holliday and Mathias have the right to tender their interests in the project upon stabilization (50% within three years after stabilization and 100% three years or more after stabilization). In addition, the agreement calls for us to repurchase these interests in the event of a sale of One Vanderbilt or a transactional change of control of the Company. We also have the right to repurchase these interests on the seven-year anniversary of the stabilization of the project or upon the occurrence of certain separation events prior to the stabilization of the project relating to each of Messrs. Holliday's and Mathias's continued service with us. The price paid upon a tender of the interests will equal the liquidation value of the interests at the time, with the value based on the project's sale price, if applicable, or fair market value as determined by an independent third-party appraiser. In 2022, stabilization of the property (excluding SUMMIT One Vanderbilt) was achieved. Therefore, Messrs. Holiday and Mathias exercised their rights to tender 50% of their interests in the property (excluding SUMMIT One Vanderbilt) in July 2022. In 2023, stabilization of SUMMIT One Vanderbilt was achieved.</w:t>
      </w:r>
    </w:p>
    <w:p>
      <w:pPr>
        <w:spacing w:after="0" w:line="70"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As of December 31, 2024, Messrs. Holiday's and Mathias's remaining interests in the One Vanderbilt project are included in Preferred units and redeemable equity in the mezzanine equity section of the Company's consolidated financial statements.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One Vanderbilt Avenue Leases</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November 2018, we entered into a lease agreement with the One Vanderbilt Avenue joint venture covering certain floors at the property. In March 2021, the lease commenced and we relocated our corporate headquarters to the leased space. For the years ended December 31, 2024, 2023, and 2022 we recorded $3.0 million, $3.0 million, and $3.0 million, respectively, of rent expense under the lease.</w:t>
      </w:r>
    </w:p>
    <w:p>
      <w:pPr>
        <w:spacing w:after="0" w:line="57"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Additionally, in June 2021, we, through a consolidated subsidiary, entered into a lease agreement with the One Vanderbilt Avenue joint venture for SUMMIT One Vanderbilt, which commenced operations in October 2021. For the year ended December 31, 2024, we recorded $41.4 million of rent expense under the lease, including percentage rent, of which $27.7 million was recognized as income as a component of Equity in net loss from unconsolidated joint ventures in our consolidated statements of operations. For the year ended December 31, 2023, we recorded $38.9 million of rent expense under the lease, including percentage rent, of which $26.2 million was recognized as income as a component of Equity in net loss from unconsolidated joint ventures in our consolidated statements of operations. For the year ended December 31, 2022, we recorded $33.0 million of rent expense under the lease, including percentage rent, of which $22.8 million was recognized as income as a component of Equity in net loss from unconsolidated joint ventures in our consolidated statements of operations. See Note 20, "Commitments and Contingencies."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719 Seventh Avenue</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In April 2024, the Company entered into an arrangement to sell the property at 719 Seventh Avenue for $30.5 million to a special purpose entity ("SPE"), of which our former President and current director, Andrew Mathias, is a partner. No amounts from the transaction will be payable to Mr. Mathias. Mr. Mathias is initially expected to own up to 40% of the equity of the SPE, representing an investment by Mr. Mathias of up to approximately $7.0 million in the acquisition of the property. The transaction closed during the second quarter of 2024. See Note 4, "Properties Held for Sale and Property Dispositions."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760 Madison Avenue Condominium Unit</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July 2024, the Company entered into an agreement to sell one of the condominium units located at 760 Madison Avenue to an entity owned by a trust of which the beneficiaries are the family members of our Chairman, CEO and Interim President, Marc Holliday, for $8.4 million. The transaction is expected to close in the first quarter of 2025.</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We receive fees for providing management, leasing, construction supervision, and asset management services to certain of our joint ventures as further described in Note 6, "Investments in Unconsolidated Joint Ventures." Amounts due from joint ventures, inclusive of our ownership share of the joint ventures, and related parties as of December 31, 2024 and 2023 consisted of the following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7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from joint ventures</w:t>
            </w: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19,199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10,603</w:t>
            </w:r>
          </w:p>
        </w:tc>
      </w:tr>
      <w:tr>
        <w:trPr>
          <w:trHeight w:val="209"/>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w:t>
            </w:r>
          </w:p>
        </w:tc>
      </w:tr>
      <w:tr>
        <w:trPr>
          <w:trHeight w:val="229"/>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26,865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12,168</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Noncontrolling Interests on the Company's Consolidated Financial Statements</w:t>
      </w:r>
    </w:p>
    <w:p>
      <w:pPr>
        <w:spacing w:after="0" w:line="121" w:lineRule="exact"/>
        <w:rPr>
          <w:sz w:val="20"/>
          <w:szCs w:val="20"/>
          <w:color w:val="auto"/>
        </w:rPr>
      </w:pPr>
    </w:p>
    <w:p>
      <w:pPr>
        <w:jc w:val="both"/>
        <w:ind w:firstLine="393"/>
        <w:spacing w:after="0" w:line="274" w:lineRule="auto"/>
        <w:rPr>
          <w:sz w:val="20"/>
          <w:szCs w:val="20"/>
          <w:color w:val="auto"/>
        </w:rPr>
      </w:pPr>
      <w:r>
        <w:rPr>
          <w:rFonts w:ascii="Times New Roman" w:cs="Times New Roman" w:eastAsia="Times New Roman" w:hAnsi="Times New Roman"/>
          <w:sz w:val="17"/>
          <w:szCs w:val="17"/>
          <w:color w:val="auto"/>
        </w:rPr>
        <w:t>Noncontrolling interests represent the common and preferred units of limited partnership interest in the Operating Partnership not held by the Company as well as third party equity interests in our other consolidated subsidiaries. Noncontrolling interests in the Operating Partnership are shown in the mezzanine equity while the noncontrolling interests in our other consolidated subsidiaries are shown in the equity section of the Company's consolidated financial statements.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Units of Limited Partnership Interest in the Operating Partnership</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As of December 31, 2024 and 2023, the noncontrolling interest unit holders owned 5.97%, or 4,509,953 units, and 5.75%, or 3,949,448 units, of the Operating Partnership, respectively. As of December 31, 2024, 4,509,953 shares of our common stock were reserved for issuance upon the redemption of units of limited partnership interest of the Operating Partnership.</w:t>
      </w:r>
    </w:p>
    <w:p>
      <w:pPr>
        <w:spacing w:after="0" w:line="5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Noncontrolling interests in the Operating Partnership is recorded at the greater of its cost basis or fair market value based on the closing stock price of our common stock at the end of the reporting period.</w:t>
      </w:r>
    </w:p>
    <w:p>
      <w:pPr>
        <w:spacing w:after="0" w:line="4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Below is a summary of the activity relating to the noncontrolling interests in the Operating Partnership for the years ended December 31, 2024 and 2023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tcPr>
          <w:p>
            <w:pPr>
              <w:spacing w:after="0"/>
              <w:rPr>
                <w:sz w:val="18"/>
                <w:szCs w:val="18"/>
                <w:color w:val="auto"/>
              </w:rPr>
            </w:pPr>
          </w:p>
        </w:tc>
        <w:tc>
          <w:tcPr>
            <w:tcW w:w="17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238,051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269,993</w:t>
            </w:r>
          </w:p>
        </w:tc>
      </w:tr>
      <w:tr>
        <w:trPr>
          <w:trHeight w:val="209"/>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(14,779)</w:t>
            </w:r>
          </w:p>
        </w:tc>
      </w:tr>
      <w:tr>
        <w:trPr>
          <w:trHeight w:val="21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units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25,365</w:t>
            </w:r>
          </w:p>
        </w:tc>
      </w:tr>
      <w:tr>
        <w:trPr>
          <w:trHeight w:val="209"/>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and conversion of common units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(28,663)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(18,589)</w:t>
            </w:r>
          </w:p>
        </w:tc>
      </w:tr>
      <w:tr>
        <w:trPr>
          <w:trHeight w:val="21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(37,465)</w:t>
            </w:r>
          </w:p>
        </w:tc>
      </w:tr>
      <w:tr>
        <w:trPr>
          <w:trHeight w:val="209"/>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 allocation</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w:t>
            </w:r>
          </w:p>
        </w:tc>
      </w:tr>
      <w:tr>
        <w:trPr>
          <w:trHeight w:val="21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adjustment</w:t>
            </w: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72,030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15,486</w:t>
            </w:r>
          </w:p>
        </w:tc>
      </w:tr>
      <w:tr>
        <w:trPr>
          <w:trHeight w:val="204"/>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288,941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238,051</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Units of Limited Partnership Interest in the Operating Partnership</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Below is a summary of the preferred units of limited partnership interest in the Operating Partnership as of December 31, 2024:</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Stated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Liquidation</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Conversion</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400" w:type="dxa"/>
            <w:vAlign w:val="bottom"/>
            <w:gridSpan w:val="2"/>
            <w:vMerge w:val="continue"/>
          </w:tcPr>
          <w:p>
            <w:pPr>
              <w:spacing w:after="0"/>
              <w:rPr>
                <w:sz w:val="13"/>
                <w:szCs w:val="13"/>
                <w:color w:val="auto"/>
              </w:rPr>
            </w:pPr>
          </w:p>
        </w:tc>
        <w:tc>
          <w:tcPr>
            <w:tcW w:w="124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Units</w:t>
            </w:r>
          </w:p>
        </w:tc>
        <w:tc>
          <w:tcPr>
            <w:tcW w:w="1240" w:type="dxa"/>
            <w:vAlign w:val="bottom"/>
            <w:gridSpan w:val="2"/>
            <w:vMerge w:val="continue"/>
          </w:tcPr>
          <w:p>
            <w:pPr>
              <w:spacing w:after="0"/>
              <w:rPr>
                <w:sz w:val="13"/>
                <w:szCs w:val="13"/>
                <w:color w:val="auto"/>
              </w:rPr>
            </w:pPr>
          </w:p>
        </w:tc>
        <w:tc>
          <w:tcPr>
            <w:tcW w:w="126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8"/>
              </w:rPr>
              <w:t>Units</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Dividend Per</w:t>
            </w:r>
          </w:p>
        </w:tc>
        <w:tc>
          <w:tcPr>
            <w:tcW w:w="124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Preference Per</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7"/>
              </w:rPr>
              <w:t>Price Per</w:t>
            </w:r>
          </w:p>
        </w:tc>
        <w:tc>
          <w:tcPr>
            <w:tcW w:w="13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Date of Issuance</w:t>
            </w:r>
          </w:p>
        </w:tc>
        <w:tc>
          <w:tcPr>
            <w:tcW w:w="0" w:type="dxa"/>
            <w:vAlign w:val="bottom"/>
          </w:tcPr>
          <w:p>
            <w:pPr>
              <w:spacing w:after="0"/>
              <w:rPr>
                <w:sz w:val="1"/>
                <w:szCs w:val="1"/>
                <w:color w:val="auto"/>
              </w:rPr>
            </w:pPr>
          </w:p>
        </w:tc>
      </w:tr>
      <w:tr>
        <w:trPr>
          <w:trHeight w:val="210"/>
        </w:trPr>
        <w:tc>
          <w:tcPr>
            <w:tcW w:w="1100" w:type="dxa"/>
            <w:vAlign w:val="bottom"/>
            <w:gridSpan w:val="2"/>
            <w:vMerge w:val="continue"/>
          </w:tcPr>
          <w:p>
            <w:pPr>
              <w:spacing w:after="0"/>
              <w:rPr>
                <w:sz w:val="18"/>
                <w:szCs w:val="18"/>
                <w:color w:val="auto"/>
              </w:rPr>
            </w:pPr>
          </w:p>
        </w:tc>
        <w:tc>
          <w:tcPr>
            <w:tcW w:w="14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Distribution Rate</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Units Issued</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20" w:type="dxa"/>
            <w:vAlign w:val="bottom"/>
          </w:tcPr>
          <w:p>
            <w:pPr>
              <w:spacing w:after="0"/>
              <w:rPr>
                <w:sz w:val="18"/>
                <w:szCs w:val="18"/>
                <w:color w:val="auto"/>
              </w:rPr>
            </w:pPr>
          </w:p>
        </w:tc>
        <w:tc>
          <w:tcPr>
            <w:tcW w:w="1140" w:type="dxa"/>
            <w:vAlign w:val="bottom"/>
            <w:gridSpan w:val="2"/>
          </w:tcPr>
          <w:p>
            <w:pPr>
              <w:jc w:val="center"/>
              <w:ind w:right="240"/>
              <w:spacing w:after="0" w:line="209" w:lineRule="exact"/>
              <w:rPr>
                <w:sz w:val="20"/>
                <w:szCs w:val="20"/>
                <w:color w:val="auto"/>
              </w:rPr>
            </w:pPr>
            <w:r>
              <w:rPr>
                <w:rFonts w:ascii="Times New Roman" w:cs="Times New Roman" w:eastAsia="Times New Roman" w:hAnsi="Times New Roman"/>
                <w:sz w:val="16"/>
                <w:szCs w:val="16"/>
                <w:b w:val="1"/>
                <w:bCs w:val="1"/>
                <w:color w:val="auto"/>
                <w:w w:val="91"/>
              </w:rPr>
              <w:t>Unit</w:t>
            </w:r>
            <w:r>
              <w:rPr>
                <w:rFonts w:ascii="Times New Roman" w:cs="Times New Roman" w:eastAsia="Times New Roman" w:hAnsi="Times New Roman"/>
                <w:sz w:val="20"/>
                <w:szCs w:val="20"/>
                <w:b w:val="1"/>
                <w:bCs w:val="1"/>
                <w:color w:val="auto"/>
                <w:w w:val="91"/>
                <w:vertAlign w:val="superscript"/>
              </w:rPr>
              <w:t>(1)</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line="209" w:lineRule="exact"/>
              <w:rPr>
                <w:sz w:val="20"/>
                <w:szCs w:val="20"/>
                <w:color w:val="auto"/>
              </w:rPr>
            </w:pPr>
            <w:r>
              <w:rPr>
                <w:rFonts w:ascii="Times New Roman" w:cs="Times New Roman" w:eastAsia="Times New Roman" w:hAnsi="Times New Roman"/>
                <w:sz w:val="16"/>
                <w:szCs w:val="16"/>
                <w:b w:val="1"/>
                <w:bCs w:val="1"/>
                <w:color w:val="auto"/>
                <w:w w:val="91"/>
              </w:rPr>
              <w:t>Unit</w:t>
            </w:r>
            <w:r>
              <w:rPr>
                <w:rFonts w:ascii="Times New Roman" w:cs="Times New Roman" w:eastAsia="Times New Roman" w:hAnsi="Times New Roman"/>
                <w:sz w:val="20"/>
                <w:szCs w:val="20"/>
                <w:b w:val="1"/>
                <w:bCs w:val="1"/>
                <w:color w:val="auto"/>
                <w:w w:val="91"/>
                <w:vertAlign w:val="superscript"/>
              </w:rPr>
              <w:t>(2)</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line="209" w:lineRule="exact"/>
              <w:rPr>
                <w:sz w:val="20"/>
                <w:szCs w:val="20"/>
                <w:color w:val="auto"/>
              </w:rPr>
            </w:pPr>
            <w:r>
              <w:rPr>
                <w:rFonts w:ascii="Times New Roman" w:cs="Times New Roman" w:eastAsia="Times New Roman" w:hAnsi="Times New Roman"/>
                <w:sz w:val="16"/>
                <w:szCs w:val="16"/>
                <w:b w:val="1"/>
                <w:bCs w:val="1"/>
                <w:color w:val="auto"/>
                <w:w w:val="91"/>
              </w:rPr>
              <w:t>Unit</w:t>
            </w:r>
            <w:r>
              <w:rPr>
                <w:rFonts w:ascii="Times New Roman" w:cs="Times New Roman" w:eastAsia="Times New Roman" w:hAnsi="Times New Roman"/>
                <w:sz w:val="20"/>
                <w:szCs w:val="20"/>
                <w:b w:val="1"/>
                <w:bCs w:val="1"/>
                <w:color w:val="auto"/>
                <w:w w:val="91"/>
                <w:vertAlign w:val="superscript"/>
              </w:rPr>
              <w:t>(3)</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Series A </w:t>
            </w:r>
            <w:r>
              <w:rPr>
                <w:rFonts w:ascii="Times New Roman" w:cs="Times New Roman" w:eastAsia="Times New Roman" w:hAnsi="Times New Roman"/>
                <w:sz w:val="20"/>
                <w:szCs w:val="20"/>
                <w:color w:val="auto"/>
                <w:vertAlign w:val="superscript"/>
              </w:rPr>
              <w:t>(4)</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rPr>
              <w:t>6.00 %</w:t>
            </w:r>
          </w:p>
        </w:tc>
        <w:tc>
          <w:tcPr>
            <w:tcW w:w="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109,161</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109,161</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109,161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2015</w:t>
            </w:r>
          </w:p>
        </w:tc>
        <w:tc>
          <w:tcPr>
            <w:tcW w:w="0" w:type="dxa"/>
            <w:vAlign w:val="bottom"/>
          </w:tcPr>
          <w:p>
            <w:pPr>
              <w:spacing w:after="0"/>
              <w:rPr>
                <w:sz w:val="1"/>
                <w:szCs w:val="1"/>
                <w:color w:val="auto"/>
              </w:rPr>
            </w:pPr>
          </w:p>
        </w:tc>
      </w:tr>
      <w:tr>
        <w:trPr>
          <w:trHeight w:val="20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F</w:t>
            </w:r>
          </w:p>
        </w:tc>
        <w:tc>
          <w:tcPr>
            <w:tcW w:w="132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rPr>
              <w:t>7.00 %</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2007</w:t>
            </w:r>
          </w:p>
        </w:tc>
        <w:tc>
          <w:tcPr>
            <w:tcW w:w="0" w:type="dxa"/>
            <w:vAlign w:val="bottom"/>
          </w:tcPr>
          <w:p>
            <w:pPr>
              <w:spacing w:after="0"/>
              <w:rPr>
                <w:sz w:val="1"/>
                <w:szCs w:val="1"/>
                <w:color w:val="auto"/>
              </w:rPr>
            </w:pPr>
          </w:p>
        </w:tc>
      </w:tr>
      <w:tr>
        <w:trPr>
          <w:trHeight w:val="212"/>
        </w:trPr>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K</w:t>
            </w:r>
          </w:p>
        </w:tc>
        <w:tc>
          <w:tcPr>
            <w:tcW w:w="132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rPr>
              <w:t>3.50 %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563,954</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2014</w:t>
            </w:r>
          </w:p>
        </w:tc>
        <w:tc>
          <w:tcPr>
            <w:tcW w:w="0" w:type="dxa"/>
            <w:vAlign w:val="bottom"/>
          </w:tcPr>
          <w:p>
            <w:pPr>
              <w:spacing w:after="0"/>
              <w:rPr>
                <w:sz w:val="1"/>
                <w:szCs w:val="1"/>
                <w:color w:val="auto"/>
              </w:rPr>
            </w:pPr>
          </w:p>
        </w:tc>
      </w:tr>
      <w:tr>
        <w:trPr>
          <w:trHeight w:val="223"/>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L</w:t>
            </w:r>
          </w:p>
        </w:tc>
        <w:tc>
          <w:tcPr>
            <w:tcW w:w="132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rPr>
              <w:t>4.00 %</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378,634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2014</w:t>
            </w:r>
          </w:p>
        </w:tc>
        <w:tc>
          <w:tcPr>
            <w:tcW w:w="0" w:type="dxa"/>
            <w:vAlign w:val="bottom"/>
          </w:tcPr>
          <w:p>
            <w:pPr>
              <w:spacing w:after="0"/>
              <w:rPr>
                <w:sz w:val="1"/>
                <w:szCs w:val="1"/>
                <w:color w:val="auto"/>
              </w:rPr>
            </w:pPr>
          </w:p>
        </w:tc>
      </w:tr>
      <w:tr>
        <w:trPr>
          <w:trHeight w:val="210"/>
        </w:trPr>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R</w:t>
            </w:r>
          </w:p>
        </w:tc>
        <w:tc>
          <w:tcPr>
            <w:tcW w:w="132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rPr>
              <w:t>3.50 %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154.89</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2015</w:t>
            </w:r>
          </w:p>
        </w:tc>
        <w:tc>
          <w:tcPr>
            <w:tcW w:w="0" w:type="dxa"/>
            <w:vAlign w:val="bottom"/>
          </w:tcPr>
          <w:p>
            <w:pPr>
              <w:spacing w:after="0"/>
              <w:rPr>
                <w:sz w:val="1"/>
                <w:szCs w:val="1"/>
                <w:color w:val="auto"/>
              </w:rPr>
            </w:pPr>
          </w:p>
        </w:tc>
      </w:tr>
      <w:tr>
        <w:trPr>
          <w:trHeight w:val="208"/>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Series S</w:t>
            </w:r>
          </w:p>
        </w:tc>
        <w:tc>
          <w:tcPr>
            <w:tcW w:w="132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rPr>
              <w:t>4.00 %</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1,077,280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1,077,280</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1,077,280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2015</w:t>
            </w:r>
          </w:p>
        </w:tc>
        <w:tc>
          <w:tcPr>
            <w:tcW w:w="0" w:type="dxa"/>
            <w:vAlign w:val="bottom"/>
          </w:tcPr>
          <w:p>
            <w:pPr>
              <w:spacing w:after="0"/>
              <w:rPr>
                <w:sz w:val="1"/>
                <w:szCs w:val="1"/>
                <w:color w:val="auto"/>
              </w:rPr>
            </w:pPr>
          </w:p>
        </w:tc>
      </w:tr>
      <w:tr>
        <w:trPr>
          <w:trHeight w:val="212"/>
        </w:trPr>
        <w:tc>
          <w:tcPr>
            <w:tcW w:w="1100" w:type="dxa"/>
            <w:vAlign w:val="bottom"/>
            <w:gridSpan w:val="2"/>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Series V </w:t>
            </w:r>
            <w:r>
              <w:rPr>
                <w:rFonts w:ascii="Times New Roman" w:cs="Times New Roman" w:eastAsia="Times New Roman" w:hAnsi="Times New Roman"/>
                <w:sz w:val="20"/>
                <w:szCs w:val="20"/>
                <w:color w:val="auto"/>
                <w:vertAlign w:val="superscript"/>
              </w:rPr>
              <w:t>(5)</w:t>
            </w:r>
          </w:p>
        </w:tc>
        <w:tc>
          <w:tcPr>
            <w:tcW w:w="1320" w:type="dxa"/>
            <w:vAlign w:val="bottom"/>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rPr>
              <w:t>5.00 %</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2019</w:t>
            </w:r>
          </w:p>
        </w:tc>
        <w:tc>
          <w:tcPr>
            <w:tcW w:w="0" w:type="dxa"/>
            <w:vAlign w:val="bottom"/>
          </w:tcPr>
          <w:p>
            <w:pPr>
              <w:spacing w:after="0"/>
              <w:rPr>
                <w:sz w:val="1"/>
                <w:szCs w:val="1"/>
                <w:color w:val="auto"/>
              </w:rPr>
            </w:pPr>
          </w:p>
        </w:tc>
      </w:tr>
      <w:tr>
        <w:trPr>
          <w:trHeight w:val="272"/>
        </w:trPr>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Series W </w:t>
            </w:r>
            <w:r>
              <w:rPr>
                <w:rFonts w:ascii="Times New Roman" w:cs="Times New Roman" w:eastAsia="Times New Roman" w:hAnsi="Times New Roman"/>
                <w:sz w:val="20"/>
                <w:szCs w:val="20"/>
                <w:color w:val="auto"/>
                <w:vertAlign w:val="superscript"/>
              </w:rPr>
              <w:t>(6)</w:t>
            </w:r>
          </w:p>
        </w:tc>
        <w:tc>
          <w:tcPr>
            <w:tcW w:w="132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w w:val="96"/>
              </w:rPr>
              <w:t>(6)</w:t>
            </w:r>
          </w:p>
        </w:tc>
        <w:tc>
          <w:tcPr>
            <w:tcW w:w="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2020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00" w:hanging="395"/>
        <w:spacing w:after="0"/>
        <w:tabs>
          <w:tab w:leader="none" w:pos="4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are cumulative, subject to certain provisions.</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are redeemable at any time at par for cash at the option of the unit holder unless otherwise specified.</w:t>
      </w:r>
    </w:p>
    <w:p>
      <w:pPr>
        <w:spacing w:after="0" w:line="5" w:lineRule="exact"/>
        <w:rPr>
          <w:rFonts w:ascii="Times New Roman" w:cs="Times New Roman" w:eastAsia="Times New Roman" w:hAnsi="Times New Roman"/>
          <w:sz w:val="14"/>
          <w:szCs w:val="14"/>
          <w:color w:val="auto"/>
        </w:rPr>
      </w:pPr>
    </w:p>
    <w:p>
      <w:pPr>
        <w:ind w:left="400" w:hanging="395"/>
        <w:spacing w:after="0" w:line="254" w:lineRule="auto"/>
        <w:tabs>
          <w:tab w:leader="none" w:pos="39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units are convertible into a number of common units of limited partnership interest in the Operating Partnership equal to (i) the liquidation preference plus accumulated and unpaid distributions on the conversion date divided by (ii) the amount shown in the table.</w:t>
      </w:r>
    </w:p>
    <w:p>
      <w:pPr>
        <w:ind w:left="400" w:hanging="395"/>
        <w:spacing w:after="0"/>
        <w:tabs>
          <w:tab w:leader="none" w:pos="4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through a consolidated subsidiary. The units are redeemable at any time after December 13, 2024 at par for cash at the option of the unit holder.</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V Preferred Units are redeemable at any time after January 1, 2025 at par for cash at the option of the unit holder.</w:t>
      </w:r>
    </w:p>
    <w:p>
      <w:pPr>
        <w:jc w:val="both"/>
        <w:ind w:left="400" w:hanging="395"/>
        <w:spacing w:after="0" w:line="256" w:lineRule="auto"/>
        <w:tabs>
          <w:tab w:leader="none" w:pos="392"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W preferred unit was issued in January 2020 in exchange for the then-outstanding Series O preferred unit. The holder of the Series W preferred unit is entitled to quarterly dividends in an amount calculated as (i) 1,350 multiplied by (ii) the current distribution per common unit of limited partnership in SL Green Operating Partnership. The holder has the right to require the Operating Partnership to repurchase the Series W unit for cash, or convert the Series W unit for Class B units, in each case at a price that is determined based on the closing price of the Company's common stock at the time such right is exercised. The unit's liquidation preference is the fair market value of the unit plus accrued distributions at the time of a liquidation event.</w:t>
      </w:r>
    </w:p>
    <w:p>
      <w:pPr>
        <w:spacing w:after="0" w:line="219" w:lineRule="exact"/>
        <w:rPr>
          <w:sz w:val="20"/>
          <w:szCs w:val="20"/>
          <w:color w:val="auto"/>
        </w:rPr>
      </w:pPr>
    </w:p>
    <w:p>
      <w:pPr>
        <w:ind w:firstLine="393"/>
        <w:spacing w:after="0" w:line="268" w:lineRule="auto"/>
        <w:rPr>
          <w:sz w:val="20"/>
          <w:szCs w:val="20"/>
          <w:color w:val="auto"/>
        </w:rPr>
      </w:pPr>
      <w:r>
        <w:rPr>
          <w:rFonts w:ascii="Times New Roman" w:cs="Times New Roman" w:eastAsia="Times New Roman" w:hAnsi="Times New Roman"/>
          <w:sz w:val="17"/>
          <w:szCs w:val="17"/>
          <w:color w:val="auto"/>
        </w:rPr>
        <w:t>Below is a summary of the activity relating to the preferred units in the Operating Partnership for the years ended December 31, 2024 and 2023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18"/>
                <w:szCs w:val="18"/>
                <w:color w:val="auto"/>
              </w:rPr>
            </w:pPr>
          </w:p>
        </w:tc>
        <w:tc>
          <w:tcPr>
            <w:tcW w:w="154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5"/>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166,501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177,943</w:t>
            </w: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preferred units</w:t>
            </w:r>
          </w:p>
        </w:tc>
        <w:tc>
          <w:tcPr>
            <w:tcW w:w="1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preferred units</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(11,700)</w:t>
            </w: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paid on preferred units</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(6,271)</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dividends on preferred units</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4,665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6,529</w:t>
            </w:r>
          </w:p>
        </w:tc>
      </w:tr>
      <w:tr>
        <w:trPr>
          <w:trHeight w:val="202"/>
        </w:trPr>
        <w:tc>
          <w:tcPr>
            <w:tcW w:w="7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164,210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166,501</w:t>
            </w:r>
          </w:p>
        </w:tc>
      </w:tr>
    </w:tbl>
    <w:p>
      <w:pPr>
        <w:spacing w:after="0" w:line="163" w:lineRule="exact"/>
        <w:rPr>
          <w:sz w:val="20"/>
          <w:szCs w:val="20"/>
          <w:color w:val="auto"/>
        </w:rPr>
      </w:pPr>
    </w:p>
    <w:p>
      <w:pPr>
        <w:ind w:right="8160" w:firstLine="5"/>
        <w:spacing w:after="0" w:line="387" w:lineRule="auto"/>
        <w:tabs>
          <w:tab w:leader="none" w:pos="262"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of the Company Common Stock</w:t>
      </w:r>
    </w:p>
    <w:p>
      <w:pPr>
        <w:spacing w:after="0" w:line="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Our authorized capital stock consists of 260,000,000 shares, $0.01 par value per share, consisting of 160,000,000 shares of common stock, $0.01 par value per share, 75,000,000 shares of excess stock, at $0.01 par value per share, and 25,000,000 shares of preferred stock, par value $0.01 per share. As of December 31, 2024, 71,096,743 shares of common stock and no shares of excess stock were issued and outstanding.</w:t>
      </w:r>
    </w:p>
    <w:p>
      <w:pPr>
        <w:spacing w:after="0" w:line="57"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In November 2024, the Company completed an offering of 5,063,291 shares of its common stock, par value $0.01 per share, at a price of $79.00 per share. The Company received net proceeds of approximately $386.3 million, after deducting offering expenses. The net proceeds from these offerings were contributed to the Operating Partnership in exchange for 5,063,291 common units of limited partnership interest and were used to repay debt, fund new investments and for other corporate purposes.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 Program</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Board of Directors approved a $3.5 billion share repurchase program under which we can buy shares of our common stock.</w:t>
      </w:r>
    </w:p>
    <w:p>
      <w:pPr>
        <w:spacing w:after="0" w:line="106" w:lineRule="exact"/>
        <w:rPr>
          <w:sz w:val="20"/>
          <w:szCs w:val="20"/>
          <w:color w:val="auto"/>
        </w:rPr>
      </w:pPr>
    </w:p>
    <w:p>
      <w:pPr>
        <w:jc w:val="both"/>
        <w:ind w:firstLine="393"/>
        <w:spacing w:after="0" w:line="281" w:lineRule="auto"/>
        <w:rPr>
          <w:sz w:val="20"/>
          <w:szCs w:val="20"/>
          <w:color w:val="auto"/>
        </w:rPr>
      </w:pPr>
      <w:r>
        <w:rPr>
          <w:rFonts w:ascii="Times New Roman" w:cs="Times New Roman" w:eastAsia="Times New Roman" w:hAnsi="Times New Roman"/>
          <w:sz w:val="17"/>
          <w:szCs w:val="17"/>
          <w:color w:val="auto"/>
        </w:rPr>
        <w:t>As of December 31, 2024, 36,107,719 shares have been repurchased under the program, excluding the redemption of OP units. We did not repurchase any shares under the program during the year ended December 31,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Perpetual Preferred Stock</w:t>
      </w:r>
    </w:p>
    <w:p>
      <w:pPr>
        <w:spacing w:after="0" w:line="121"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We have 9,200,000 shares of our 6.50% Series I Cumulative Redeemable Preferred Stock, or the Series I Preferred Stock, outstanding with a mandatory liquidation preference of $25.00 per share. The Series I Preferred stockholders receive annual dividends of $1.625 per share paid on a quarterly basis and dividends are cumulative, subject to certain provisions. We are entitled to redeem the Series I Preferred Stock at any time, in whole or from time to time in part, at par for cash. In August 2012, we received $221.9 million in net proceeds from the issuance of the Series I Preferred Stock, which were recorded net of underwriters' discount and issuance costs, and contributed the net proceeds to the Operating Partnership in exchange for 9,200,000 units of 6.50% Series I Cumulative Redeemable Preferred Units of limited partnership interest, or the Series I Preferred Units.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Reinvestment and Stock Purchase Plan ("DRSPP")</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February 2024, the Company filed a registration statement with the SEC for our dividend reinvestment and stock purchase plan, or DRSPP, which automatically became effective upon filing. The Company registered 3,500,000 shares of our common stock under the DRSPP. The DRSPP commenced on September 24, 2001.</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SL Green common stock issued, and proceeds received from dividend reinvestments and/or stock purchases under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DRSPP for the years ended December 31, 2024, 2023, and 2022, respectively (dollars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040" w:type="dxa"/>
            <w:vAlign w:val="bottom"/>
            <w:tcBorders>
              <w:bottom w:val="single" w:sz="8" w:color="auto"/>
            </w:tcBorders>
          </w:tcPr>
          <w:p>
            <w:pPr>
              <w:spacing w:after="0"/>
              <w:rPr>
                <w:sz w:val="18"/>
                <w:szCs w:val="18"/>
                <w:color w:val="auto"/>
              </w:rPr>
            </w:pPr>
          </w:p>
        </w:tc>
      </w:tr>
      <w:tr>
        <w:trPr>
          <w:trHeight w:val="204"/>
        </w:trPr>
        <w:tc>
          <w:tcPr>
            <w:tcW w:w="69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common stock issued</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728,352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17,180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10,839</w:t>
            </w:r>
          </w:p>
        </w:tc>
      </w:tr>
      <w:tr>
        <w:trPr>
          <w:trHeight w:val="206"/>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reinvestments/stock purchases under the DRSPP</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52,308</w:t>
            </w: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use the two-class method of computing earnings per share (“EPS”), which is an earnings allocation formula that determines EPS for common stock and any participating securities according to dividends declared (whether paid or unpaid). Under the two-class method, basic EPS is computed by dividing the income available to common stockholders by the weighted-average number of common stock shares outstanding for the period. Diluted EPS reflects the potential dilution that could occur from share equivalent activity.</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SL Green's earnings per share for the years ended December 31, 2024, 2023, and 2022 are computed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attributable to SL Green common stockholders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7,060</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(579,509)</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(93,024)</w:t>
            </w: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Less: distributed earnings allocated to participating securities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0" w:type="dxa"/>
            <w:vAlign w:val="bottom"/>
          </w:tcPr>
          <w:p>
            <w:pPr>
              <w:spacing w:after="0"/>
              <w:rPr>
                <w:sz w:val="1"/>
                <w:szCs w:val="1"/>
                <w:color w:val="auto"/>
              </w:rPr>
            </w:pPr>
          </w:p>
        </w:tc>
      </w:tr>
      <w:tr>
        <w:trPr>
          <w:trHeight w:val="209"/>
        </w:trPr>
        <w:tc>
          <w:tcPr>
            <w:tcW w:w="6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Less: undistributed earnings allocated to participating securities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69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Net income (loss) attributable to SL Green common stockholders (numerator for basic earnings per share)</w:t>
            </w: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5,161</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(582,164)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(95,243)</w:t>
            </w:r>
          </w:p>
        </w:tc>
        <w:tc>
          <w:tcPr>
            <w:tcW w:w="0" w:type="dxa"/>
            <w:vAlign w:val="bottom"/>
          </w:tcPr>
          <w:p>
            <w:pPr>
              <w:spacing w:after="0"/>
              <w:rPr>
                <w:sz w:val="1"/>
                <w:szCs w:val="1"/>
                <w:color w:val="auto"/>
              </w:rPr>
            </w:pPr>
          </w:p>
        </w:tc>
      </w:tr>
      <w:tr>
        <w:trPr>
          <w:trHeight w:val="157"/>
        </w:trPr>
        <w:tc>
          <w:tcPr>
            <w:tcW w:w="6940" w:type="dxa"/>
            <w:vAlign w:val="bottom"/>
          </w:tcPr>
          <w:p>
            <w:pPr>
              <w:ind w:left="380"/>
              <w:spacing w:after="0" w:line="158" w:lineRule="exact"/>
              <w:rPr>
                <w:sz w:val="20"/>
                <w:szCs w:val="20"/>
                <w:color w:val="auto"/>
              </w:rPr>
            </w:pPr>
            <w:r>
              <w:rPr>
                <w:rFonts w:ascii="Times New Roman" w:cs="Times New Roman" w:eastAsia="Times New Roman" w:hAnsi="Times New Roman"/>
                <w:sz w:val="16"/>
                <w:szCs w:val="16"/>
                <w:color w:val="auto"/>
              </w:rPr>
              <w:t>Add back: dilutive effect of earnings allocated to participating securities and contingently issuable</w:t>
            </w:r>
          </w:p>
        </w:tc>
        <w:tc>
          <w:tcPr>
            <w:tcW w:w="320" w:type="dxa"/>
            <w:vAlign w:val="bottom"/>
          </w:tcPr>
          <w:p>
            <w:pPr>
              <w:spacing w:after="0"/>
              <w:rPr>
                <w:sz w:val="13"/>
                <w:szCs w:val="13"/>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3"/>
                <w:szCs w:val="13"/>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w:t>
            </w:r>
          </w:p>
        </w:tc>
        <w:tc>
          <w:tcPr>
            <w:tcW w:w="3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 back: undistributed earnings allocated to participating securities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6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 back: effect of dilutive securities (redemption of units to common shares)</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(5,794)</w:t>
            </w:r>
          </w:p>
        </w:tc>
        <w:tc>
          <w:tcPr>
            <w:tcW w:w="0" w:type="dxa"/>
            <w:vAlign w:val="bottom"/>
          </w:tcPr>
          <w:p>
            <w:pPr>
              <w:spacing w:after="0"/>
              <w:rPr>
                <w:sz w:val="1"/>
                <w:szCs w:val="1"/>
                <w:color w:val="auto"/>
              </w:rPr>
            </w:pPr>
          </w:p>
        </w:tc>
      </w:tr>
      <w:tr>
        <w:trPr>
          <w:trHeight w:val="229"/>
        </w:trPr>
        <w:tc>
          <w:tcPr>
            <w:tcW w:w="6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attributable to SL Green common stockholders (numerator for diluted earnings per share)</w:t>
            </w: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(619,629)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(101,037)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40" w:type="dxa"/>
            <w:vAlign w:val="bottom"/>
          </w:tcPr>
          <w:p>
            <w:pPr>
              <w:spacing w:after="0"/>
              <w:rPr>
                <w:sz w:val="18"/>
                <w:szCs w:val="18"/>
                <w:color w:val="auto"/>
              </w:rPr>
            </w:pPr>
          </w:p>
        </w:tc>
        <w:tc>
          <w:tcPr>
            <w:tcW w:w="324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07"/>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3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Shares:</w:t>
            </w: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9"/>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common stock outstanding</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65,062</w:t>
            </w:r>
          </w:p>
        </w:tc>
        <w:tc>
          <w:tcPr>
            <w:tcW w:w="12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63,809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63,917</w:t>
            </w: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Partnership units redeemable for common shares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4,012</w:t>
            </w:r>
          </w:p>
        </w:tc>
      </w:tr>
      <w:tr>
        <w:trPr>
          <w:trHeight w:val="211"/>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626</w:t>
            </w:r>
          </w:p>
        </w:tc>
        <w:tc>
          <w:tcPr>
            <w:tcW w:w="12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stock outstanding</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65,688</w:t>
            </w: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67,972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67,929</w:t>
            </w:r>
          </w:p>
        </w:tc>
      </w:tr>
      <w:tr>
        <w:trPr>
          <w:trHeight w:val="20"/>
        </w:trPr>
        <w:tc>
          <w:tcPr>
            <w:tcW w:w="6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Company has excluded 4,717,759 common stock equivalents from the calculation of diluted shares outstanding for the year ended December 31, 2024. The Company has excluded 1,273,417 and 1,682,236 of common stock equivalents from the calculation of diluted shares outstanding for the years ended December 31, 2023 and 2022,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Partners' Capital of the Operating Partnership</w:t>
      </w:r>
    </w:p>
    <w:p>
      <w:pPr>
        <w:spacing w:after="0" w:line="121" w:lineRule="exact"/>
        <w:rPr>
          <w:sz w:val="20"/>
          <w:szCs w:val="20"/>
          <w:color w:val="auto"/>
        </w:rPr>
      </w:pPr>
    </w:p>
    <w:p>
      <w:pPr>
        <w:jc w:val="both"/>
        <w:ind w:firstLine="393"/>
        <w:spacing w:after="0" w:line="261" w:lineRule="auto"/>
        <w:rPr>
          <w:sz w:val="20"/>
          <w:szCs w:val="20"/>
          <w:color w:val="auto"/>
        </w:rPr>
      </w:pPr>
      <w:r>
        <w:rPr>
          <w:rFonts w:ascii="Times New Roman" w:cs="Times New Roman" w:eastAsia="Times New Roman" w:hAnsi="Times New Roman"/>
          <w:sz w:val="17"/>
          <w:szCs w:val="17"/>
          <w:color w:val="auto"/>
        </w:rPr>
        <w:t>The Company is the sole managing general partner of the Operating Partnership and as of December 31, 2024 owned 71,096,743 general and limited partnership interests in the Operating Partnership and 9,200,000 Series I Preferred Units. Partnership interests in the Operating Partnership are denominated as “common units of limited partnership interest” (also referred to as “OP Units”) or “preferred units of limited partnership interest” (also referred to as “Preferred Units”). All references to OP Units and Preferred Units outstanding exclude such units held by the Company. A holder of an OP Unit may present such OP Unit to the Operating Partnership for redemption at any time (subject to restrictions agreed upon at the issuance of OP Units to particular holders that may restrict such right for a period of time, generally one year from issuance). Upon presentation of an OP Unit for redemption, the Operating Partnership must redeem such OP Unit in exchange for the cash equal to the then value of a share of common stock of the Company, except that the Company may, at its election, in lieu of cash redemption, acquire such OP Unit for one share of common stock. Because the number of shares of common stock outstanding at all times equals the number of OP Units that the Company owns, one share of common stock is generally the economic equivalent of one OP Unit, and the quarterly distribution that may be paid to the holder of an OP Unit equals the quarterly dividend that may be paid to the holder of a share of common stock. Each series of Preferred Units makes a distribution that is set in accordance with an amendment to the partnership agreement of the Operating Partnership. Preferred Units may also be convertible into OP Units at the election of the holder thereof or the Company, subject to the terms of such Preferred Units.</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Net income (loss) allocated to the preferred unitholders and common unitholders reflects their pro rata share of net income (loss) and distributions.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Limited Partner Units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December 31, 2024, limited partners other than SL Green owned 5.97%, or 4,509,953 common units, of the Operating Partnership.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Units</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Preferred units not owned by SL Green are further described in Note 11, “Noncontrolling Interests on the Company's Consolidated Financial Statements - Preferred Units of Limited Partnership Interest in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Earnings per Unit</w:t>
      </w:r>
    </w:p>
    <w:p>
      <w:pPr>
        <w:spacing w:after="0" w:line="121" w:lineRule="exact"/>
        <w:rPr>
          <w:sz w:val="20"/>
          <w:szCs w:val="20"/>
          <w:color w:val="auto"/>
        </w:rPr>
      </w:pPr>
    </w:p>
    <w:p>
      <w:pPr>
        <w:jc w:val="both"/>
        <w:ind w:firstLine="433"/>
        <w:spacing w:after="0" w:line="268" w:lineRule="auto"/>
        <w:rPr>
          <w:sz w:val="20"/>
          <w:szCs w:val="20"/>
          <w:color w:val="auto"/>
        </w:rPr>
      </w:pPr>
      <w:r>
        <w:rPr>
          <w:rFonts w:ascii="Times New Roman" w:cs="Times New Roman" w:eastAsia="Times New Roman" w:hAnsi="Times New Roman"/>
          <w:sz w:val="17"/>
          <w:szCs w:val="17"/>
          <w:color w:val="auto"/>
        </w:rPr>
        <w:t>The Operating Partnership's earnings per unit for the years ended December 31, 2024, 2023, and 2022 respectively are computed as follows (in thousands):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6"/>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SLGOP common unitholders (numerator for diluted earnings per unit)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7,557</w:t>
            </w:r>
          </w:p>
        </w:tc>
        <w:tc>
          <w:tcPr>
            <w:tcW w:w="480" w:type="dxa"/>
            <w:vAlign w:val="bottom"/>
            <w:gridSpan w:val="3"/>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(616,974)</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(98,818)</w:t>
            </w:r>
          </w:p>
        </w:tc>
        <w:tc>
          <w:tcPr>
            <w:tcW w:w="0" w:type="dxa"/>
            <w:vAlign w:val="bottom"/>
          </w:tcPr>
          <w:p>
            <w:pPr>
              <w:spacing w:after="0"/>
              <w:rPr>
                <w:sz w:val="1"/>
                <w:szCs w:val="1"/>
                <w:color w:val="auto"/>
              </w:rPr>
            </w:pPr>
          </w:p>
        </w:tc>
      </w:tr>
      <w:tr>
        <w:trPr>
          <w:trHeight w:val="211"/>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Less: distributed earnings allocated to participating securities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(4,665)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0" w:type="dxa"/>
            <w:vAlign w:val="bottom"/>
          </w:tcPr>
          <w:p>
            <w:pPr>
              <w:spacing w:after="0"/>
              <w:rPr>
                <w:sz w:val="1"/>
                <w:szCs w:val="1"/>
                <w:color w:val="auto"/>
              </w:rPr>
            </w:pPr>
          </w:p>
        </w:tc>
      </w:tr>
      <w:tr>
        <w:trPr>
          <w:trHeight w:val="202"/>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SLGOP common unitholders (numerator for basic earnings per unit)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2,892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(619,629)</w:t>
            </w:r>
          </w:p>
        </w:tc>
        <w:tc>
          <w:tcPr>
            <w:tcW w:w="120" w:type="dxa"/>
            <w:vAlign w:val="bottom"/>
          </w:tcPr>
          <w:p>
            <w:pPr>
              <w:spacing w:after="0"/>
              <w:rPr>
                <w:sz w:val="17"/>
                <w:szCs w:val="17"/>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(101,037)</w:t>
            </w:r>
          </w:p>
        </w:tc>
        <w:tc>
          <w:tcPr>
            <w:tcW w:w="0" w:type="dxa"/>
            <w:vAlign w:val="bottom"/>
          </w:tcPr>
          <w:p>
            <w:pPr>
              <w:spacing w:after="0"/>
              <w:rPr>
                <w:sz w:val="1"/>
                <w:szCs w:val="1"/>
                <w:color w:val="auto"/>
              </w:rPr>
            </w:pPr>
          </w:p>
        </w:tc>
      </w:tr>
      <w:tr>
        <w:trPr>
          <w:trHeight w:val="158"/>
        </w:trPr>
        <w:tc>
          <w:tcPr>
            <w:tcW w:w="6900" w:type="dxa"/>
            <w:vAlign w:val="bottom"/>
            <w:shd w:val="clear" w:color="auto" w:fill="CCEEFF"/>
          </w:tcPr>
          <w:p>
            <w:pPr>
              <w:ind w:left="360"/>
              <w:spacing w:after="0" w:line="158" w:lineRule="exact"/>
              <w:rPr>
                <w:sz w:val="20"/>
                <w:szCs w:val="20"/>
                <w:color w:val="auto"/>
              </w:rPr>
            </w:pPr>
            <w:r>
              <w:rPr>
                <w:rFonts w:ascii="Times New Roman" w:cs="Times New Roman" w:eastAsia="Times New Roman" w:hAnsi="Times New Roman"/>
                <w:sz w:val="16"/>
                <w:szCs w:val="16"/>
                <w:color w:val="auto"/>
              </w:rPr>
              <w:t>Add back: dilutive effect of earnings allocated to participating securities and contingently issuable</w:t>
            </w: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shares</w:t>
            </w:r>
          </w:p>
        </w:tc>
        <w:tc>
          <w:tcPr>
            <w:tcW w:w="30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attributable to SLGOP common unitholders</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2,918</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(619,629)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(101,037)</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6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center"/>
              <w:ind w:right="161"/>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units: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68,736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67,929</w:t>
            </w:r>
          </w:p>
        </w:tc>
        <w:tc>
          <w:tcPr>
            <w:tcW w:w="0" w:type="dxa"/>
            <w:vAlign w:val="bottom"/>
          </w:tcPr>
          <w:p>
            <w:pPr>
              <w:spacing w:after="0"/>
              <w:rPr>
                <w:sz w:val="1"/>
                <w:szCs w:val="1"/>
                <w:color w:val="auto"/>
              </w:rPr>
            </w:pPr>
          </w:p>
        </w:tc>
      </w:tr>
      <w:tr>
        <w:trPr>
          <w:trHeight w:val="21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plans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Contingently issuable units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weighted average common units outstanding</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69,605</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67,972</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67,929</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Operating Partnership has excluded 800,881 common unit equivalents from the diluted units outstanding for the years ended December 31, 2024. The Operating Partnership has excluded 1,273,417 and 1,682,236 common unit equivalents from the diluted units outstanding for the years ended December 31, 2023 and 2022,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Share-based Compensation</w:t>
      </w:r>
    </w:p>
    <w:p>
      <w:pPr>
        <w:spacing w:after="0" w:line="121"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We have share-based employee and director compensation plans. Our employees are compensated through the Operating Partnership. Under each plan, whenever the Company issues common or preferred stock, the Operating Partnership issues an equivalent number of units of limited partnership interest of a corresponding class to the Company.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60" w:lineRule="auto"/>
        <w:rPr>
          <w:sz w:val="20"/>
          <w:szCs w:val="20"/>
          <w:color w:val="auto"/>
        </w:rPr>
      </w:pPr>
      <w:r>
        <w:rPr>
          <w:rFonts w:ascii="Times New Roman" w:cs="Times New Roman" w:eastAsia="Times New Roman" w:hAnsi="Times New Roman"/>
          <w:sz w:val="17"/>
          <w:szCs w:val="17"/>
          <w:color w:val="auto"/>
        </w:rPr>
        <w:t>The Fifth Amended and Restated 2005 Stock Option and Incentive Plan, or the 2005 Plan, was approved by the Company's Board of Directors in April 2022 and its stockholders in June 2022 at the Company's annual meeting of stockholders. The 2005 Plan authorizes the issuance of stock options, stock appreciation rights, unrestricted and restricted stock, phantom shares, dividend equivalent rights, cash-based awards and other equity-based awards. Subject to adjustments upon certain corporate transactions or events, awards with respect to up to a maximum of 32,210,000 fungible units may be granted under the 2005 Plan. Currently, different types of awards count against the limit on the number of fungible units differently, with (1) full-value awards (i.e., those that deliver the full value of the award upon vesting, such as restricted stock) counting as 2.59 Fungible Units per share subject to such awards, (2) stock options, stock appreciation rights and other awards that do not deliver full value and expire five years from the date of grant counting as 0.84 fungible units per share subject to such awards, and (3) all other awards (e.g., 10-year stock options) counting as 1.0 fungible units per share subject to such awards. Awards granted under the 2005 Plan prior to the approval of the fifth amendment and restatement in June 2022 continue to count against the fungible unit limit based on the ratios that were in effect at the time such awards were granted, which may be different than the current ratios. As a result, depending on the types of awards issued, the 2005 Plan may result in the issuance of more or less than 32,210,000 shares. If a stock option or other award granted under the 2005 Plan expires or terminates, the common stock subject to any portion of the award that expires or terminates without having been exercised or paid, as the case may be, will again become available for the issuance of additional awards. Shares of our common stock distributed under the 2005 Plan may be treasury shares or authorized but unissued shares. Currently, unless the 2005 Plan has been previously terminated by the Company's Board of Directors, new awards may be granted under the 2005 Plan until June 1, 2032, which is the tenth anniversary of the date that the 2005 Plan was most recently approved by the Company's stockholders. As of December 31, 2024, 1.5 million fungible units were available for issuance under the 2005 Plan after reserving for shares underlying outstanding restricted stock units, phantom stock units granted pursuant to our Non-Employee Directors' Deferral Program and LTIP Units.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 and Class O LTIP Units</w:t>
      </w:r>
    </w:p>
    <w:p>
      <w:pPr>
        <w:spacing w:after="0" w:line="121"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Options are granted with an exercise price at the fair market value of the Company's common stock on the date of grant and, subject to employment, generally expire five years or ten years from the date of grant, are not transferable other than on death, and generally vest in one year to five years commencing one year from the date of grant. We have also granted Class O LTIP Units, which are a class of LTIP Units in the Operating Partnership structured to provide economics similar to those of stock options. Class O LTIP Units, once vested, may be converted, at the election of the holder, into a number of common units of the Operating Partnership per Class O LTIP Unit determined by the increase in value of a share of the Company's common stock at the time of conversion over a participation threshold, which equals the fair market value of a share of the Company's common stock at the time of grant. Class O LTIP Units are entitled to distributions, subject to vesting, equal per unit to 10% of the per unit distributions paid with respect to the common units of the Operating Partnership.</w:t>
      </w:r>
    </w:p>
    <w:p>
      <w:pPr>
        <w:spacing w:after="0" w:line="68"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In December 2024, our Chairman, CEO and Interim President, Marc Holliday, received a grant of 217,917 Class O LTIP Units, in connection with his new employment agreement, that are subject to both time-based vesting conditions and performance-based vesting conditions. The performance-based vesting conditions are satisfied if the average share price of the Company's common stock equals or exceeds $100.00 as of any trailing twenty trading day period between the grant date and the fifth anniversary thereafter. Subject to achievement of the performance hurdle and continued employment, the Class O LTIP Units vest ratably on December 31, 2025, December 31, 2026, and December 31, 2027.</w:t>
      </w:r>
    </w:p>
    <w:p>
      <w:pPr>
        <w:spacing w:after="0" w:line="67"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fair value of each stock option or LTIP Unit granted is estimated on the date of grant using the Black-Scholes option pricing model based on historical information with the following weighted average assumptions for grants during the year ended December 31, 2024 (there were no options granted during the years ended December 31, 2023 and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7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5.5 %</w:t>
            </w:r>
          </w:p>
        </w:tc>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N/A</w:t>
            </w:r>
          </w:p>
        </w:tc>
      </w:tr>
      <w:tr>
        <w:trPr>
          <w:trHeight w:val="209"/>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life</w:t>
            </w:r>
          </w:p>
        </w:tc>
        <w:tc>
          <w:tcPr>
            <w:tcW w:w="17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7.5 years</w:t>
            </w:r>
          </w:p>
        </w:tc>
        <w:tc>
          <w:tcPr>
            <w:tcW w:w="14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N/A</w:t>
            </w:r>
          </w:p>
        </w:tc>
      </w:tr>
      <w:tr>
        <w:trPr>
          <w:trHeight w:val="21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7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4.45 %</w:t>
            </w:r>
          </w:p>
        </w:tc>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N/A</w:t>
            </w:r>
          </w:p>
        </w:tc>
      </w:tr>
      <w:tr>
        <w:trPr>
          <w:trHeight w:val="208"/>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17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45.0 %</w:t>
            </w:r>
          </w:p>
        </w:tc>
        <w:tc>
          <w:tcPr>
            <w:tcW w:w="14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N/A</w:t>
            </w:r>
          </w:p>
        </w:tc>
        <w:tc>
          <w:tcPr>
            <w:tcW w:w="11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A summary of the status of the Company's stock options as of December 31, 2024, 2023, and 2022 and changes during the years ended December 31, 2024, 2023, and 2022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00" w:type="dxa"/>
            <w:vAlign w:val="bottom"/>
          </w:tcPr>
          <w:p>
            <w:pPr>
              <w:spacing w:after="0"/>
              <w:rPr>
                <w:sz w:val="17"/>
                <w:szCs w:val="17"/>
                <w:color w:val="auto"/>
              </w:rPr>
            </w:pPr>
          </w:p>
        </w:tc>
        <w:tc>
          <w:tcPr>
            <w:tcW w:w="14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1"/>
              <w:spacing w:after="0" w:line="152"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7"/>
        </w:trPr>
        <w:tc>
          <w:tcPr>
            <w:tcW w:w="3500" w:type="dxa"/>
            <w:vAlign w:val="bottom"/>
          </w:tcPr>
          <w:p>
            <w:pPr>
              <w:spacing w:after="0"/>
              <w:rPr>
                <w:sz w:val="13"/>
                <w:szCs w:val="13"/>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1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4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60" w:type="dxa"/>
            <w:vAlign w:val="bottom"/>
          </w:tcPr>
          <w:p>
            <w:pPr>
              <w:spacing w:after="0"/>
              <w:rPr>
                <w:sz w:val="13"/>
                <w:szCs w:val="13"/>
                <w:color w:val="auto"/>
              </w:rPr>
            </w:pPr>
          </w:p>
        </w:tc>
        <w:tc>
          <w:tcPr>
            <w:tcW w:w="900" w:type="dxa"/>
            <w:vAlign w:val="bottom"/>
          </w:tcPr>
          <w:p>
            <w:pPr>
              <w:jc w:val="center"/>
              <w:ind w:right="61"/>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57"/>
        </w:trPr>
        <w:tc>
          <w:tcPr>
            <w:tcW w:w="35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61"/>
              <w:spacing w:after="0" w:line="158" w:lineRule="exact"/>
              <w:rPr>
                <w:sz w:val="20"/>
                <w:szCs w:val="20"/>
                <w:color w:val="auto"/>
              </w:rPr>
            </w:pPr>
            <w:r>
              <w:rPr>
                <w:rFonts w:ascii="Times New Roman" w:cs="Times New Roman" w:eastAsia="Times New Roman" w:hAnsi="Times New Roman"/>
                <w:sz w:val="16"/>
                <w:szCs w:val="16"/>
                <w:b w:val="1"/>
                <w:bCs w:val="1"/>
                <w:color w:val="auto"/>
                <w:w w:val="96"/>
              </w:rPr>
              <w:t>Exercise</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60" w:type="dxa"/>
            <w:vAlign w:val="bottom"/>
          </w:tcPr>
          <w:p>
            <w:pPr>
              <w:spacing w:after="0"/>
              <w:rPr>
                <w:sz w:val="18"/>
                <w:szCs w:val="18"/>
                <w:color w:val="auto"/>
              </w:rPr>
            </w:pPr>
          </w:p>
        </w:tc>
        <w:tc>
          <w:tcPr>
            <w:tcW w:w="90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204"/>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115,980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103.52</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313,480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97.59</w:t>
            </w: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394,089</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217,917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68.07</w:t>
            </w:r>
          </w:p>
        </w:tc>
        <w:tc>
          <w:tcPr>
            <w:tcW w:w="1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Lapsed or canceled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112.14</w:t>
            </w:r>
          </w:p>
        </w:tc>
        <w:tc>
          <w:tcPr>
            <w:tcW w:w="0" w:type="dxa"/>
            <w:vAlign w:val="bottom"/>
          </w:tcPr>
          <w:p>
            <w:pPr>
              <w:spacing w:after="0"/>
              <w:rPr>
                <w:sz w:val="1"/>
                <w:szCs w:val="1"/>
                <w:color w:val="auto"/>
              </w:rPr>
            </w:pPr>
          </w:p>
        </w:tc>
      </w:tr>
      <w:tr>
        <w:trPr>
          <w:trHeight w:val="204"/>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333,897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81.63</w:t>
            </w:r>
          </w:p>
        </w:tc>
        <w:tc>
          <w:tcPr>
            <w:tcW w:w="1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115,980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313,480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97.59</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exercisable at end of year</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115,980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103.52</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103.52</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97.59</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remaining weighted average contractual life of the options outstanding was 6.9 years and the remaining average contractual life of the options exercisable was 2.0 years.</w:t>
      </w:r>
    </w:p>
    <w:p>
      <w:pPr>
        <w:spacing w:after="0" w:line="4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During the years ended December 31, 2024, 2023, and 2022, we recognized no compensation expense related to options. As of December 31, 2024, there was $4.5 million unrecognized compensation cost related to unvested stock options.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Shares</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Shares may be granted to certain employees, including our executives, and vesting occurs upon the completion of a service period or our meeting established financial performance criteria. Vesting occurs at rates ranging from 15% to 35% once performance criteria are reached.</w:t>
      </w:r>
    </w:p>
    <w:p>
      <w:pPr>
        <w:spacing w:after="0" w:line="4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A summary of the Company's restricted stock as of December 31, 2024, 2023, and 2022 and changes during the years ended December 31, 2024, 2023, and 2022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6"/>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140" w:type="dxa"/>
            <w:vAlign w:val="bottom"/>
            <w:tcBorders>
              <w:bottom w:val="single" w:sz="8" w:color="auto"/>
            </w:tcBorders>
          </w:tcPr>
          <w:p>
            <w:pPr>
              <w:spacing w:after="0"/>
              <w:rPr>
                <w:sz w:val="18"/>
                <w:szCs w:val="18"/>
                <w:color w:val="auto"/>
              </w:rPr>
            </w:pPr>
          </w:p>
        </w:tc>
      </w:tr>
      <w:tr>
        <w:trPr>
          <w:trHeight w:val="204"/>
        </w:trPr>
        <w:tc>
          <w:tcPr>
            <w:tcW w:w="65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4,089,174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3,758,174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3,459,363</w:t>
            </w: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371,285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314,995</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Canceled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(10,750)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(16,184)</w:t>
            </w:r>
          </w:p>
        </w:tc>
      </w:tr>
      <w:tr>
        <w:trPr>
          <w:trHeight w:val="204"/>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4,449,709</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4,089,174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3,758,174</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during the year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143,453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118,255</w:t>
            </w:r>
          </w:p>
        </w:tc>
      </w:tr>
      <w:tr>
        <w:trPr>
          <w:trHeight w:val="209"/>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expense recorded</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10,939,602</w:t>
            </w:r>
          </w:p>
        </w:tc>
        <w:tc>
          <w:tcPr>
            <w:tcW w:w="5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7,766,055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10,133,905</w:t>
            </w:r>
          </w:p>
        </w:tc>
      </w:tr>
      <w:tr>
        <w:trPr>
          <w:trHeight w:val="21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fair value of restricted stock granted during the year</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24,676,422</w:t>
            </w:r>
          </w:p>
        </w:tc>
        <w:tc>
          <w:tcPr>
            <w:tcW w:w="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15,789,540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16,804,931</w:t>
            </w:r>
          </w:p>
        </w:tc>
      </w:tr>
    </w:tbl>
    <w:p>
      <w:pPr>
        <w:spacing w:after="0" w:line="178"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fair value of restricted stock that vested during the years ended December 31, 2024, 2023, and 2022 was $7.4 million, $10.2 million and $9.7 million, respectively. As of December 31, 2024, there was $33.3 million of total unrecognized compensation cost related to restricted stock, which is expected to be recognized over a weighted average period of 2.3 years.</w:t>
      </w:r>
    </w:p>
    <w:p>
      <w:pPr>
        <w:spacing w:after="0" w:line="57" w:lineRule="exact"/>
        <w:rPr>
          <w:sz w:val="20"/>
          <w:szCs w:val="20"/>
          <w:color w:val="auto"/>
        </w:rPr>
      </w:pPr>
    </w:p>
    <w:p>
      <w:pPr>
        <w:jc w:val="both"/>
        <w:ind w:firstLine="433"/>
        <w:spacing w:after="0" w:line="265" w:lineRule="auto"/>
        <w:rPr>
          <w:sz w:val="20"/>
          <w:szCs w:val="20"/>
          <w:color w:val="auto"/>
        </w:rPr>
      </w:pPr>
      <w:r>
        <w:rPr>
          <w:rFonts w:ascii="Times New Roman" w:cs="Times New Roman" w:eastAsia="Times New Roman" w:hAnsi="Times New Roman"/>
          <w:sz w:val="17"/>
          <w:szCs w:val="17"/>
          <w:color w:val="auto"/>
        </w:rPr>
        <w:t>We granted LTIP Units, which include bonus, time-based and performance-based awards, with a fair value of $34.1 million and $38.1 million during the years ended December 31, 2024 and 2023, respectively. The grant date fair value of the LTIP Unit awards was calculated in accordance with ASC 718. A third-party consultant determined that the fair value of the LTIP Units has a discount to our common stock price. The discount was calculated by considering the inherent uncertainty that the LTIP Units will reach parity with other common partnership units and the illiquidity due to transfer restrictions. As of December 31, 2024, there was $31.0 million of total unrecognized compensation expense related to the time-based and performance-based awards, which is expected to be recognized over a weighted average period of 1.7 years.</w:t>
      </w:r>
    </w:p>
    <w:p>
      <w:pPr>
        <w:spacing w:after="0" w:line="69"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During the years ended December 31, 2024, 2023, and 2022, we recorded compensation expense related to bonus, time-based and performance-based awards of $30.5 million, $50.4 million, and $43.5 million,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For the years ended December 31, 2024, 2023, and 2022, $1.7 million, $1.4 million, and $1.8 million, respectively, was capitalized to assets associated with compensation expense related to our long-term compensation plans, restricted stock and stock options.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Compensation Plan for Directors</w:t>
      </w:r>
    </w:p>
    <w:p>
      <w:pPr>
        <w:spacing w:after="0" w:line="121"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Under our Non-Employee Director's Deferral Program, which commenced July 2004, the Company's non-employee directors may elect to defer up to 100% of their annual retainer fee, chairman fees, meeting fees and annual stock grant. Unless otherwise elected by a participant, fees deferred under the program shall be credited in the form of phantom stock units. The program provides that a director's phantom stock units generally will be settled in an equal number of shares of common stock upon the earlier of (i) the January 1 coincident with or the next following such director's termination of service from the Board of Directors or (ii) a change in control by us, as defined by the program. Phantom stock units are credited to each non-employee director quarterly using the closing price of our common stock on the first business day of the respective quarter. Each participating non-employee director is also credited with dividend equivalents or phantom stock units based on the dividend rate for each quarter, which are either paid in cash currently or credited to the director's account as additional phantom stock units.</w:t>
      </w:r>
    </w:p>
    <w:p>
      <w:pPr>
        <w:spacing w:after="0" w:line="284"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During the year ended December 31, 2024, 15,945 phantom stock units and 25,590 shares of common stock were issued to our Board of Directors. We recorded compensation expense of $2.8 million during the year ended December 31, 2024 related to the Deferred Compensation Plan. As of December 31, 2024, there were 125,654 phantom stock units outstanding pursuant to our Non-Employee Director's Deferral Program.</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2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In 2007, the Company's Board of Directors adopted the 2008 Employee Stock Purchase Plan, or ESPP, to provide equity-based incentives to eligible employees. The ESPP is intended to qualify as an "employee stock purchase plan" under Section 423 of the Code, and has been adopted by the board to enable our eligible employees to purchase the Company's shares of common stock through payroll deductions. The ESPP became effective on January 1, 2008 with a maximum of 500,000 shares of the common stock available for issuance, subject to adjustment upon a merger, reorganization, stock split or other similar corporate change. The Company filed a registration statement on Form S-8 with the SEC with respect to the ESPP. The common stock is offered for purchase through a series of successive offering periods. Each offering period will be three months in duration and will begin on the first day of each calendar quarter, with the first offering period having commenced on January 1, 2008. The ESPP provides for eligible employees to purchase the common stock at a purchase price equal to 85% of the lesser of (1) the market value of the common stock on the first day of the offering period or (2) the market value of the common stock on the last day of the offering period. The ESPP was approved by our stockholders at our 2008 annual meeting of stockholders. As of December 31, 2024, 245,445 shares of our common stock had been issued under the ESPP.</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Accumulated Other Comprehensive Income</w:t>
      </w:r>
    </w:p>
    <w:p>
      <w:pPr>
        <w:spacing w:after="0" w:line="121" w:lineRule="exact"/>
        <w:rPr>
          <w:sz w:val="20"/>
          <w:szCs w:val="20"/>
          <w:color w:val="auto"/>
        </w:rPr>
      </w:pPr>
    </w:p>
    <w:p>
      <w:pPr>
        <w:ind w:firstLine="393"/>
        <w:spacing w:after="0" w:line="268" w:lineRule="auto"/>
        <w:rPr>
          <w:sz w:val="20"/>
          <w:szCs w:val="20"/>
          <w:color w:val="auto"/>
        </w:rPr>
      </w:pPr>
      <w:r>
        <w:rPr>
          <w:rFonts w:ascii="Times New Roman" w:cs="Times New Roman" w:eastAsia="Times New Roman" w:hAnsi="Times New Roman"/>
          <w:sz w:val="17"/>
          <w:szCs w:val="17"/>
          <w:color w:val="auto"/>
        </w:rPr>
        <w:t>The following tables set forth the changes in accumulated other comprehensive income by component as of December 31, 2024, 2023 and 2022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Net unrealized gain</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SL Green's share of joint</w:t>
            </w:r>
          </w:p>
        </w:tc>
        <w:tc>
          <w:tcPr>
            <w:tcW w:w="140" w:type="dxa"/>
            <w:vAlign w:val="bottom"/>
          </w:tcPr>
          <w:p>
            <w:pPr>
              <w:spacing w:after="0"/>
              <w:rPr>
                <w:sz w:val="13"/>
                <w:szCs w:val="13"/>
                <w:color w:val="auto"/>
              </w:rPr>
            </w:pPr>
          </w:p>
        </w:tc>
        <w:tc>
          <w:tcPr>
            <w:tcW w:w="15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Net unrealized (loss)</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venture net unrealized</w:t>
            </w: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(loss) on derivative</w:t>
            </w:r>
          </w:p>
        </w:tc>
        <w:tc>
          <w:tcPr>
            <w:tcW w:w="164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(loss) gain on derivative</w:t>
            </w: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gain on marketable</w:t>
            </w:r>
          </w:p>
        </w:tc>
        <w:tc>
          <w:tcPr>
            <w:tcW w:w="360" w:type="dxa"/>
            <w:vAlign w:val="bottom"/>
          </w:tcPr>
          <w:p>
            <w:pPr>
              <w:spacing w:after="0"/>
              <w:rPr>
                <w:sz w:val="12"/>
                <w:szCs w:val="12"/>
                <w:color w:val="auto"/>
              </w:rPr>
            </w:pPr>
          </w:p>
        </w:tc>
        <w:tc>
          <w:tcPr>
            <w:tcW w:w="1160" w:type="dxa"/>
            <w:vAlign w:val="bottom"/>
            <w:vMerge w:val="restart"/>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 xml:space="preserve">instruments </w:t>
            </w:r>
            <w:r>
              <w:rPr>
                <w:rFonts w:ascii="Times New Roman" w:cs="Times New Roman" w:eastAsia="Times New Roman" w:hAnsi="Times New Roman"/>
                <w:sz w:val="9"/>
                <w:szCs w:val="9"/>
                <w:b w:val="1"/>
                <w:bCs w:val="1"/>
                <w:color w:val="auto"/>
                <w:w w:val="99"/>
              </w:rPr>
              <w:t>(</w:t>
            </w:r>
            <w:r>
              <w:rPr>
                <w:rFonts w:ascii="Times New Roman" w:cs="Times New Roman" w:eastAsia="Times New Roman" w:hAnsi="Times New Roman"/>
                <w:sz w:val="7"/>
                <w:szCs w:val="7"/>
                <w:b w:val="1"/>
                <w:bCs w:val="1"/>
                <w:color w:val="auto"/>
                <w:w w:val="99"/>
              </w:rPr>
              <w:t>1</w:t>
            </w:r>
            <w:r>
              <w:rPr>
                <w:rFonts w:ascii="Times New Roman" w:cs="Times New Roman" w:eastAsia="Times New Roman" w:hAnsi="Times New Roman"/>
                <w:sz w:val="9"/>
                <w:szCs w:val="9"/>
                <w:b w:val="1"/>
                <w:bCs w:val="1"/>
                <w:color w:val="auto"/>
                <w:w w:val="99"/>
              </w:rPr>
              <w:t>)</w:t>
            </w:r>
          </w:p>
        </w:tc>
        <w:tc>
          <w:tcPr>
            <w:tcW w:w="100" w:type="dxa"/>
            <w:vAlign w:val="bottom"/>
          </w:tcPr>
          <w:p>
            <w:pPr>
              <w:spacing w:after="0"/>
              <w:rPr>
                <w:sz w:val="17"/>
                <w:szCs w:val="17"/>
                <w:color w:val="auto"/>
              </w:rPr>
            </w:pPr>
          </w:p>
        </w:tc>
        <w:tc>
          <w:tcPr>
            <w:tcW w:w="1540" w:type="dxa"/>
            <w:vAlign w:val="bottom"/>
            <w:gridSpan w:val="2"/>
          </w:tcPr>
          <w:p>
            <w:pPr>
              <w:jc w:val="center"/>
              <w:ind w:right="200"/>
              <w:spacing w:after="0" w:line="197" w:lineRule="exact"/>
              <w:rPr>
                <w:sz w:val="20"/>
                <w:szCs w:val="20"/>
                <w:color w:val="auto"/>
              </w:rPr>
            </w:pPr>
            <w:r>
              <w:rPr>
                <w:rFonts w:ascii="Times New Roman" w:cs="Times New Roman" w:eastAsia="Times New Roman" w:hAnsi="Times New Roman"/>
                <w:sz w:val="14"/>
                <w:szCs w:val="14"/>
                <w:b w:val="1"/>
                <w:bCs w:val="1"/>
                <w:color w:val="auto"/>
                <w:w w:val="99"/>
              </w:rPr>
              <w:t xml:space="preserve">instruments </w:t>
            </w:r>
            <w:r>
              <w:rPr>
                <w:rFonts w:ascii="Times New Roman" w:cs="Times New Roman" w:eastAsia="Times New Roman" w:hAnsi="Times New Roman"/>
                <w:sz w:val="18"/>
                <w:szCs w:val="18"/>
                <w:b w:val="1"/>
                <w:bCs w:val="1"/>
                <w:color w:val="auto"/>
                <w:w w:val="99"/>
                <w:vertAlign w:val="superscript"/>
              </w:rPr>
              <w:t>(</w:t>
            </w:r>
            <w:r>
              <w:rPr>
                <w:rFonts w:ascii="Times New Roman" w:cs="Times New Roman" w:eastAsia="Times New Roman" w:hAnsi="Times New Roman"/>
                <w:sz w:val="7"/>
                <w:szCs w:val="7"/>
                <w:b w:val="1"/>
                <w:bCs w:val="1"/>
                <w:color w:val="auto"/>
                <w:w w:val="99"/>
              </w:rPr>
              <w:t>2</w:t>
            </w:r>
            <w:r>
              <w:rPr>
                <w:rFonts w:ascii="Times New Roman" w:cs="Times New Roman" w:eastAsia="Times New Roman" w:hAnsi="Times New Roman"/>
                <w:sz w:val="18"/>
                <w:szCs w:val="18"/>
                <w:b w:val="1"/>
                <w:bCs w:val="1"/>
                <w:color w:val="auto"/>
                <w:w w:val="99"/>
                <w:vertAlign w:val="superscript"/>
              </w:rPr>
              <w:t>)</w:t>
            </w:r>
          </w:p>
        </w:tc>
        <w:tc>
          <w:tcPr>
            <w:tcW w:w="14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securities</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(46,758)</w:t>
            </w:r>
          </w:p>
        </w:tc>
        <w:tc>
          <w:tcPr>
            <w:tcW w:w="0" w:type="dxa"/>
            <w:vAlign w:val="bottom"/>
          </w:tcPr>
          <w:p>
            <w:pPr>
              <w:spacing w:after="0"/>
              <w:rPr>
                <w:sz w:val="1"/>
                <w:szCs w:val="1"/>
                <w:color w:val="auto"/>
              </w:rPr>
            </w:pPr>
          </w:p>
        </w:tc>
      </w:tr>
      <w:tr>
        <w:trPr>
          <w:trHeight w:val="20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100,346</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w:t>
            </w:r>
          </w:p>
        </w:tc>
        <w:tc>
          <w:tcPr>
            <w:tcW w:w="0" w:type="dxa"/>
            <w:vAlign w:val="bottom"/>
          </w:tcPr>
          <w:p>
            <w:pPr>
              <w:spacing w:after="0"/>
              <w:rPr>
                <w:sz w:val="1"/>
                <w:szCs w:val="1"/>
                <w:color w:val="auto"/>
              </w:rPr>
            </w:pPr>
          </w:p>
        </w:tc>
      </w:tr>
      <w:tr>
        <w:trPr>
          <w:trHeight w:val="201"/>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47,800</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49,604</w:t>
            </w:r>
          </w:p>
        </w:tc>
        <w:tc>
          <w:tcPr>
            <w:tcW w:w="0" w:type="dxa"/>
            <w:vAlign w:val="bottom"/>
          </w:tcPr>
          <w:p>
            <w:pPr>
              <w:spacing w:after="0"/>
              <w:rPr>
                <w:sz w:val="1"/>
                <w:szCs w:val="1"/>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22,670</w:t>
            </w:r>
          </w:p>
        </w:tc>
        <w:tc>
          <w:tcPr>
            <w:tcW w:w="0" w:type="dxa"/>
            <w:vAlign w:val="bottom"/>
          </w:tcPr>
          <w:p>
            <w:pPr>
              <w:spacing w:after="0"/>
              <w:rPr>
                <w:sz w:val="1"/>
                <w:szCs w:val="1"/>
                <w:color w:val="auto"/>
              </w:rPr>
            </w:pPr>
          </w:p>
        </w:tc>
      </w:tr>
      <w:tr>
        <w:trPr>
          <w:trHeight w:val="20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(54,797)</w:t>
            </w:r>
          </w:p>
        </w:tc>
        <w:tc>
          <w:tcPr>
            <w:tcW w:w="0" w:type="dxa"/>
            <w:vAlign w:val="bottom"/>
          </w:tcPr>
          <w:p>
            <w:pPr>
              <w:spacing w:after="0"/>
              <w:rPr>
                <w:sz w:val="1"/>
                <w:szCs w:val="1"/>
                <w:color w:val="auto"/>
              </w:rPr>
            </w:pPr>
          </w:p>
        </w:tc>
      </w:tr>
      <w:tr>
        <w:trPr>
          <w:trHeight w:val="205"/>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17,477</w:t>
            </w:r>
          </w:p>
        </w:tc>
        <w:tc>
          <w:tcPr>
            <w:tcW w:w="0" w:type="dxa"/>
            <w:vAlign w:val="bottom"/>
          </w:tcPr>
          <w:p>
            <w:pPr>
              <w:spacing w:after="0"/>
              <w:rPr>
                <w:sz w:val="1"/>
                <w:szCs w:val="1"/>
                <w:color w:val="auto"/>
              </w:rPr>
            </w:pPr>
          </w:p>
        </w:tc>
      </w:tr>
      <w:tr>
        <w:trPr>
          <w:trHeight w:val="20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46,089</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(45,370)</w:t>
            </w:r>
          </w:p>
        </w:tc>
        <w:tc>
          <w:tcPr>
            <w:tcW w:w="0" w:type="dxa"/>
            <w:vAlign w:val="bottom"/>
          </w:tcPr>
          <w:p>
            <w:pPr>
              <w:spacing w:after="0"/>
              <w:rPr>
                <w:sz w:val="1"/>
                <w:szCs w:val="1"/>
                <w:color w:val="auto"/>
              </w:rPr>
            </w:pPr>
          </w:p>
        </w:tc>
      </w:tr>
      <w:tr>
        <w:trPr>
          <w:trHeight w:val="205"/>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29,330</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left="400" w:hanging="395"/>
        <w:spacing w:after="0" w:line="253" w:lineRule="auto"/>
        <w:tabs>
          <w:tab w:leader="none" w:pos="392"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reclassified from accumulated other comprehensive income is included in interest expense in the respective consolidated statements of operations. As of December 31, 2024 and 2023, the deferred net gains from these terminated hedges, which is included in accumulated other comprehensive income relating to net unrealized gain (loss) on derivative instruments, was ($0.2 million) and ($0.4 million), respectively.</w:t>
      </w:r>
    </w:p>
    <w:p>
      <w:pPr>
        <w:spacing w:after="0" w:line="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reclassified from accumulated other comprehensive income is included in equity in net loss from unconsolidated joint ventures in the respective consolidated statements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Fair Value Measurements</w:t>
      </w:r>
    </w:p>
    <w:p>
      <w:pPr>
        <w:spacing w:after="0" w:line="12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We are required to disclose fair value information with regard to certain of our financial instruments, whether or not recognized in the consolidated balance sheets, for which it is practical to estimate fair value. The FASB guidance defines fair value as the price that would be received to sell an asset or paid to transfer a liability in an orderly transaction between market participants on the measurement date. We measure and/or disclose the estimated fair value of certain financial assets and liabilities based on a hierarchy that distinguishes between market participant assumptions based on market data obtained from sources independent of the reporting entity and the reporting entity's own assumptions about market participant assumptions. This hierarchy consists of three broad levels: Level 1 - quoted prices (unadjusted) in active markets for identical assets or liabilities that the reporting entity can access at the measurement date; Level 2 - inputs other than quoted prices included within Level 1, that are observable for the asset or liability, either directly or indirectly; and Level 3 - unobservable inputs for the asset or liability that are used when little or no market data is available. We follow this hierarchy for our assets and liabilities measured at fair value on a recurring and nonrecurring basis. In instances in which the determination of the fair value measurement is based on inputs from different levels of the fair value hierarchy, the level in the fair value hierarchy within which the entire fair value measurement falls is based on the lowest level of input that is significant to the fair value measurement in its entirety. Our assessment of the significance of the particular input to the fair value measurement in its entirety requires judgment and considers factors specific to the asset or liability.</w:t>
      </w:r>
    </w:p>
    <w:p>
      <w:pPr>
        <w:spacing w:after="0" w:line="72"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following tables set forth the assets and liabilities that we measure at fair value on a recurring and non-recurring basis by their levels in the fair value hierarchy as of December 31, 2024 and 2023 (in thousands):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04"/>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7"/>
                <w:szCs w:val="17"/>
                <w:color w:val="auto"/>
              </w:rPr>
            </w:pPr>
          </w:p>
        </w:tc>
        <w:tc>
          <w:tcPr>
            <w:tcW w:w="118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71"/>
        </w:trPr>
        <w:tc>
          <w:tcPr>
            <w:tcW w:w="500" w:type="dxa"/>
            <w:vAlign w:val="bottom"/>
            <w:tcBorders>
              <w:top w:val="single" w:sz="8" w:color="CCEEFF"/>
              <w:left w:val="single" w:sz="8" w:color="CCEEFF"/>
              <w:bottom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w w:val="95"/>
              </w:rPr>
              <w:t>Assets:</w:t>
            </w:r>
          </w:p>
        </w:tc>
        <w:tc>
          <w:tcPr>
            <w:tcW w:w="44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208"/>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Marketable securities available-for-sale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17,323</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17,323</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9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assets)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31,860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31,860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Real estate loans held by consolidated securitization vehicles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584,134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584,134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72"/>
        </w:trPr>
        <w:tc>
          <w:tcPr>
            <w:tcW w:w="4980" w:type="dxa"/>
            <w:vAlign w:val="bottom"/>
            <w:tcBorders>
              <w:left w:val="single" w:sz="8" w:color="CCEEFF"/>
            </w:tcBorders>
            <w:gridSpan w:val="3"/>
            <w:shd w:val="clear" w:color="auto" w:fill="CCEEFF"/>
          </w:tcPr>
          <w:p>
            <w:pPr>
              <w:ind w:left="20"/>
              <w:spacing w:after="0" w:line="17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39"/>
        </w:trPr>
        <w:tc>
          <w:tcPr>
            <w:tcW w:w="500" w:type="dxa"/>
            <w:vAlign w:val="bottom"/>
            <w:tcBorders>
              <w:left w:val="single" w:sz="8" w:color="CCEEFF"/>
            </w:tcBorders>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r>
        <w:trPr>
          <w:trHeight w:val="208"/>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liabilities)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6,469</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6,469</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498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obligations of consolidated securitization vehicles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567,487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567,487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68"/>
        </w:trPr>
        <w:tc>
          <w:tcPr>
            <w:tcW w:w="49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xml:space="preserve">Secured borrowing </w:t>
            </w:r>
            <w:r>
              <w:rPr>
                <w:rFonts w:ascii="Times New Roman" w:cs="Times New Roman" w:eastAsia="Times New Roman" w:hAnsi="Times New Roman"/>
                <w:sz w:val="20"/>
                <w:szCs w:val="20"/>
                <w:color w:val="auto"/>
                <w:vertAlign w:val="superscript"/>
              </w:rPr>
              <w:t>(1)</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251,096</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251,096</w:t>
            </w:r>
          </w:p>
        </w:tc>
      </w:tr>
    </w:tbl>
    <w:p>
      <w:pPr>
        <w:spacing w:after="0" w:line="103" w:lineRule="exact"/>
        <w:rPr>
          <w:sz w:val="20"/>
          <w:szCs w:val="20"/>
          <w:color w:val="auto"/>
        </w:rPr>
      </w:pPr>
    </w:p>
    <w:p>
      <w:pPr>
        <w:ind w:left="400" w:hanging="395"/>
        <w:spacing w:after="0" w:line="286" w:lineRule="auto"/>
        <w:tabs>
          <w:tab w:leader="none" w:pos="39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admitted an additional partner to the One Madison Avenue development project with the partner's indirect ownership in the joint venture totaling 25.0%. The transaction did not meet sale accounting under ASC 860 and, as a result, was treated as a secured borrowing for accounting purposes and is included in Other liabilities in our 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7"/>
                <w:szCs w:val="17"/>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7"/>
                <w:szCs w:val="17"/>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171"/>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CCEEFF"/>
              <w:bottom w:val="single" w:sz="8" w:color="auto"/>
            </w:tcBorders>
            <w:shd w:val="clear" w:color="auto" w:fill="CCEEFF"/>
          </w:tcPr>
          <w:p>
            <w:pPr>
              <w:spacing w:after="0" w:line="152" w:lineRule="exact"/>
              <w:rPr>
                <w:sz w:val="20"/>
                <w:szCs w:val="20"/>
                <w:color w:val="auto"/>
              </w:rPr>
            </w:pPr>
            <w:r>
              <w:rPr>
                <w:rFonts w:ascii="Times New Roman" w:cs="Times New Roman" w:eastAsia="Times New Roman" w:hAnsi="Times New Roman"/>
                <w:sz w:val="16"/>
                <w:szCs w:val="16"/>
                <w:b w:val="1"/>
                <w:bCs w:val="1"/>
                <w:color w:val="auto"/>
                <w:w w:val="95"/>
              </w:rPr>
              <w:t>Assets:</w:t>
            </w:r>
          </w:p>
        </w:tc>
        <w:tc>
          <w:tcPr>
            <w:tcW w:w="44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208"/>
        </w:trPr>
        <w:tc>
          <w:tcPr>
            <w:tcW w:w="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Marketable securities available-for-sale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9,591</w:t>
            </w:r>
          </w:p>
        </w:tc>
        <w:tc>
          <w:tcPr>
            <w:tcW w:w="14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9,591</w:t>
            </w:r>
          </w:p>
        </w:tc>
        <w:tc>
          <w:tcPr>
            <w:tcW w:w="14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0" w:type="dxa"/>
            <w:vAlign w:val="bottom"/>
            <w:shd w:val="clear" w:color="auto" w:fill="CCEEFF"/>
          </w:tcPr>
          <w:p>
            <w:pPr>
              <w:spacing w:after="0"/>
              <w:rPr>
                <w:sz w:val="18"/>
                <w:szCs w:val="18"/>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assets)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33,456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33,456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r>
      <w:tr>
        <w:trPr>
          <w:trHeight w:val="170"/>
        </w:trPr>
        <w:tc>
          <w:tcPr>
            <w:tcW w:w="20" w:type="dxa"/>
            <w:vAlign w:val="bottom"/>
          </w:tcPr>
          <w:p>
            <w:pPr>
              <w:spacing w:after="0"/>
              <w:rPr>
                <w:sz w:val="14"/>
                <w:szCs w:val="14"/>
                <w:color w:val="auto"/>
              </w:rPr>
            </w:pPr>
          </w:p>
        </w:tc>
        <w:tc>
          <w:tcPr>
            <w:tcW w:w="4960" w:type="dxa"/>
            <w:vAlign w:val="bottom"/>
            <w:gridSpan w:val="3"/>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9"/>
        </w:trPr>
        <w:tc>
          <w:tcPr>
            <w:tcW w:w="20" w:type="dxa"/>
            <w:vAlign w:val="bottom"/>
            <w:shd w:val="clear" w:color="auto" w:fill="CCEEFF"/>
          </w:tcPr>
          <w:p>
            <w:pPr>
              <w:spacing w:after="0"/>
              <w:rPr>
                <w:sz w:val="19"/>
                <w:szCs w:val="19"/>
                <w:color w:val="auto"/>
              </w:rPr>
            </w:pPr>
          </w:p>
        </w:tc>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 and swap agreements (included in Other liabilities)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17,108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r>
    </w:tbl>
    <w:p>
      <w:pPr>
        <w:spacing w:after="0" w:line="178"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We evaluate real estate investments and debt and preferred equity investments, including intangibles, for potential impairment primarily utilizing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5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In December 2024, the Company amended the joint venture agreement with its partner in the 100 Park Avenue joint venture. As a result of the amended terms, it was concluded that the joint venture is a VIE in which the Company is the primary beneficiary, and the investment was consolidated in our financial statements. Upon consolidating the entity, the assets and liabilities of the entity were recorded at fair value which resulted in the recognition of a positive fair value adjustment of $117.8 million, which is included in Purchase price and other fair value adjustments in the consolidated statements of operations. Prior to December 2024, the investment was accounted for under the equity method. This fair value was determined using a third-party valuation which primarily utilized cash flow projections that apply, among other things, estimated revenue and expense growth rates, discount rates and capitalization rates, as well as the sales comparison approach, which utilizes comparable sales, listings, and sales contracts. All of which are classified as Level 3 inputs.</w:t>
      </w:r>
    </w:p>
    <w:p>
      <w:pPr>
        <w:spacing w:after="0" w:line="68"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In March 2024, the Company entered into an agreement to acquire its partner's 45.0% interest in the 10 East 53rd Street joint venture. As a result of the contract terms, it was concluded that the joint venture is a VIE in which the Company is the primary beneficiary, and the investment was consolidated in our financial statements. Upon consolidating the entity, the assets and liabilities of the entity were recorded at fair value which resulted in the recognition of a negative fair value adjustment of ($55.7 million), which is included in Purchase price and other fair value adjustments in the consolidated statements of operations. Prior to March 2024, the investment was accounted for under the equity method. This fair value was determined using a third-party valuation which primarily utilized cash flow projections that apply, among other things, estimated revenue and expense growth rates, discount rates and capitalization rates, as well as the sales comparison approach, which utilizes comparable sales, listings, and sales contracts. All of which are classified as Level 3 inputs.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87"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In June 2023, the Company sold a 49.9% interest in its 245 Park Avenue investment, which resulted in the Company no longer retaining a controlling interest in the entity, as defined in ASC 810, and deconsolidation of the 50.1% interest we retained. We recorded our investment at fair value which resulted in the recognition of a fair value adjustment of ($17.0 million) during the year ended December 31, 2023. The fair value of our investment was determined by the terms of the joint venture agreement.</w:t>
      </w:r>
    </w:p>
    <w:p>
      <w:pPr>
        <w:spacing w:after="0" w:line="6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Marketable securities classified as Level 1 are derived from quoted prices in active markets. The valuation technique used to measure the fair value of marketable securities classified as Level 2 were valued based on quoted market prices or model driven valuations using the significant inputs derived from or corroborated by observable market data. We do not intend to sell these securities and it is not more likely than not that we will be required to sell the investments before recovery of their amortized cost bases.</w:t>
      </w:r>
    </w:p>
    <w:p>
      <w:pPr>
        <w:spacing w:after="0" w:line="64"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fair value of derivative instruments is based on current market data received from financial sources that trade such instruments and are based on prevailing market data and derived from third party proprietary models based on well-recognized financial principles and reasonable estimates about relevant future market conditions, which are classified as Level 2 inputs.</w:t>
      </w:r>
    </w:p>
    <w:p>
      <w:pPr>
        <w:spacing w:after="0" w:line="57"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senior obligations of consolidated securitization vehicles represent CMBS that are not owned by the Company. A majority of these securities are either traded in the marketplace or are similar to other securities that are traded in the marketplace. As the valuation of these amounts are based upon quoted prices for similar instruments in active markets, we generally utilize third party pricing service providers to determine the fair value. The Company evaluates and assesses the third party pricing by referring to recent trades of similar securities, ratings, subordination levels, current market data and credit issues. The Company maximizes the use of observable inputs over unobservable inputs and uses the value of the senior obligations of consolidated securitization vehicles as an indicator of the fair value of the real estate loans held by consolidated securitization vehicles. Depending on the significance of the fair value inputs used in determining the fair value, these securities are classified in either Level 2 or Level 3 of the fair value hierarchy. As such, these investments may move between Level 2 and Level 3 of the fair value hierarchy if the significant fair value inputs used to price the CMBS become or cease to be observable.</w:t>
      </w:r>
    </w:p>
    <w:p>
      <w:pPr>
        <w:spacing w:after="0" w:line="70"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fair value of our secured borrowing is determined by projecting future cash flows, which takes into consideration various factors including discount rate and exit capitalization rate, as well as related asset performance and local or macro real estate performance. The inputs used in determining the Company's secured borrowing are considered Level 3.</w:t>
      </w:r>
    </w:p>
    <w:p>
      <w:pPr>
        <w:spacing w:after="0" w:line="57"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The financial assets and liabilities that are not measured at fair value on our consolidated balance sheets include cash and cash equivalents, restricted cash, accounts receivable, accounts payable and accrued expenses, debt and preferred equity investments, mortgages and other loans payable and other secured and unsecured debt. The carrying amount of cash and cash equivalents, restricted cash, accounts receivable, and accounts payable and accrued expenses reported in our consolidated balance sheets approximates fair value due to the short-term nature of these instruments. The fair value of debt and preferred equity investments, which is classified as Level 3, is estimated by discounting the future cash flows using current interest rates at which similar loans with the same maturities would be made to borrowers with similar credit ratings. The fair value of borrowings, which is classified as Level 3, is estimated by discounting the contractual cash flows of each debt instrument to their present value using adjusted market interest rates, which is provided by a third-party specialist.</w:t>
      </w:r>
    </w:p>
    <w:p>
      <w:pPr>
        <w:spacing w:after="0" w:line="68" w:lineRule="exact"/>
        <w:rPr>
          <w:sz w:val="20"/>
          <w:szCs w:val="20"/>
          <w:color w:val="auto"/>
        </w:rPr>
      </w:pPr>
    </w:p>
    <w:p>
      <w:pPr>
        <w:jc w:val="both"/>
        <w:ind w:firstLine="393"/>
        <w:spacing w:after="0" w:line="268" w:lineRule="auto"/>
        <w:rPr>
          <w:sz w:val="20"/>
          <w:szCs w:val="20"/>
          <w:color w:val="auto"/>
        </w:rPr>
      </w:pPr>
      <w:r>
        <w:rPr>
          <w:rFonts w:ascii="Times New Roman" w:cs="Times New Roman" w:eastAsia="Times New Roman" w:hAnsi="Times New Roman"/>
          <w:sz w:val="17"/>
          <w:szCs w:val="17"/>
          <w:color w:val="auto"/>
        </w:rPr>
        <w:t>The following table provides the carrying value and fair value of these financial instruments as of December 31, 2024 and December 31, 2023 (in thousands):</w:t>
      </w: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60" w:type="dxa"/>
            <w:vAlign w:val="bottom"/>
            <w:gridSpan w:val="5"/>
          </w:tcPr>
          <w:p>
            <w:pPr>
              <w:ind w:left="10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18"/>
                <w:szCs w:val="18"/>
                <w:color w:val="auto"/>
              </w:rPr>
            </w:pPr>
          </w:p>
        </w:tc>
        <w:tc>
          <w:tcPr>
            <w:tcW w:w="3460" w:type="dxa"/>
            <w:vAlign w:val="bottom"/>
            <w:gridSpan w:val="4"/>
          </w:tcPr>
          <w:p>
            <w:pPr>
              <w:jc w:val="right"/>
              <w:ind w:right="1107"/>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5"/>
        </w:trPr>
        <w:tc>
          <w:tcPr>
            <w:tcW w:w="3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gridSpan w:val="2"/>
          </w:tcPr>
          <w:p>
            <w:pPr>
              <w:ind w:left="100"/>
              <w:spacing w:after="0" w:line="206" w:lineRule="exact"/>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ind w:left="100"/>
              <w:spacing w:after="0" w:line="206" w:lineRule="exact"/>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0"/>
                <w:szCs w:val="20"/>
                <w:b w:val="1"/>
                <w:bCs w:val="1"/>
                <w:color w:val="auto"/>
                <w:vertAlign w:val="superscript"/>
              </w:rPr>
              <w:t>(1)</w:t>
            </w:r>
          </w:p>
        </w:tc>
        <w:tc>
          <w:tcPr>
            <w:tcW w:w="3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467"/>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9"/>
        </w:trPr>
        <w:tc>
          <w:tcPr>
            <w:tcW w:w="37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Debt and preferred equity investments</w:t>
            </w:r>
          </w:p>
        </w:tc>
        <w:tc>
          <w:tcPr>
            <w:tcW w:w="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303,726</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tcPr>
          <w:p>
            <w:pPr>
              <w:jc w:val="right"/>
              <w:ind w:right="767"/>
              <w:spacing w:after="0"/>
              <w:rPr>
                <w:sz w:val="20"/>
                <w:szCs w:val="20"/>
                <w:color w:val="auto"/>
              </w:rPr>
            </w:pPr>
            <w:r>
              <w:rPr>
                <w:rFonts w:ascii="Times New Roman" w:cs="Times New Roman" w:eastAsia="Times New Roman" w:hAnsi="Times New Roman"/>
                <w:sz w:val="10"/>
                <w:szCs w:val="10"/>
                <w:b w:val="1"/>
                <w:bCs w:val="1"/>
                <w:color w:val="auto"/>
              </w:rPr>
              <w:t>(2)</w:t>
            </w:r>
          </w:p>
        </w:tc>
        <w:tc>
          <w:tcPr>
            <w:tcW w:w="100" w:type="dxa"/>
            <w:vAlign w:val="bottom"/>
          </w:tcPr>
          <w:p>
            <w:pPr>
              <w:spacing w:after="0"/>
              <w:rPr>
                <w:sz w:val="11"/>
                <w:szCs w:val="11"/>
                <w:color w:val="auto"/>
              </w:rPr>
            </w:pPr>
          </w:p>
        </w:tc>
        <w:tc>
          <w:tcPr>
            <w:tcW w:w="1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346,745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jc w:val="right"/>
              <w:ind w:right="747"/>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76"/>
        </w:trPr>
        <w:tc>
          <w:tcPr>
            <w:tcW w:w="376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Fixed rate debt</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3,257,474</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3,225,767</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3,237,386</w:t>
            </w:r>
          </w:p>
        </w:tc>
        <w:tc>
          <w:tcPr>
            <w:tcW w:w="12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3,184,338</w:t>
            </w:r>
          </w:p>
        </w:tc>
        <w:tc>
          <w:tcPr>
            <w:tcW w:w="0" w:type="dxa"/>
            <w:vAlign w:val="bottom"/>
          </w:tcPr>
          <w:p>
            <w:pPr>
              <w:spacing w:after="0"/>
              <w:rPr>
                <w:sz w:val="1"/>
                <w:szCs w:val="1"/>
                <w:color w:val="auto"/>
              </w:rPr>
            </w:pPr>
          </w:p>
        </w:tc>
      </w:tr>
      <w:tr>
        <w:trPr>
          <w:trHeight w:val="211"/>
        </w:trPr>
        <w:tc>
          <w:tcPr>
            <w:tcW w:w="37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 xml:space="preserve">Variable rate debt </w:t>
            </w:r>
            <w:r>
              <w:rPr>
                <w:rFonts w:ascii="Times New Roman" w:cs="Times New Roman" w:eastAsia="Times New Roman" w:hAnsi="Times New Roman"/>
                <w:sz w:val="20"/>
                <w:szCs w:val="20"/>
                <w:color w:val="auto"/>
                <w:vertAlign w:val="superscript"/>
              </w:rPr>
              <w:t>(3)</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363,550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355,364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268,787</w:t>
            </w:r>
          </w:p>
        </w:tc>
        <w:tc>
          <w:tcPr>
            <w:tcW w:w="0" w:type="dxa"/>
            <w:vAlign w:val="bottom"/>
          </w:tcPr>
          <w:p>
            <w:pPr>
              <w:spacing w:after="0"/>
              <w:rPr>
                <w:sz w:val="1"/>
                <w:szCs w:val="1"/>
                <w:color w:val="auto"/>
              </w:rPr>
            </w:pPr>
          </w:p>
        </w:tc>
      </w:tr>
      <w:tr>
        <w:trPr>
          <w:trHeight w:val="20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Total debt</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3,621,024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3,581,131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3,507,386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3,453,125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exclude net deferred financing costs.</w:t>
      </w:r>
    </w:p>
    <w:p>
      <w:pPr>
        <w:spacing w:after="0" w:line="21" w:lineRule="exact"/>
        <w:rPr>
          <w:rFonts w:ascii="Times New Roman" w:cs="Times New Roman" w:eastAsia="Times New Roman" w:hAnsi="Times New Roman"/>
          <w:sz w:val="14"/>
          <w:szCs w:val="14"/>
          <w:color w:val="auto"/>
        </w:rPr>
      </w:pPr>
    </w:p>
    <w:p>
      <w:pPr>
        <w:ind w:left="400" w:hanging="395"/>
        <w:spacing w:after="0" w:line="268" w:lineRule="auto"/>
        <w:tabs>
          <w:tab w:leader="none" w:pos="39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2024, debt and preferred equity investments had an estimated fair value of approximately $0.3 billion. As of December 31, 2023, debt and preferred equity investments had an estimated fair value of approximately $0.3 billion.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Disclosures regarding fair value of financial instruments was based on pertinent information available to us as of December 31, 2024 and 2023. Such amounts have not been comprehensively revalued for purposes of these financial statements since that date and current estimates of fair value may differ significantly from the amounts presented herein.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Financial Instruments: Derivatives and Hedging</w:t>
      </w:r>
    </w:p>
    <w:p>
      <w:pPr>
        <w:spacing w:after="0" w:line="121"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In the normal course of business, we use a variety of commonly used derivative instruments, including, but not limited to, interest rate swaps, caps, collars and floors, to manage interest rate risk. We hedge our exposure to variability in future cash flows for forecasted transactions in addition to anticipated future interest payments on existing debt. We recognize all derivatives on the balance sheet at fair value. Derivatives that are not hedges are adjusted to fair value through earnings. If a derivative is a hedge, depending on the nature of the hedge, changes in the fair value of the derivative will either be offset against the change in fair value of the hedge asset, liability, or firm commitment through earnings, or recognized in other comprehensive income (loss) until the hedged item is recognized in earnings. Reported net income and equity may increase or decrease prospectively, depending on future levels of interest rates and other variables affecting the fair values of derivative instruments and hedged items, but will have no effect on cash flows. Currently, all of our designated derivative instruments are effective hedging instruments.</w:t>
      </w:r>
    </w:p>
    <w:p>
      <w:pPr>
        <w:spacing w:after="0" w:line="70"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notional value at inception and fair value of our consolidated derivative financial instruments as of December 31, 2024 based on Level 2 information. The notional value is an indication of the extent of our involvement in these instruments at that time, but does not represent exposure to credit, interest rate or market risks (dollars in thousands).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Notional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Strike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Expiration</w:t>
            </w: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240" w:type="dxa"/>
            <w:vAlign w:val="bottom"/>
          </w:tcPr>
          <w:p>
            <w:pPr>
              <w:spacing w:after="0"/>
              <w:rPr>
                <w:sz w:val="16"/>
                <w:szCs w:val="16"/>
                <w:color w:val="auto"/>
              </w:rPr>
            </w:pPr>
          </w:p>
        </w:tc>
        <w:tc>
          <w:tcPr>
            <w:tcW w:w="94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Fair</w:t>
            </w:r>
          </w:p>
        </w:tc>
        <w:tc>
          <w:tcPr>
            <w:tcW w:w="0" w:type="dxa"/>
            <w:vAlign w:val="bottom"/>
          </w:tcPr>
          <w:p>
            <w:pPr>
              <w:spacing w:after="0"/>
              <w:rPr>
                <w:sz w:val="1"/>
                <w:szCs w:val="1"/>
                <w:color w:val="auto"/>
              </w:rPr>
            </w:pPr>
          </w:p>
        </w:tc>
      </w:tr>
      <w:tr>
        <w:trPr>
          <w:trHeight w:val="209"/>
        </w:trPr>
        <w:tc>
          <w:tcPr>
            <w:tcW w:w="246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7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04"/>
        </w:trPr>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w:t>
            </w: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205,000</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2024</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February 2025</w:t>
            </w:r>
          </w:p>
        </w:tc>
        <w:tc>
          <w:tcPr>
            <w:tcW w:w="1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Cap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June 2024</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June 2025</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June 2024</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June 2025</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Cap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68,678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July 2025</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December 2021</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January 2026</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December 2021</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January 2026</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3.667 %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December 2026</w:t>
            </w:r>
          </w:p>
        </w:tc>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3.670 %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December 2026</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2027</w:t>
            </w:r>
          </w:p>
        </w:tc>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2027</w:t>
            </w: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2027</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2023</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February 2027</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5,711</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July 2023</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May 2027</w:t>
            </w:r>
          </w:p>
        </w:tc>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7,637</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January 2024</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May 2027</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November 2022</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June 2027</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68,678</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August 2024</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June 2027</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November 2024</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November 2027</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0" w:type="dxa"/>
            <w:vAlign w:val="bottom"/>
          </w:tcPr>
          <w:p>
            <w:pPr>
              <w:spacing w:after="0"/>
              <w:rPr>
                <w:sz w:val="1"/>
                <w:szCs w:val="1"/>
                <w:color w:val="auto"/>
              </w:rPr>
            </w:pPr>
          </w:p>
        </w:tc>
      </w:tr>
      <w:tr>
        <w:trPr>
          <w:trHeight w:val="208"/>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3.756 %</w:t>
            </w:r>
          </w:p>
        </w:tc>
        <w:tc>
          <w:tcPr>
            <w:tcW w:w="10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January 2023</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January 2028</w:t>
            </w:r>
          </w:p>
        </w:tc>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204,963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3.915 %</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February 2025</w:t>
            </w:r>
          </w:p>
        </w:tc>
        <w:tc>
          <w:tcPr>
            <w:tcW w:w="1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May 2028</w:t>
            </w: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04"/>
        </w:trPr>
        <w:tc>
          <w:tcPr>
            <w:tcW w:w="2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25,391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firstLine="393"/>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2024, we recorded a gain of $5.5 million based on the changes in the fair value of forward-starting interest rate swaps, which is included in Purchase price and other fair value adjustments in the consolidated statements of operations. During the year ended December 31, 2023, we recorded a loss of $10.4 million based on the changes in the fair value of an interest rate cap we sold and a forward-starting interest rate swap. During the year ended December 31, 2022, we recorded a loss of $1.7 million based on the changes in the fair value of an interest rate cap we sold. During the year ended December 31, 2024, we recorded a gain of $0.1 million, on the changes in fair value, which is included in interest expenses in the consolidated statements of operations. During the years ended December 31, 2023 and 2022, we recorded losses of $0.2 million and $0.3 million, respectively, on the changes in the fair value, which is included in interest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Certain agreements the Company has with each of its derivative counterparties contain a provision where if the Company defaults on any of its indebtedness, then the Company could also be declared in default on its derivative obligations. As of December 31, 2024, the fair value of derivatives in a net liability position, including accrued interest but excluding any adjustment for nonperformance risk related to these agreements was $6.7 million. As of December 31, 2024, the Company was not required to post any collateral related to these agreements and was not in breach of any agreement provisions. If the Company had breached any of these provisions, it could have been required to settle its obligations under the agreements at their aggregate termination value of $6.8 million as of December 31, 2024.</w:t>
      </w:r>
    </w:p>
    <w:p>
      <w:pPr>
        <w:spacing w:after="0" w:line="69"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Gains and losses on terminated hedges are included in accumulated other comprehensive income, and are recognized into earnings over the term of the related obligation. Over time, the realized and unrealized gains and losses held in accumulated other comprehensive income will be reclassified into earnings as an adjustment to interest expense in the same periods in which the hedged interest payments affect earnings. We estimate that ($18.4 million) of the current balance held in accumulated other comprehensive income will be reclassified into interest expense and ($1.7 million) of the portion related to our share of joint venture accumulated other comprehensive income will be reclassified into equity in net loss from unconsolidated joint ventures within the next 12 months.</w:t>
      </w:r>
    </w:p>
    <w:p>
      <w:pPr>
        <w:spacing w:after="0" w:line="67"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following table presents the effects of our derivative financial instruments and our share of our joint ventures' derivative financial instruments that are designated and qualify as hedging instruments on the consolidated statements of operations for the years ended December 31, 2024, 2023, and 2022, respectively (in thousands):</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6"/>
          </w:tcPr>
          <w:p>
            <w:pPr>
              <w:jc w:val="center"/>
              <w:ind w:left="446"/>
              <w:spacing w:after="0"/>
              <w:rPr>
                <w:sz w:val="20"/>
                <w:szCs w:val="20"/>
                <w:color w:val="auto"/>
              </w:rPr>
            </w:pPr>
            <w:r>
              <w:rPr>
                <w:rFonts w:ascii="Times New Roman" w:cs="Times New Roman" w:eastAsia="Times New Roman" w:hAnsi="Times New Roman"/>
                <w:sz w:val="14"/>
                <w:szCs w:val="14"/>
                <w:b w:val="1"/>
                <w:bCs w:val="1"/>
                <w:color w:val="auto"/>
                <w:w w:val="99"/>
              </w:rPr>
              <w:t>Amount of Gain (Loss)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 Reclassified</w:t>
            </w:r>
          </w:p>
        </w:tc>
        <w:tc>
          <w:tcPr>
            <w:tcW w:w="120" w:type="dxa"/>
            <w:vAlign w:val="bottom"/>
          </w:tcPr>
          <w:p>
            <w:pPr>
              <w:spacing w:after="0"/>
              <w:rPr>
                <w:sz w:val="13"/>
                <w:szCs w:val="13"/>
                <w:color w:val="auto"/>
              </w:rPr>
            </w:pPr>
          </w:p>
        </w:tc>
        <w:tc>
          <w:tcPr>
            <w:tcW w:w="3080" w:type="dxa"/>
            <w:vAlign w:val="bottom"/>
            <w:gridSpan w:val="7"/>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Amount of Gain (Loss) Reclassified from</w:t>
            </w:r>
          </w:p>
        </w:tc>
        <w:tc>
          <w:tcPr>
            <w:tcW w:w="0" w:type="dxa"/>
            <w:vAlign w:val="bottom"/>
          </w:tcPr>
          <w:p>
            <w:pPr>
              <w:spacing w:after="0"/>
              <w:rPr>
                <w:sz w:val="1"/>
                <w:szCs w:val="1"/>
                <w:color w:val="auto"/>
              </w:rPr>
            </w:pPr>
          </w:p>
        </w:tc>
      </w:tr>
      <w:tr>
        <w:trPr>
          <w:trHeight w:val="143"/>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7"/>
          </w:tcPr>
          <w:p>
            <w:pPr>
              <w:jc w:val="center"/>
              <w:ind w:right="44"/>
              <w:spacing w:after="0" w:line="143" w:lineRule="exact"/>
              <w:rPr>
                <w:sz w:val="20"/>
                <w:szCs w:val="20"/>
                <w:color w:val="auto"/>
              </w:rPr>
            </w:pPr>
            <w:r>
              <w:rPr>
                <w:rFonts w:ascii="Times New Roman" w:cs="Times New Roman" w:eastAsia="Times New Roman" w:hAnsi="Times New Roman"/>
                <w:sz w:val="14"/>
                <w:szCs w:val="14"/>
                <w:b w:val="1"/>
                <w:bCs w:val="1"/>
                <w:color w:val="auto"/>
                <w:w w:val="99"/>
              </w:rPr>
              <w:t>Accumulated Other Comprehensive Income into</w:t>
            </w:r>
          </w:p>
        </w:tc>
        <w:tc>
          <w:tcPr>
            <w:tcW w:w="0" w:type="dxa"/>
            <w:vAlign w:val="bottom"/>
          </w:tcPr>
          <w:p>
            <w:pPr>
              <w:spacing w:after="0"/>
              <w:rPr>
                <w:sz w:val="1"/>
                <w:szCs w:val="1"/>
                <w:color w:val="auto"/>
              </w:rPr>
            </w:pPr>
          </w:p>
        </w:tc>
      </w:tr>
      <w:tr>
        <w:trPr>
          <w:trHeight w:val="144"/>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80" w:type="dxa"/>
            <w:vAlign w:val="bottom"/>
            <w:gridSpan w:val="7"/>
          </w:tcPr>
          <w:p>
            <w:pPr>
              <w:jc w:val="center"/>
              <w:ind w:right="144"/>
              <w:spacing w:after="0" w:line="145" w:lineRule="exact"/>
              <w:rPr>
                <w:sz w:val="20"/>
                <w:szCs w:val="20"/>
                <w:color w:val="auto"/>
              </w:rPr>
            </w:pPr>
            <w:r>
              <w:rPr>
                <w:rFonts w:ascii="Times New Roman" w:cs="Times New Roman" w:eastAsia="Times New Roman" w:hAnsi="Times New Roman"/>
                <w:sz w:val="14"/>
                <w:szCs w:val="14"/>
                <w:b w:val="1"/>
                <w:bCs w:val="1"/>
                <w:color w:val="auto"/>
                <w:w w:val="99"/>
              </w:rPr>
              <w:t>Other Comprehensive Income (Loss)</w:t>
            </w:r>
          </w:p>
        </w:tc>
        <w:tc>
          <w:tcPr>
            <w:tcW w:w="100" w:type="dxa"/>
            <w:vAlign w:val="bottom"/>
          </w:tcPr>
          <w:p>
            <w:pPr>
              <w:spacing w:after="0"/>
              <w:rPr>
                <w:sz w:val="12"/>
                <w:szCs w:val="12"/>
                <w:color w:val="auto"/>
              </w:rPr>
            </w:pPr>
          </w:p>
        </w:tc>
        <w:tc>
          <w:tcPr>
            <w:tcW w:w="234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from Accumulated Other</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2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Income into Income</w:t>
            </w: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40" w:type="dxa"/>
            <w:vAlign w:val="bottom"/>
            <w:gridSpan w:val="6"/>
            <w:vMerge w:val="restart"/>
          </w:tcPr>
          <w:p>
            <w:pPr>
              <w:jc w:val="center"/>
              <w:ind w:left="446"/>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4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3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340" w:type="dxa"/>
            <w:vAlign w:val="bottom"/>
            <w:gridSpan w:val="6"/>
            <w:vMerge w:val="restart"/>
          </w:tcPr>
          <w:p>
            <w:pPr>
              <w:jc w:val="center"/>
              <w:ind w:left="546"/>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2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gridSpan w:val="6"/>
            <w:vMerge w:val="continue"/>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340" w:type="dxa"/>
            <w:vAlign w:val="bottom"/>
            <w:tcBorders>
              <w:bottom w:val="single" w:sz="8" w:color="auto"/>
            </w:tcBorders>
            <w:gridSpan w:val="6"/>
            <w:vMerge w:val="continue"/>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3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20" w:type="dxa"/>
            <w:vAlign w:val="bottom"/>
          </w:tcPr>
          <w:p>
            <w:pPr>
              <w:spacing w:after="0"/>
              <w:rPr>
                <w:sz w:val="18"/>
                <w:szCs w:val="18"/>
                <w:color w:val="auto"/>
              </w:rPr>
            </w:pPr>
          </w:p>
        </w:tc>
        <w:tc>
          <w:tcPr>
            <w:tcW w:w="780" w:type="dxa"/>
            <w:vAlign w:val="bottom"/>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
        </w:trPr>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Swaps/Caps</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41,802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83,162</w:t>
            </w:r>
          </w:p>
        </w:tc>
        <w:tc>
          <w:tcPr>
            <w:tcW w:w="100" w:type="dxa"/>
            <w:vAlign w:val="bottom"/>
            <w:shd w:val="clear" w:color="auto" w:fill="CCEEFF"/>
          </w:tcPr>
          <w:p>
            <w:pPr>
              <w:spacing w:after="0"/>
              <w:rPr>
                <w:sz w:val="17"/>
                <w:szCs w:val="17"/>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37,398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w:t>
            </w:r>
          </w:p>
        </w:tc>
        <w:tc>
          <w:tcPr>
            <w:tcW w:w="0" w:type="dxa"/>
            <w:vAlign w:val="bottom"/>
          </w:tcPr>
          <w:p>
            <w:pPr>
              <w:spacing w:after="0"/>
              <w:rPr>
                <w:sz w:val="1"/>
                <w:szCs w:val="1"/>
                <w:color w:val="auto"/>
              </w:rPr>
            </w:pPr>
          </w:p>
        </w:tc>
      </w:tr>
      <w:tr>
        <w:trPr>
          <w:trHeight w:val="157"/>
        </w:trPr>
        <w:tc>
          <w:tcPr>
            <w:tcW w:w="230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color w:val="auto"/>
              </w:rPr>
              <w:t>Share of unconsolidated joint</w:t>
            </w:r>
          </w:p>
        </w:tc>
        <w:tc>
          <w:tcPr>
            <w:tcW w:w="220" w:type="dxa"/>
            <w:vAlign w:val="bottom"/>
          </w:tcPr>
          <w:p>
            <w:pPr>
              <w:spacing w:after="0"/>
              <w:rPr>
                <w:sz w:val="13"/>
                <w:szCs w:val="13"/>
                <w:color w:val="auto"/>
              </w:rPr>
            </w:pPr>
          </w:p>
        </w:tc>
        <w:tc>
          <w:tcPr>
            <w:tcW w:w="78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auto"/>
              </w:rPr>
              <w:t>6,870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7,399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24,783</w:t>
            </w:r>
          </w:p>
        </w:tc>
        <w:tc>
          <w:tcPr>
            <w:tcW w:w="100" w:type="dxa"/>
            <w:vAlign w:val="bottom"/>
          </w:tcPr>
          <w:p>
            <w:pPr>
              <w:spacing w:after="0"/>
              <w:rPr>
                <w:sz w:val="13"/>
                <w:szCs w:val="13"/>
                <w:color w:val="auto"/>
              </w:rPr>
            </w:pPr>
          </w:p>
        </w:tc>
        <w:tc>
          <w:tcPr>
            <w:tcW w:w="234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Equity in net loss from</w:t>
            </w:r>
          </w:p>
        </w:tc>
        <w:tc>
          <w:tcPr>
            <w:tcW w:w="120" w:type="dxa"/>
            <w:vAlign w:val="bottom"/>
          </w:tcPr>
          <w:p>
            <w:pPr>
              <w:spacing w:after="0"/>
              <w:rPr>
                <w:sz w:val="13"/>
                <w:szCs w:val="13"/>
                <w:color w:val="auto"/>
              </w:rPr>
            </w:pPr>
          </w:p>
        </w:tc>
        <w:tc>
          <w:tcPr>
            <w:tcW w:w="88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auto"/>
              </w:rPr>
              <w:t>10,965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0" w:type="dxa"/>
            <w:vAlign w:val="bottom"/>
          </w:tcPr>
          <w:p>
            <w:pPr>
              <w:spacing w:after="0"/>
              <w:rPr>
                <w:sz w:val="1"/>
                <w:szCs w:val="1"/>
                <w:color w:val="auto"/>
              </w:rPr>
            </w:pPr>
          </w:p>
        </w:tc>
      </w:tr>
      <w:tr>
        <w:trPr>
          <w:trHeight w:val="208"/>
        </w:trPr>
        <w:tc>
          <w:tcPr>
            <w:tcW w:w="2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ventures' derivative instruments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unconsolidated joint ventures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48,672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107,945</w:t>
            </w: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b w:val="1"/>
                <w:bCs w:val="1"/>
                <w:color w:val="auto"/>
              </w:rPr>
              <w:t>48,363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notional value at inception and fair value of our joint ventures' derivative financial instruments as of December 31, 2024 based on Level 2 information. The notional value is an indication of the extent of our involvement in these instruments at that time, but does not represent exposure to credit, interest rate or market risks (dollars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Strike Rate</w:t>
            </w: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Classification</w:t>
            </w:r>
          </w:p>
        </w:tc>
        <w:tc>
          <w:tcPr>
            <w:tcW w:w="240" w:type="dxa"/>
            <w:vAlign w:val="bottom"/>
          </w:tcPr>
          <w:p>
            <w:pPr>
              <w:spacing w:after="0"/>
              <w:rPr>
                <w:sz w:val="16"/>
                <w:szCs w:val="16"/>
                <w:color w:val="auto"/>
              </w:rPr>
            </w:pP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4"/>
        </w:trPr>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658,357</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November 2024</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May 2025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Asset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r>
      <w:tr>
        <w:trPr>
          <w:trHeight w:val="208"/>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Cap</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285,000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4.000 %</w:t>
            </w:r>
          </w:p>
        </w:tc>
        <w:tc>
          <w:tcPr>
            <w:tcW w:w="1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August 2024</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July 2025</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1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3.608 %</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April 2023</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r>
      <w:tr>
        <w:trPr>
          <w:trHeight w:val="208"/>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3.608 %</w:t>
            </w:r>
          </w:p>
        </w:tc>
        <w:tc>
          <w:tcPr>
            <w:tcW w:w="1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April 2023</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w:t>
            </w:r>
          </w:p>
        </w:tc>
      </w:tr>
      <w:tr>
        <w:trPr>
          <w:trHeight w:val="21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177,000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1.555 %</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December 2022</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February 2026</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Asset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4,964</w:t>
            </w:r>
          </w:p>
        </w:tc>
      </w:tr>
      <w:tr>
        <w:trPr>
          <w:trHeight w:val="208"/>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268,750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4.039 %</w:t>
            </w:r>
          </w:p>
        </w:tc>
        <w:tc>
          <w:tcPr>
            <w:tcW w:w="1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July 2024</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September 2028</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Liability</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w:t>
            </w:r>
          </w:p>
        </w:tc>
      </w:tr>
      <w:tr>
        <w:trPr>
          <w:trHeight w:val="21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268,750</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4.058 %</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July 2024</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September 2028</w:t>
            </w: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Liability</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08"/>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Rate Swap</w:t>
            </w:r>
          </w:p>
        </w:tc>
        <w:tc>
          <w:tcPr>
            <w:tcW w:w="16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537,500</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4.065 %</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July 2024</w:t>
            </w:r>
          </w:p>
        </w:tc>
        <w:tc>
          <w:tcPr>
            <w:tcW w:w="156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September 2028</w:t>
            </w:r>
          </w:p>
        </w:tc>
        <w:tc>
          <w:tcPr>
            <w:tcW w:w="13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Liability</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w:t>
            </w:r>
          </w:p>
        </w:tc>
      </w:tr>
      <w:tr>
        <w:trPr>
          <w:trHeight w:val="229"/>
        </w:trPr>
        <w:tc>
          <w:tcPr>
            <w:tcW w:w="2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5,859</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Lease Income</w:t>
      </w:r>
    </w:p>
    <w:p>
      <w:pPr>
        <w:spacing w:after="0" w:line="121" w:lineRule="exact"/>
        <w:rPr>
          <w:sz w:val="20"/>
          <w:szCs w:val="20"/>
          <w:color w:val="auto"/>
        </w:rPr>
      </w:pPr>
    </w:p>
    <w:p>
      <w:pPr>
        <w:jc w:val="both"/>
        <w:ind w:right="100" w:firstLine="393"/>
        <w:spacing w:after="0" w:line="277" w:lineRule="auto"/>
        <w:rPr>
          <w:sz w:val="20"/>
          <w:szCs w:val="20"/>
          <w:color w:val="auto"/>
        </w:rPr>
      </w:pPr>
      <w:r>
        <w:rPr>
          <w:rFonts w:ascii="Times New Roman" w:cs="Times New Roman" w:eastAsia="Times New Roman" w:hAnsi="Times New Roman"/>
          <w:sz w:val="17"/>
          <w:szCs w:val="17"/>
          <w:color w:val="auto"/>
        </w:rPr>
        <w:t>The Operating Partnership is the lessor and the sublessor to tenants under operating and sales-type leases. The minimum rental amounts due under the leases are generally subject to scheduled fixed increases or adjustments. The leases generally also require that the tenants reimburse us for increases in certain operating costs and real estate taxes above their base year costs.</w:t>
      </w:r>
    </w:p>
    <w:p>
      <w:pPr>
        <w:spacing w:after="0" w:line="57" w:lineRule="exact"/>
        <w:rPr>
          <w:sz w:val="20"/>
          <w:szCs w:val="20"/>
          <w:color w:val="auto"/>
        </w:rPr>
      </w:pPr>
    </w:p>
    <w:p>
      <w:pPr>
        <w:jc w:val="both"/>
        <w:ind w:right="100" w:firstLine="393"/>
        <w:spacing w:after="0" w:line="268" w:lineRule="auto"/>
        <w:rPr>
          <w:sz w:val="20"/>
          <w:szCs w:val="20"/>
          <w:color w:val="auto"/>
        </w:rPr>
      </w:pPr>
      <w:r>
        <w:rPr>
          <w:rFonts w:ascii="Times New Roman" w:cs="Times New Roman" w:eastAsia="Times New Roman" w:hAnsi="Times New Roman"/>
          <w:sz w:val="17"/>
          <w:szCs w:val="17"/>
          <w:color w:val="auto"/>
        </w:rPr>
        <w:t>Future minimum rents to be received over the next five years and thereafter for operating leases in effect at December 31, 2024 are as follows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544,452</w:t>
            </w:r>
          </w:p>
        </w:tc>
      </w:tr>
      <w:tr>
        <w:trPr>
          <w:trHeight w:val="209"/>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507,298</w:t>
            </w:r>
          </w:p>
        </w:tc>
      </w:tr>
      <w:tr>
        <w:trPr>
          <w:trHeight w:val="211"/>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454,095</w:t>
            </w:r>
          </w:p>
        </w:tc>
      </w:tr>
      <w:tr>
        <w:trPr>
          <w:trHeight w:val="209"/>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390,475</w:t>
            </w:r>
          </w:p>
        </w:tc>
      </w:tr>
      <w:tr>
        <w:trPr>
          <w:trHeight w:val="211"/>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355,565</w:t>
            </w:r>
          </w:p>
        </w:tc>
      </w:tr>
      <w:tr>
        <w:trPr>
          <w:trHeight w:val="209"/>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1,402,994</w:t>
            </w:r>
          </w:p>
        </w:tc>
      </w:tr>
      <w:tr>
        <w:trPr>
          <w:trHeight w:val="228"/>
        </w:trPr>
        <w:tc>
          <w:tcPr>
            <w:tcW w:w="96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3,654,879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100" w:firstLine="393"/>
        <w:spacing w:after="0" w:line="297" w:lineRule="auto"/>
        <w:rPr>
          <w:sz w:val="20"/>
          <w:szCs w:val="20"/>
          <w:color w:val="auto"/>
        </w:rPr>
      </w:pPr>
      <w:r>
        <w:rPr>
          <w:rFonts w:ascii="Times New Roman" w:cs="Times New Roman" w:eastAsia="Times New Roman" w:hAnsi="Times New Roman"/>
          <w:sz w:val="17"/>
          <w:szCs w:val="17"/>
          <w:color w:val="auto"/>
        </w:rPr>
        <w:t>The components of lease income from operating leases in our consolidated statements of operations for the years ended December 31, 2024, 2023 and 2022 were as follows (in thousands):</w:t>
      </w:r>
    </w:p>
    <w:p>
      <w:pPr>
        <w:spacing w:after="0" w:line="82"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00" w:type="dxa"/>
            <w:vAlign w:val="bottom"/>
            <w:tcBorders>
              <w:bottom w:val="single" w:sz="8" w:color="auto"/>
            </w:tcBorders>
          </w:tcPr>
          <w:p>
            <w:pPr>
              <w:spacing w:after="0"/>
              <w:rPr>
                <w:sz w:val="18"/>
                <w:szCs w:val="18"/>
                <w:color w:val="auto"/>
              </w:rPr>
            </w:pPr>
          </w:p>
        </w:tc>
      </w:tr>
      <w:tr>
        <w:trPr>
          <w:trHeight w:val="204"/>
        </w:trPr>
        <w:tc>
          <w:tcPr>
            <w:tcW w:w="7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lease payments</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545,573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589,469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20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Variable lease payments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63,004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Total lease payments </w:t>
            </w:r>
            <w:r>
              <w:rPr>
                <w:rFonts w:ascii="Times New Roman" w:cs="Times New Roman" w:eastAsia="Times New Roman" w:hAnsi="Times New Roman"/>
                <w:sz w:val="9"/>
                <w:szCs w:val="9"/>
                <w:color w:val="auto"/>
              </w:rPr>
              <w:t>(1)</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608,577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669,110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r>
      <w:tr>
        <w:trPr>
          <w:trHeight w:val="20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acquired above and below-market leases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(2,578)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29"/>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rental revenue</w:t>
            </w: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605,999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683,335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tabs>
          <w:tab w:leader="none" w:pos="4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$188.5 million and $196.5 million of sublease income for the years ended December 31, 2024 and 2023, respectively.</w:t>
      </w: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table below summarizes our investment in sales-type leases as of December 31, 2024:</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51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Year of Current Expiration</w:t>
            </w:r>
          </w:p>
        </w:tc>
        <w:tc>
          <w:tcPr>
            <w:tcW w:w="20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8"/>
              </w:rPr>
              <w:t xml:space="preserve">Year of Final Expiration </w:t>
            </w:r>
            <w:r>
              <w:rPr>
                <w:rFonts w:ascii="Times New Roman" w:cs="Times New Roman" w:eastAsia="Times New Roman" w:hAnsi="Times New Roman"/>
                <w:sz w:val="20"/>
                <w:szCs w:val="20"/>
                <w:b w:val="1"/>
                <w:bCs w:val="1"/>
                <w:color w:val="auto"/>
                <w:w w:val="98"/>
                <w:vertAlign w:val="superscript"/>
              </w:rPr>
              <w:t>(1)</w:t>
            </w:r>
          </w:p>
        </w:tc>
      </w:tr>
      <w:tr>
        <w:trPr>
          <w:trHeight w:val="203"/>
        </w:trPr>
        <w:tc>
          <w:tcPr>
            <w:tcW w:w="40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15 Beekman </w:t>
            </w:r>
            <w:r>
              <w:rPr>
                <w:rFonts w:ascii="Times New Roman" w:cs="Times New Roman" w:eastAsia="Times New Roman" w:hAnsi="Times New Roman"/>
                <w:sz w:val="20"/>
                <w:szCs w:val="20"/>
                <w:color w:val="auto"/>
                <w:vertAlign w:val="superscript"/>
              </w:rPr>
              <w:t>(2)</w:t>
            </w:r>
          </w:p>
        </w:tc>
        <w:tc>
          <w:tcPr>
            <w:tcW w:w="5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w:t>
            </w:r>
          </w:p>
        </w:tc>
      </w:tr>
    </w:tbl>
    <w:p>
      <w:pPr>
        <w:spacing w:after="0" w:line="161" w:lineRule="exact"/>
        <w:rPr>
          <w:sz w:val="20"/>
          <w:szCs w:val="20"/>
          <w:color w:val="auto"/>
        </w:rPr>
      </w:pPr>
    </w:p>
    <w:p>
      <w:pPr>
        <w:ind w:left="400" w:hanging="395"/>
        <w:spacing w:after="0"/>
        <w:tabs>
          <w:tab w:leader="none" w:pos="4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exercise of all available renewal options.</w:t>
      </w:r>
    </w:p>
    <w:p>
      <w:pPr>
        <w:spacing w:after="0" w:line="21" w:lineRule="exact"/>
        <w:rPr>
          <w:rFonts w:ascii="Times New Roman" w:cs="Times New Roman" w:eastAsia="Times New Roman" w:hAnsi="Times New Roman"/>
          <w:sz w:val="14"/>
          <w:szCs w:val="14"/>
          <w:color w:val="auto"/>
        </w:rPr>
      </w:pPr>
    </w:p>
    <w:p>
      <w:pPr>
        <w:ind w:left="400" w:right="100" w:hanging="395"/>
        <w:spacing w:after="0" w:line="268" w:lineRule="auto"/>
        <w:tabs>
          <w:tab w:leader="none" w:pos="39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2020, the Company formed a joint venture, which then entered into a long-term sublease with the Company for the building at 15 Beekman. See Note 6, "Investments in Unconsolidated Joint Ventures."</w:t>
      </w:r>
    </w:p>
    <w:p>
      <w:pPr>
        <w:spacing w:after="0" w:line="78" w:lineRule="exact"/>
        <w:rPr>
          <w:sz w:val="20"/>
          <w:szCs w:val="20"/>
          <w:color w:val="auto"/>
        </w:rPr>
      </w:pPr>
    </w:p>
    <w:p>
      <w:pPr>
        <w:ind w:right="100" w:firstLine="393"/>
        <w:spacing w:after="0" w:line="297" w:lineRule="auto"/>
        <w:rPr>
          <w:sz w:val="20"/>
          <w:szCs w:val="20"/>
          <w:color w:val="auto"/>
        </w:rPr>
      </w:pPr>
      <w:r>
        <w:rPr>
          <w:rFonts w:ascii="Times New Roman" w:cs="Times New Roman" w:eastAsia="Times New Roman" w:hAnsi="Times New Roman"/>
          <w:sz w:val="17"/>
          <w:szCs w:val="17"/>
          <w:color w:val="auto"/>
        </w:rPr>
        <w:t>Future minimum lease payments to be received over the next five years and thereafter for our sales-type leases with initial terms in excess of one year as of December 31, 2024 are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Sales-type leases</w:t>
            </w:r>
          </w:p>
        </w:tc>
      </w:tr>
      <w:tr>
        <w:trPr>
          <w:trHeight w:val="20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w:t>
            </w:r>
          </w:p>
        </w:tc>
      </w:tr>
      <w:tr>
        <w:trPr>
          <w:trHeight w:val="208"/>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r>
      <w:tr>
        <w:trPr>
          <w:trHeight w:val="212"/>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r>
      <w:tr>
        <w:trPr>
          <w:trHeight w:val="208"/>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w:t>
            </w:r>
          </w:p>
        </w:tc>
      </w:tr>
      <w:tr>
        <w:trPr>
          <w:trHeight w:val="212"/>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r>
      <w:tr>
        <w:trPr>
          <w:trHeight w:val="208"/>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193,367</w:t>
            </w:r>
          </w:p>
        </w:tc>
      </w:tr>
      <w:tr>
        <w:trPr>
          <w:trHeight w:val="20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209,997</w:t>
            </w:r>
          </w:p>
        </w:tc>
      </w:tr>
      <w:tr>
        <w:trPr>
          <w:trHeight w:val="208"/>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Amount representing interest</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(103,044)</w:t>
            </w:r>
          </w:p>
        </w:tc>
      </w:tr>
      <w:tr>
        <w:trPr>
          <w:trHeight w:val="230"/>
        </w:trPr>
        <w:tc>
          <w:tcPr>
            <w:tcW w:w="9220" w:type="dxa"/>
            <w:vAlign w:val="bottom"/>
            <w:tcBorders>
              <w:bottom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6"/>
                <w:szCs w:val="16"/>
                <w:color w:val="auto"/>
              </w:rPr>
              <w:t xml:space="preserve">Investment in sales-type leases </w:t>
            </w:r>
            <w:r>
              <w:rPr>
                <w:rFonts w:ascii="Times New Roman" w:cs="Times New Roman" w:eastAsia="Times New Roman" w:hAnsi="Times New Roman"/>
                <w:sz w:val="20"/>
                <w:szCs w:val="20"/>
                <w:color w:val="auto"/>
                <w:vertAlign w:val="superscript"/>
              </w:rPr>
              <w:t>(1)</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106,953</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0" w:hanging="395"/>
        <w:spacing w:after="0"/>
        <w:tabs>
          <w:tab w:leader="none" w:pos="4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included in Other assets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components of lease income from sales-type leases during the years ended December 31, 2024, 2023 and 2022 were as follows (in thousands):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000" w:type="dxa"/>
            <w:vAlign w:val="bottom"/>
            <w:tcBorders>
              <w:bottom w:val="single" w:sz="8" w:color="auto"/>
            </w:tcBorders>
          </w:tcPr>
          <w:p>
            <w:pPr>
              <w:spacing w:after="0"/>
              <w:rPr>
                <w:sz w:val="18"/>
                <w:szCs w:val="18"/>
                <w:color w:val="auto"/>
              </w:rPr>
            </w:pPr>
          </w:p>
        </w:tc>
      </w:tr>
      <w:tr>
        <w:trPr>
          <w:trHeight w:val="204"/>
        </w:trPr>
        <w:tc>
          <w:tcPr>
            <w:tcW w:w="70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0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Interest income </w:t>
            </w:r>
            <w:r>
              <w:rPr>
                <w:rFonts w:ascii="Times New Roman" w:cs="Times New Roman" w:eastAsia="Times New Roman" w:hAnsi="Times New Roman"/>
                <w:sz w:val="20"/>
                <w:szCs w:val="20"/>
                <w:color w:val="auto"/>
                <w:vertAlign w:val="superscript"/>
              </w:rPr>
              <w:t>(1)</w:t>
            </w: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w:t>
            </w:r>
          </w:p>
        </w:tc>
      </w:tr>
    </w:tbl>
    <w:p>
      <w:pPr>
        <w:spacing w:after="0" w:line="174" w:lineRule="exact"/>
        <w:rPr>
          <w:sz w:val="20"/>
          <w:szCs w:val="20"/>
          <w:color w:val="auto"/>
        </w:rPr>
      </w:pPr>
    </w:p>
    <w:p>
      <w:pPr>
        <w:ind w:left="400" w:hanging="395"/>
        <w:spacing w:after="0"/>
        <w:tabs>
          <w:tab w:leader="none" w:pos="4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are included in Interest expense, net of interest income in our consolidated statements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Benefit Plans</w:t>
      </w:r>
    </w:p>
    <w:p>
      <w:pPr>
        <w:spacing w:after="0" w:line="12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The building employees are covered by multi-employer defined benefit pension plans and post-retirement health and welfare plans. We participate in the Building Service 32BJ, or Union, Pension Plan and Health Plan. The Pension Plan is a multi-employer, non-contributory defined benefit pension plan that was established under the terms of collective bargaining agreements between the Service Employees International Union, Local 32BJ, the Realty Advisory Board on Labor Relations, Inc. and certain other employees. This Pension Plan is administered by a joint board of trustees consisting of union trustees and employer trustees and operates under employer identification number 13-1879376. The Pension Plan year runs from July 1 to June 30. Employers contribute to the Pension Plan at a fixed rate on behalf of each covered employee. Separate actuarial information regarding such pension plans is not made available to the contributing employers by the union administrators or trustees, since the plans do not maintain separate records for each reporting unit. However, on September 28, 2022, September 28, 2023 and September 12, 2024, the actuary certified that for the plan years beginning July 1, 2022, July 1, 2023 and July 1, 2024, the Pension Plan was in critical or endangered status under the Pension Protection Act of 2006. The Pension Plan trustees adopted a rehabilitation plan consistent with this requirement. No surcharges have been paid to the Pension Plan as of December 31, 2024. For the Pension Plan years ended June 30, 2024, 2023 and 2022, the plan received contributions from employers totaling $530.3 million, $317.9 million and $305.7 million, respectively. Our contributions to the Pension Plan represent less than 5.0% of total contributions to the plan.</w:t>
      </w:r>
    </w:p>
    <w:p>
      <w:pPr>
        <w:spacing w:after="0" w:line="72" w:lineRule="exact"/>
        <w:rPr>
          <w:sz w:val="20"/>
          <w:szCs w:val="20"/>
          <w:color w:val="auto"/>
        </w:rPr>
      </w:pPr>
    </w:p>
    <w:p>
      <w:pPr>
        <w:jc w:val="both"/>
        <w:ind w:firstLine="433"/>
        <w:spacing w:after="0" w:line="263" w:lineRule="auto"/>
        <w:rPr>
          <w:sz w:val="20"/>
          <w:szCs w:val="20"/>
          <w:color w:val="auto"/>
        </w:rPr>
      </w:pPr>
      <w:r>
        <w:rPr>
          <w:rFonts w:ascii="Times New Roman" w:cs="Times New Roman" w:eastAsia="Times New Roman" w:hAnsi="Times New Roman"/>
          <w:sz w:val="17"/>
          <w:szCs w:val="17"/>
          <w:color w:val="auto"/>
        </w:rPr>
        <w:t>The Health Plan was established under the terms of collective bargaining agreements between the Union, the Realty Advisory Board on Labor Relations, Inc. and certain other employers. The Health Plan provides health and other benefits to eligible participants employed in the building service industry who are covered under collective bargaining agreements, or other written agreements, with the Union. The Health Plan is administered by a Board of Trustees with equal representation by the employers and the Union and operates under employer identification number 13-2928869. The Health Plan receives contributions in accordance with collective bargaining agreements or participation agreements. Generally, these agreements provide that the employers contribute to the Health Plan at a fixed rate on behalf of each covered employee. For the Health Plan years ended, June 30, 2024, 2023 and 2022, the plan received contributions from employers totaling $1.7 billion, $1.9 billion and $1.6 billion, respectively. Our contributions to the Health Plan represent less than 5.0% of total contributions to the plan.</w:t>
      </w:r>
    </w:p>
    <w:p>
      <w:pPr>
        <w:spacing w:after="0" w:line="284" w:lineRule="exact"/>
        <w:rPr>
          <w:sz w:val="20"/>
          <w:szCs w:val="20"/>
          <w:color w:val="auto"/>
        </w:rPr>
      </w:pPr>
    </w:p>
    <w:p>
      <w:pPr>
        <w:jc w:val="both"/>
        <w:ind w:firstLine="433"/>
        <w:spacing w:after="0" w:line="268" w:lineRule="auto"/>
        <w:rPr>
          <w:sz w:val="20"/>
          <w:szCs w:val="20"/>
          <w:color w:val="auto"/>
        </w:rPr>
      </w:pPr>
      <w:r>
        <w:rPr>
          <w:rFonts w:ascii="Times New Roman" w:cs="Times New Roman" w:eastAsia="Times New Roman" w:hAnsi="Times New Roman"/>
          <w:sz w:val="17"/>
          <w:szCs w:val="17"/>
          <w:color w:val="auto"/>
        </w:rPr>
        <w:t>Contributions we made to the multi-employer plans for the years ended December 31, 2024, 2023 and 2022 are included in the table below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7"/>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Benefit Plan</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Plan</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1,952</w:t>
            </w:r>
          </w:p>
        </w:tc>
      </w:tr>
      <w:tr>
        <w:trPr>
          <w:trHeight w:val="209"/>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Health Plan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6,386</w:t>
            </w: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plans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807</w:t>
            </w:r>
          </w:p>
        </w:tc>
      </w:tr>
      <w:tr>
        <w:trPr>
          <w:trHeight w:val="204"/>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plan contributions</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9,153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9,145</w:t>
            </w: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401(K) Plan</w:t>
      </w:r>
    </w:p>
    <w:p>
      <w:pPr>
        <w:spacing w:after="0" w:line="121" w:lineRule="exact"/>
        <w:rPr>
          <w:sz w:val="20"/>
          <w:szCs w:val="20"/>
          <w:color w:val="auto"/>
        </w:rPr>
      </w:pPr>
    </w:p>
    <w:p>
      <w:pPr>
        <w:jc w:val="both"/>
        <w:ind w:firstLine="433"/>
        <w:spacing w:after="0" w:line="266" w:lineRule="auto"/>
        <w:rPr>
          <w:sz w:val="20"/>
          <w:szCs w:val="20"/>
          <w:color w:val="auto"/>
        </w:rPr>
      </w:pPr>
      <w:r>
        <w:rPr>
          <w:rFonts w:ascii="Times New Roman" w:cs="Times New Roman" w:eastAsia="Times New Roman" w:hAnsi="Times New Roman"/>
          <w:sz w:val="17"/>
          <w:szCs w:val="17"/>
          <w:color w:val="auto"/>
        </w:rPr>
        <w:t>In August 1997, we implemented a 401(K) Savings/Retirement Plan, or the 401(K) Plan, to cover eligible employees of ours, and any designated affiliate. The 401(K) Plan permits eligible employees to defer up to 15% of their annual compensation, subject to certain limitations imposed by the Code. The employees' elective deferrals are immediately vested and non-forfeitable upon contribution to the 401(K) Plan. During 2003, we amended our 401(K) Plan to provide for discretionary matching contributions only. For 2024, 2023 and 2022, a matching contribution equal to 100% of the first 4% of annual compensation was made. For the years ended December 31, 2024, 2023 and 2022, we made matching contributions of $2.3 million, $1.8 million, and $1.5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ind w:right="8500" w:firstLine="5"/>
        <w:spacing w:after="0" w:line="387" w:lineRule="auto"/>
        <w:tabs>
          <w:tab w:leader="none" w:pos="262"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Legal Proceedings</w:t>
      </w:r>
    </w:p>
    <w:p>
      <w:pPr>
        <w:spacing w:after="0" w:line="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As of December 31, 2024, the Company and the Operating Partnership were not involved in any material litigation nor, to management's knowledge, was any material litigation threatened against us or our portfolio which if adversely determined could have a material adverse impact on us.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Matters</w:t>
      </w:r>
    </w:p>
    <w:p>
      <w:pPr>
        <w:spacing w:after="0" w:line="56"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Our management believes that the properties are in compliance in all material respects with applicable Federal, state and local ordinances and regulations regarding environmental issues. Management is not aware of any environmental liability that it believes would have a materially adverse impact on our financial position, results of operations or cash flows. Management is unaware of any instances in which it would incur significant environmental cost if any of our properties were sold.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2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We have entered into employment agreements with certain executives, which expire between January 2026 and July 2028. The minimum cash-based compensation associated with these employment agreements, which is comprised only of base salary, totals $2.6 million for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Insurance</w:t>
      </w:r>
    </w:p>
    <w:p>
      <w:pPr>
        <w:spacing w:after="0" w:line="121" w:lineRule="exact"/>
        <w:rPr>
          <w:sz w:val="20"/>
          <w:szCs w:val="20"/>
          <w:color w:val="auto"/>
        </w:rPr>
      </w:pPr>
    </w:p>
    <w:p>
      <w:pPr>
        <w:jc w:val="both"/>
        <w:ind w:firstLine="433"/>
        <w:spacing w:after="0" w:line="261" w:lineRule="auto"/>
        <w:rPr>
          <w:sz w:val="20"/>
          <w:szCs w:val="20"/>
          <w:color w:val="auto"/>
        </w:rPr>
      </w:pPr>
      <w:r>
        <w:rPr>
          <w:rFonts w:ascii="Times New Roman" w:cs="Times New Roman" w:eastAsia="Times New Roman" w:hAnsi="Times New Roman"/>
          <w:sz w:val="17"/>
          <w:szCs w:val="17"/>
          <w:color w:val="auto"/>
        </w:rPr>
        <w:t>We maintain “all-risk” property and rental value coverage (including coverage regarding the perils of flood, earthquake and terrorism, excluding nuclear, biological, chemical, and radiological terrorism ("NBCR")), within two property insurance programs and liability insurance. Separate property and liability coverage may be purchased on a stand-alone basis for certain assets, such as development projects. Additionally, one of our captive insurance companies, Belmont Insurance Company, or Belmont, provides coverage for NBCR terrorist acts above a specified trigger. Belmont's retention is reinsured by our other captive insurance company, Ticonderoga Insurance Company ("Ticonderoga"). If Belmont or Ticonderoga are required to pay a claim under our insurance policies, we would ultimately record the loss to the extent of required payments.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by the Company or its affiliates.</w:t>
      </w:r>
    </w:p>
    <w:p>
      <w:pPr>
        <w:spacing w:after="0" w:line="7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57"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Belmont had loss reserves of $3.5 million and $3.3 million as of December 31, 2024 and 2023, respectively. Ticonderoga had no loss reserves as of December 31, 2024 and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 Arrangements</w:t>
      </w:r>
    </w:p>
    <w:p>
      <w:pPr>
        <w:spacing w:after="0" w:line="121"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We are a tenant under leases for certain properties, including ground leases. These leases have expirations from 2033 to 2119, or 2043 to 2119 as fully extended. Certain leases offer extension options which we assess against relevant economic factors to determine whether we are reasonably certain of exercising or not exercising the option. Lease payments associated with renewal periods that we are reasonably certain will be exercised, if any, are included in the measurement of the corresponding lease liability and right of use asset.</w:t>
      </w:r>
    </w:p>
    <w:p>
      <w:pPr>
        <w:spacing w:after="0" w:line="64" w:lineRule="exact"/>
        <w:rPr>
          <w:sz w:val="20"/>
          <w:szCs w:val="20"/>
          <w:color w:val="auto"/>
        </w:rPr>
      </w:pPr>
    </w:p>
    <w:p>
      <w:pPr>
        <w:jc w:val="both"/>
        <w:ind w:firstLine="393"/>
        <w:spacing w:after="0" w:line="270" w:lineRule="auto"/>
        <w:rPr>
          <w:sz w:val="20"/>
          <w:szCs w:val="20"/>
          <w:color w:val="auto"/>
        </w:rPr>
      </w:pPr>
      <w:r>
        <w:rPr>
          <w:rFonts w:ascii="Times New Roman" w:cs="Times New Roman" w:eastAsia="Times New Roman" w:hAnsi="Times New Roman"/>
          <w:sz w:val="17"/>
          <w:szCs w:val="17"/>
          <w:color w:val="auto"/>
        </w:rPr>
        <w:t>Certain of our leases are subject to rent resets, generally based on a percentage of the then fair market value, a fixed amount, or a percentage of the preceding rent at specified future dates. Rent resets will be recognized in the periods in which they are incurred. Additionally, certain of our leases are subject to percentage rent arrangements based on thresholds established in the lease agreement, such as percentage of sales at the property. Percentage rents will be recognized in the periods in which they are incurred.</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table below summarizes our current lease arrangements as of December 31,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Property </w:t>
            </w:r>
            <w:r>
              <w:rPr>
                <w:rFonts w:ascii="Times New Roman" w:cs="Times New Roman" w:eastAsia="Times New Roman" w:hAnsi="Times New Roman"/>
                <w:sz w:val="20"/>
                <w:szCs w:val="20"/>
                <w:b w:val="1"/>
                <w:bCs w:val="1"/>
                <w:color w:val="auto"/>
                <w:vertAlign w:val="superscript"/>
              </w:rPr>
              <w:t>(1)</w:t>
            </w:r>
          </w:p>
        </w:tc>
        <w:tc>
          <w:tcPr>
            <w:tcW w:w="39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Year of Current Expiration</w:t>
            </w:r>
          </w:p>
        </w:tc>
        <w:tc>
          <w:tcPr>
            <w:tcW w:w="20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8"/>
              </w:rPr>
              <w:t xml:space="preserve">Year of Final Expiration </w:t>
            </w:r>
            <w:r>
              <w:rPr>
                <w:rFonts w:ascii="Times New Roman" w:cs="Times New Roman" w:eastAsia="Times New Roman" w:hAnsi="Times New Roman"/>
                <w:sz w:val="20"/>
                <w:szCs w:val="20"/>
                <w:b w:val="1"/>
                <w:bCs w:val="1"/>
                <w:color w:val="auto"/>
                <w:w w:val="98"/>
                <w:vertAlign w:val="superscript"/>
              </w:rPr>
              <w:t>(2)</w:t>
            </w:r>
          </w:p>
        </w:tc>
      </w:tr>
      <w:tr>
        <w:trPr>
          <w:trHeight w:val="203"/>
        </w:trPr>
        <w:tc>
          <w:tcPr>
            <w:tcW w:w="52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711 Third Avenue </w:t>
            </w:r>
            <w:r>
              <w:rPr>
                <w:rFonts w:ascii="Times New Roman" w:cs="Times New Roman" w:eastAsia="Times New Roman" w:hAnsi="Times New Roman"/>
                <w:sz w:val="20"/>
                <w:szCs w:val="20"/>
                <w:color w:val="auto"/>
                <w:vertAlign w:val="superscript"/>
              </w:rPr>
              <w:t>(3)</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w:t>
            </w:r>
          </w:p>
        </w:tc>
      </w:tr>
      <w:tr>
        <w:trPr>
          <w:trHeight w:val="20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1185 Avenue of the Americas</w:t>
            </w:r>
          </w:p>
        </w:tc>
        <w:tc>
          <w:tcPr>
            <w:tcW w:w="3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w:t>
            </w:r>
          </w:p>
        </w:tc>
      </w:tr>
      <w:tr>
        <w:trPr>
          <w:trHeight w:val="212"/>
        </w:trPr>
        <w:tc>
          <w:tcPr>
            <w:tcW w:w="526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6"/>
                <w:szCs w:val="16"/>
                <w:color w:val="auto"/>
              </w:rPr>
              <w:t xml:space="preserve">SL Green Headquarters at One Vanderbilt Avenue </w:t>
            </w:r>
            <w:r>
              <w:rPr>
                <w:rFonts w:ascii="Times New Roman" w:cs="Times New Roman" w:eastAsia="Times New Roman" w:hAnsi="Times New Roman"/>
                <w:sz w:val="20"/>
                <w:szCs w:val="20"/>
                <w:color w:val="auto"/>
                <w:vertAlign w:val="superscript"/>
              </w:rPr>
              <w:t>(4)</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w:t>
            </w:r>
          </w:p>
        </w:tc>
      </w:tr>
      <w:tr>
        <w:trPr>
          <w:trHeight w:val="20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420 Lexington Avenue</w:t>
            </w:r>
          </w:p>
        </w:tc>
        <w:tc>
          <w:tcPr>
            <w:tcW w:w="3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SUMMIT One Vanderbilt</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w:t>
            </w:r>
          </w:p>
        </w:tc>
      </w:tr>
      <w:tr>
        <w:trPr>
          <w:trHeight w:val="26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15 Beekman </w:t>
            </w:r>
            <w:r>
              <w:rPr>
                <w:rFonts w:ascii="Times New Roman" w:cs="Times New Roman" w:eastAsia="Times New Roman" w:hAnsi="Times New Roman"/>
                <w:sz w:val="20"/>
                <w:szCs w:val="20"/>
                <w:color w:val="auto"/>
                <w:vertAlign w:val="superscript"/>
              </w:rPr>
              <w:t>(5)(6)</w:t>
            </w:r>
          </w:p>
        </w:tc>
        <w:tc>
          <w:tcPr>
            <w:tcW w:w="3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w:t>
            </w:r>
          </w:p>
        </w:tc>
      </w:tr>
    </w:tbl>
    <w:p>
      <w:pPr>
        <w:spacing w:after="0" w:line="103" w:lineRule="exact"/>
        <w:rPr>
          <w:sz w:val="20"/>
          <w:szCs w:val="20"/>
          <w:color w:val="auto"/>
        </w:rPr>
      </w:pPr>
    </w:p>
    <w:p>
      <w:pPr>
        <w:ind w:left="400" w:hanging="395"/>
        <w:spacing w:after="0"/>
        <w:tabs>
          <w:tab w:leader="none" w:pos="4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leases are classified as operating leases unless otherwise specified.</w:t>
      </w:r>
    </w:p>
    <w:p>
      <w:pPr>
        <w:spacing w:after="0" w:line="21"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exercise of all available extension options.</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owns 50% of the fee interest.</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March 2021, the Company commenced its lease for its corporate headquarters at One Vanderbilt Avenue. See note 10, "Related Party Transactions."</w:t>
      </w:r>
    </w:p>
    <w:p>
      <w:pPr>
        <w:spacing w:after="0" w:line="9"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an option to purchase the ground lease for a fixed price on a specific date. The lease is classified as a financing lease.</w:t>
      </w:r>
    </w:p>
    <w:p>
      <w:pPr>
        <w:ind w:left="400" w:hanging="395"/>
        <w:spacing w:after="0" w:line="262" w:lineRule="auto"/>
        <w:tabs>
          <w:tab w:leader="none" w:pos="39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2020, the Company entered into a long-term sublease with an unconsolidated joint venture as part of the capitalization of the 15 Beekman development project. See Note 6, "Investments in Unconsolidated Joint Ventures."</w:t>
      </w:r>
    </w:p>
    <w:p>
      <w:pPr>
        <w:spacing w:after="0" w:line="83"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following is a schedule of future minimum lease payments as evaluated in accordance with ASC 842 for our financing leases and operating leases with initial terms in excess of one year as of December 31, 2024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Financing leases</w:t>
            </w:r>
          </w:p>
        </w:tc>
        <w:tc>
          <w:tcPr>
            <w:tcW w:w="280" w:type="dxa"/>
            <w:vAlign w:val="bottom"/>
          </w:tcPr>
          <w:p>
            <w:pPr>
              <w:spacing w:after="0"/>
              <w:rPr>
                <w:sz w:val="18"/>
                <w:szCs w:val="18"/>
                <w:color w:val="auto"/>
              </w:rPr>
            </w:pPr>
          </w:p>
        </w:tc>
        <w:tc>
          <w:tcPr>
            <w:tcW w:w="174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05"/>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53,595</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53,734</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53,746</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54,211</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54,443</w:t>
            </w:r>
          </w:p>
        </w:tc>
      </w:tr>
      <w:tr>
        <w:trPr>
          <w:trHeight w:val="208"/>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193,368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1,154,422</w:t>
            </w:r>
          </w:p>
        </w:tc>
      </w:tr>
      <w:tr>
        <w:trPr>
          <w:trHeight w:val="20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209,998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1,424,151</w:t>
            </w:r>
          </w:p>
        </w:tc>
      </w:tr>
      <w:tr>
        <w:trPr>
          <w:trHeight w:val="208"/>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 representing interest</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discounted using incremental borrowing rate</w:t>
            </w: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(613,162)</w:t>
            </w:r>
          </w:p>
        </w:tc>
      </w:tr>
      <w:tr>
        <w:trPr>
          <w:trHeight w:val="20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liabilities</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106,853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810,989</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580"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provides lease cost information for the Company's operating leases for the years ended December 31, 2024, 2023 and 2022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62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000" w:type="dxa"/>
            <w:vAlign w:val="bottom"/>
            <w:tcBorders>
              <w:bottom w:val="single" w:sz="8" w:color="auto"/>
            </w:tcBorders>
          </w:tcPr>
          <w:p>
            <w:pPr>
              <w:spacing w:after="0"/>
              <w:rPr>
                <w:sz w:val="18"/>
                <w:szCs w:val="18"/>
                <w:color w:val="auto"/>
              </w:rPr>
            </w:pPr>
          </w:p>
        </w:tc>
      </w:tr>
      <w:tr>
        <w:trPr>
          <w:trHeight w:val="207"/>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 Costs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 before capitalized operating lease costs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24,423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29,637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33,773</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costs capitalized</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8"/>
              </w:rPr>
              <w:t>(2,345)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8"/>
              </w:rPr>
              <w:t>(6,830)</w:t>
            </w:r>
          </w:p>
        </w:tc>
      </w:tr>
      <w:tr>
        <w:trPr>
          <w:trHeight w:val="204"/>
        </w:trPr>
        <w:tc>
          <w:tcPr>
            <w:tcW w:w="710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color w:val="auto"/>
              </w:rPr>
              <w:t xml:space="preserve">Operating lease costs, net </w:t>
            </w:r>
            <w:r>
              <w:rPr>
                <w:rFonts w:ascii="Times New Roman" w:cs="Times New Roman" w:eastAsia="Times New Roman" w:hAnsi="Times New Roman"/>
                <w:sz w:val="20"/>
                <w:szCs w:val="20"/>
                <w:color w:val="auto"/>
                <w:vertAlign w:val="superscript"/>
              </w:rPr>
              <w:t>(1)</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24,423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27,292</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26,943</w:t>
            </w:r>
          </w:p>
        </w:tc>
      </w:tr>
    </w:tbl>
    <w:p>
      <w:pPr>
        <w:spacing w:after="0" w:line="161" w:lineRule="exact"/>
        <w:rPr>
          <w:sz w:val="20"/>
          <w:szCs w:val="20"/>
          <w:color w:val="auto"/>
        </w:rPr>
      </w:pPr>
    </w:p>
    <w:p>
      <w:pPr>
        <w:ind w:left="400" w:hanging="395"/>
        <w:spacing w:after="0"/>
        <w:tabs>
          <w:tab w:leader="none" w:pos="4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included in Operating lease rent in our consolidated statements of operations.</w:t>
      </w:r>
    </w:p>
    <w:p>
      <w:pPr>
        <w:spacing w:after="0" w:line="119" w:lineRule="exact"/>
        <w:rPr>
          <w:sz w:val="20"/>
          <w:szCs w:val="20"/>
          <w:color w:val="auto"/>
        </w:rPr>
      </w:pPr>
    </w:p>
    <w:p>
      <w:pPr>
        <w:ind w:right="580" w:firstLine="393"/>
        <w:spacing w:after="0" w:line="297" w:lineRule="auto"/>
        <w:rPr>
          <w:sz w:val="20"/>
          <w:szCs w:val="20"/>
          <w:color w:val="auto"/>
        </w:rPr>
      </w:pPr>
      <w:r>
        <w:rPr>
          <w:rFonts w:ascii="Times New Roman" w:cs="Times New Roman" w:eastAsia="Times New Roman" w:hAnsi="Times New Roman"/>
          <w:sz w:val="17"/>
          <w:szCs w:val="17"/>
          <w:color w:val="auto"/>
        </w:rPr>
        <w:t>The following table provides lease cost information for the Company's financing leases for the years ended December 31, 2024, 2023 and 2022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07"/>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Lease Costs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on financing leases before capitalized interest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4,502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w:t>
            </w:r>
          </w:p>
        </w:tc>
      </w:tr>
      <w:tr>
        <w:trPr>
          <w:trHeight w:val="203"/>
        </w:trPr>
        <w:tc>
          <w:tcPr>
            <w:tcW w:w="710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Interest on financing leases, net </w:t>
            </w:r>
            <w:r>
              <w:rPr>
                <w:rFonts w:ascii="Times New Roman" w:cs="Times New Roman" w:eastAsia="Times New Roman" w:hAnsi="Times New Roman"/>
                <w:sz w:val="20"/>
                <w:szCs w:val="20"/>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4,502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4,555</w:t>
            </w:r>
          </w:p>
        </w:tc>
      </w:tr>
      <w:tr>
        <w:trPr>
          <w:trHeight w:val="22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lease costs, net</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4,502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are included in Interest expense, net of interest income in our consolidated statements of operations.</w:t>
      </w:r>
    </w:p>
    <w:p>
      <w:pPr>
        <w:spacing w:after="0" w:line="12" w:lineRule="exact"/>
        <w:rPr>
          <w:rFonts w:ascii="Times New Roman" w:cs="Times New Roman" w:eastAsia="Times New Roman" w:hAnsi="Times New Roman"/>
          <w:sz w:val="14"/>
          <w:szCs w:val="14"/>
          <w:color w:val="auto"/>
        </w:rPr>
      </w:pPr>
    </w:p>
    <w:p>
      <w:pPr>
        <w:ind w:left="400" w:hanging="395"/>
        <w:spacing w:after="0"/>
        <w:tabs>
          <w:tab w:leader="none" w:pos="4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are included in Depreciation and amortization in our consolidated statements of operations.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As of December 31, 2024, the weighted-average discount rate used to calculate the lease liabilities was 4.46%. As of December 31, 2024, the weighted-average remaining lease term was 27 years, inclusive of purchase options expected to be exercised.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Segment Information</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Company has three operating and reportable segments, real estate, debt and preferred equity investments, and SUMMIT. The results of these segments are provided to and reviewed by the CEO, our chief operating decision maker (“CODM”), who uses this information to assess performance and inform key decisions regarding operations, resources and capital allocation.</w:t>
      </w:r>
    </w:p>
    <w:p>
      <w:pPr>
        <w:spacing w:after="0" w:line="5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In 2024, our CODM revised the approach for reviewing results of the operating and reportable segments to be more specific to the respective businesses of each. Previously, the same profit or loss measure was utilized across all segments. With the continued growth and diversification of the Company's revenue sources, we determined that this approach needed to evolve accordingly.</w:t>
      </w:r>
    </w:p>
    <w:p>
      <w:pPr>
        <w:spacing w:after="0" w:line="57"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As a result, our CODM now evaluates real estate performance and allocates resources based on net operating income ("NOI"), which serves as the profit or loss measure for the operating segment. For our debt and preferred equity investments and SUMMIT operating segment performance, our CODM evaluates and allocates resources based on net income. The CODM does not review asset information as a measure to assess performance.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00" w:firstLine="433"/>
        <w:spacing w:after="0" w:line="297" w:lineRule="auto"/>
        <w:rPr>
          <w:sz w:val="20"/>
          <w:szCs w:val="20"/>
          <w:color w:val="auto"/>
        </w:rPr>
      </w:pPr>
      <w:r>
        <w:rPr>
          <w:rFonts w:ascii="Times New Roman" w:cs="Times New Roman" w:eastAsia="Times New Roman" w:hAnsi="Times New Roman"/>
          <w:sz w:val="17"/>
          <w:szCs w:val="17"/>
          <w:color w:val="auto"/>
        </w:rPr>
        <w:t>The reportable segment profit or loss measures for the twelve months ended December 31, 2024, December 31, 2023, and December 31, 2022 are as follows (in thousands):</w:t>
      </w:r>
    </w:p>
    <w:p>
      <w:pPr>
        <w:spacing w:after="0" w:line="82"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 Segment</w:t>
            </w: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SUMMIT Segment</w:t>
            </w:r>
          </w:p>
        </w:tc>
        <w:tc>
          <w:tcPr>
            <w:tcW w:w="26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DPE Segment</w:t>
            </w:r>
          </w:p>
        </w:tc>
        <w:tc>
          <w:tcPr>
            <w:tcW w:w="380" w:type="dxa"/>
            <w:vAlign w:val="bottom"/>
          </w:tcPr>
          <w:p>
            <w:pPr>
              <w:spacing w:after="0"/>
              <w:rPr>
                <w:sz w:val="17"/>
                <w:szCs w:val="17"/>
                <w:color w:val="auto"/>
              </w:rPr>
            </w:pPr>
          </w:p>
        </w:tc>
        <w:tc>
          <w:tcPr>
            <w:tcW w:w="10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709,725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133,214</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43,333</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111,739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SUMMIT Operator tax expense</w:t>
            </w:r>
          </w:p>
        </w:tc>
        <w:tc>
          <w:tcPr>
            <w:tcW w:w="14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Real Estate Taxes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rent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income from unconsolidated joint ventures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segment Net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730,630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8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Equity in net loss (income) from unconsolidated joint</w:t>
            </w: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11,513</w:t>
            </w: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8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Interest expense on senior obligations of consolidated</w:t>
            </w: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(14,634)</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securitization vehicles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SUMMIT and DPE Net income</w:t>
            </w:r>
          </w:p>
        </w:tc>
        <w:tc>
          <w:tcPr>
            <w:tcW w:w="14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18,309</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12,070</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2"/>
        </w:trPr>
        <w:tc>
          <w:tcPr>
            <w:tcW w:w="3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net loss from unconsolidated joint ventures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 expense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early extinguishment of debt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59"/>
        </w:trPr>
        <w:tc>
          <w:tcPr>
            <w:tcW w:w="38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Depreciable real estate reserves in unconsolidated joint</w:t>
            </w:r>
          </w:p>
        </w:tc>
        <w:tc>
          <w:tcPr>
            <w:tcW w:w="1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sale of real estate, net</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57"/>
        </w:trPr>
        <w:tc>
          <w:tcPr>
            <w:tcW w:w="38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Equity in net gain on sale of interest in unconsolidated</w:t>
            </w: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joint venture/real estate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 Segment</w:t>
            </w:r>
          </w:p>
        </w:tc>
        <w:tc>
          <w:tcPr>
            <w:tcW w:w="160" w:type="dxa"/>
            <w:vAlign w:val="bottom"/>
          </w:tcPr>
          <w:p>
            <w:pPr>
              <w:spacing w:after="0"/>
              <w:rPr>
                <w:sz w:val="17"/>
                <w:szCs w:val="17"/>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SUMMIT Segment</w:t>
            </w:r>
          </w:p>
        </w:tc>
        <w:tc>
          <w:tcPr>
            <w:tcW w:w="26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DPE Segment</w:t>
            </w:r>
          </w:p>
        </w:tc>
        <w:tc>
          <w:tcPr>
            <w:tcW w:w="380" w:type="dxa"/>
            <w:vAlign w:val="bottom"/>
          </w:tcPr>
          <w:p>
            <w:pPr>
              <w:spacing w:after="0"/>
              <w:rPr>
                <w:sz w:val="17"/>
                <w:szCs w:val="17"/>
                <w:color w:val="auto"/>
              </w:rPr>
            </w:pPr>
          </w:p>
        </w:tc>
        <w:tc>
          <w:tcPr>
            <w:tcW w:w="10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760,745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118,260</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34,705</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101,211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SUMMIT Operator tax expense</w:t>
            </w:r>
          </w:p>
        </w:tc>
        <w:tc>
          <w:tcPr>
            <w:tcW w:w="14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Real Estate Taxes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rent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income from unconsolidated joint ventures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segment Net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598,694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 loss and other investment reserves, net of recoveries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(34,149)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SUMMIT and DPE Net income</w:t>
            </w:r>
          </w:p>
        </w:tc>
        <w:tc>
          <w:tcPr>
            <w:tcW w:w="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(6,334)</w:t>
            </w: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Non-operating net loss from unconsolidated joint ventures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 expense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57"/>
        </w:trPr>
        <w:tc>
          <w:tcPr>
            <w:tcW w:w="38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Equity in net loss on sale of interest in unconsolidated joint</w:t>
            </w: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venture/real estate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w:t>
      </w:r>
    </w:p>
    <w:p>
      <w:pPr>
        <w:spacing w:after="0" w:line="1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40" w:type="dxa"/>
        <w:tblCellMar>
          <w:top w:w="0" w:type="dxa"/>
          <w:left w:w="0" w:type="dxa"/>
          <w:bottom w:w="0" w:type="dxa"/>
          <w:right w:w="0" w:type="dxa"/>
        </w:tblCellMar>
      </w:tblPr>
      <w:tr>
        <w:trPr>
          <w:trHeight w:val="208"/>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Real Estate Segment</w:t>
            </w: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SUMMIT Segment</w:t>
            </w: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DPE Segment</w:t>
            </w:r>
          </w:p>
        </w:tc>
        <w:tc>
          <w:tcPr>
            <w:tcW w:w="380" w:type="dxa"/>
            <w:vAlign w:val="bottom"/>
          </w:tcPr>
          <w:p>
            <w:pPr>
              <w:spacing w:after="0"/>
              <w:rPr>
                <w:sz w:val="18"/>
                <w:szCs w:val="18"/>
                <w:color w:val="auto"/>
              </w:rPr>
            </w:pPr>
          </w:p>
        </w:tc>
        <w:tc>
          <w:tcPr>
            <w:tcW w:w="10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749,293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89,048</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81,113</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SUMMIT Operator expenses</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SUMMIT Operator tax expense</w:t>
            </w:r>
          </w:p>
        </w:tc>
        <w:tc>
          <w:tcPr>
            <w:tcW w:w="14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Real Estate Taxes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lease rent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income from unconsolidated joint ventures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segment Net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(25,133)</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SUMMIT and DPE Net income</w:t>
            </w:r>
          </w:p>
        </w:tc>
        <w:tc>
          <w:tcPr>
            <w:tcW w:w="14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55,980</w:t>
            </w: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2"/>
        </w:trPr>
        <w:tc>
          <w:tcPr>
            <w:tcW w:w="3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net loss from unconsolidated joint ventures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 general and administrative expense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related costs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Depreciable real estate reserves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sale of real estate, net</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 and other fair value adjustments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57"/>
        </w:trPr>
        <w:tc>
          <w:tcPr>
            <w:tcW w:w="38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Equity in net loss on sale of interest in unconsolidated joint</w:t>
            </w: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venture/real estate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08"/>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 of interest income</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right="100" w:firstLine="433"/>
        <w:spacing w:after="0" w:line="270" w:lineRule="auto"/>
        <w:rPr>
          <w:sz w:val="20"/>
          <w:szCs w:val="20"/>
          <w:color w:val="auto"/>
        </w:rPr>
      </w:pPr>
      <w:r>
        <w:rPr>
          <w:rFonts w:ascii="Times New Roman" w:cs="Times New Roman" w:eastAsia="Times New Roman" w:hAnsi="Times New Roman"/>
          <w:sz w:val="17"/>
          <w:szCs w:val="17"/>
          <w:color w:val="auto"/>
        </w:rPr>
        <w:t>For the real estate segment, the primary sources of revenue are tenant rents and escalations and reimbursement revenue. See Note 5, "Debt and Preferred Equity Investments," for additional details on our debt and preferred equity investments. We allocate loan loss reserves, net of recoveries, and transaction related costs to the debt and preferred equity segment. SUMMIT currently operates one location at One Vanderbilt Avenue in midtown Manhattan with the primary source of revenue generated from ticket sales.</w:t>
      </w:r>
    </w:p>
    <w:p>
      <w:pPr>
        <w:spacing w:after="0" w:line="64" w:lineRule="exact"/>
        <w:rPr>
          <w:sz w:val="20"/>
          <w:szCs w:val="20"/>
          <w:color w:val="auto"/>
        </w:rPr>
      </w:pPr>
    </w:p>
    <w:p>
      <w:pPr>
        <w:jc w:val="both"/>
        <w:ind w:right="100" w:firstLine="433"/>
        <w:spacing w:after="0" w:line="297" w:lineRule="auto"/>
        <w:rPr>
          <w:sz w:val="20"/>
          <w:szCs w:val="20"/>
          <w:color w:val="auto"/>
        </w:rPr>
      </w:pPr>
      <w:r>
        <w:rPr>
          <w:rFonts w:ascii="Times New Roman" w:cs="Times New Roman" w:eastAsia="Times New Roman" w:hAnsi="Times New Roman"/>
          <w:sz w:val="17"/>
          <w:szCs w:val="17"/>
          <w:color w:val="auto"/>
        </w:rPr>
        <w:t>There were no transactions between the above three segments other than the SUMMIT lease with our One Vanderbilt Avenue joint venture, which is part of the real estate segment. See Note 10,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III - Real Estate and Accumulated Depreciation</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5"/>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Column D Cost</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gridSpan w:val="5"/>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Column C</w:t>
            </w:r>
          </w:p>
        </w:tc>
        <w:tc>
          <w:tcPr>
            <w:tcW w:w="100" w:type="dxa"/>
            <w:vAlign w:val="bottom"/>
          </w:tcPr>
          <w:p>
            <w:pPr>
              <w:spacing w:after="0"/>
              <w:rPr>
                <w:sz w:val="9"/>
                <w:szCs w:val="9"/>
                <w:color w:val="auto"/>
              </w:rPr>
            </w:pPr>
          </w:p>
        </w:tc>
        <w:tc>
          <w:tcPr>
            <w:tcW w:w="1520" w:type="dxa"/>
            <w:vAlign w:val="bottom"/>
            <w:gridSpan w:val="5"/>
          </w:tcPr>
          <w:p>
            <w:pPr>
              <w:jc w:val="center"/>
              <w:ind w:right="200"/>
              <w:spacing w:after="0" w:line="105" w:lineRule="exact"/>
              <w:rPr>
                <w:sz w:val="20"/>
                <w:szCs w:val="20"/>
                <w:color w:val="auto"/>
              </w:rPr>
            </w:pPr>
            <w:r>
              <w:rPr>
                <w:rFonts w:ascii="Times New Roman" w:cs="Times New Roman" w:eastAsia="Times New Roman" w:hAnsi="Times New Roman"/>
                <w:sz w:val="10"/>
                <w:szCs w:val="10"/>
                <w:b w:val="1"/>
                <w:bCs w:val="1"/>
                <w:color w:val="auto"/>
              </w:rPr>
              <w:t>Capitalized</w:t>
            </w:r>
          </w:p>
        </w:tc>
        <w:tc>
          <w:tcPr>
            <w:tcW w:w="100" w:type="dxa"/>
            <w:vAlign w:val="bottom"/>
          </w:tcPr>
          <w:p>
            <w:pPr>
              <w:spacing w:after="0"/>
              <w:rPr>
                <w:sz w:val="9"/>
                <w:szCs w:val="9"/>
                <w:color w:val="auto"/>
              </w:rPr>
            </w:pPr>
          </w:p>
        </w:tc>
        <w:tc>
          <w:tcPr>
            <w:tcW w:w="2460" w:type="dxa"/>
            <w:vAlign w:val="bottom"/>
            <w:gridSpan w:val="8"/>
            <w:vMerge w:val="restart"/>
          </w:tcPr>
          <w:p>
            <w:pPr>
              <w:ind w:left="360"/>
              <w:spacing w:after="0"/>
              <w:rPr>
                <w:sz w:val="20"/>
                <w:szCs w:val="20"/>
                <w:color w:val="auto"/>
              </w:rPr>
            </w:pPr>
            <w:r>
              <w:rPr>
                <w:rFonts w:ascii="Times New Roman" w:cs="Times New Roman" w:eastAsia="Times New Roman" w:hAnsi="Times New Roman"/>
                <w:sz w:val="10"/>
                <w:szCs w:val="10"/>
                <w:b w:val="1"/>
                <w:bCs w:val="1"/>
                <w:color w:val="auto"/>
              </w:rPr>
              <w:t>Column E Gross Amount at Which</w:t>
            </w: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Column A</w:t>
            </w:r>
          </w:p>
        </w:tc>
        <w:tc>
          <w:tcPr>
            <w:tcW w:w="80" w:type="dxa"/>
            <w:vAlign w:val="bottom"/>
          </w:tcPr>
          <w:p>
            <w:pPr>
              <w:spacing w:after="0"/>
              <w:rPr>
                <w:sz w:val="9"/>
                <w:szCs w:val="9"/>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Column B</w:t>
            </w:r>
          </w:p>
        </w:tc>
        <w:tc>
          <w:tcPr>
            <w:tcW w:w="120" w:type="dxa"/>
            <w:vAlign w:val="bottom"/>
          </w:tcPr>
          <w:p>
            <w:pPr>
              <w:spacing w:after="0"/>
              <w:rPr>
                <w:sz w:val="9"/>
                <w:szCs w:val="9"/>
                <w:color w:val="auto"/>
              </w:rPr>
            </w:pPr>
          </w:p>
        </w:tc>
        <w:tc>
          <w:tcPr>
            <w:tcW w:w="15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5"/>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Subsequent To</w:t>
            </w:r>
          </w:p>
        </w:tc>
        <w:tc>
          <w:tcPr>
            <w:tcW w:w="100" w:type="dxa"/>
            <w:vAlign w:val="bottom"/>
          </w:tcPr>
          <w:p>
            <w:pPr>
              <w:spacing w:after="0"/>
              <w:rPr>
                <w:sz w:val="9"/>
                <w:szCs w:val="9"/>
                <w:color w:val="auto"/>
              </w:rPr>
            </w:pPr>
          </w:p>
        </w:tc>
        <w:tc>
          <w:tcPr>
            <w:tcW w:w="246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Column F</w:t>
            </w:r>
          </w:p>
        </w:tc>
        <w:tc>
          <w:tcPr>
            <w:tcW w:w="100" w:type="dxa"/>
            <w:vAlign w:val="bottom"/>
          </w:tcPr>
          <w:p>
            <w:pPr>
              <w:spacing w:after="0"/>
              <w:rPr>
                <w:sz w:val="9"/>
                <w:szCs w:val="9"/>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Column G</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Column H</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Column I</w:t>
            </w:r>
          </w:p>
        </w:tc>
        <w:tc>
          <w:tcPr>
            <w:tcW w:w="0" w:type="dxa"/>
            <w:vAlign w:val="bottom"/>
          </w:tcPr>
          <w:p>
            <w:pPr>
              <w:spacing w:after="0"/>
              <w:rPr>
                <w:sz w:val="1"/>
                <w:szCs w:val="1"/>
                <w:color w:val="auto"/>
              </w:rPr>
            </w:pPr>
          </w:p>
        </w:tc>
      </w:tr>
      <w:tr>
        <w:trPr>
          <w:trHeight w:val="157"/>
        </w:trPr>
        <w:tc>
          <w:tcPr>
            <w:tcW w:w="10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5"/>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Initial Cost</w:t>
            </w:r>
          </w:p>
        </w:tc>
        <w:tc>
          <w:tcPr>
            <w:tcW w:w="100" w:type="dxa"/>
            <w:vAlign w:val="bottom"/>
          </w:tcPr>
          <w:p>
            <w:pPr>
              <w:spacing w:after="0"/>
              <w:rPr>
                <w:sz w:val="13"/>
                <w:szCs w:val="13"/>
                <w:color w:val="auto"/>
              </w:rPr>
            </w:pPr>
          </w:p>
        </w:tc>
        <w:tc>
          <w:tcPr>
            <w:tcW w:w="1520" w:type="dxa"/>
            <w:vAlign w:val="bottom"/>
            <w:gridSpan w:val="5"/>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 xml:space="preserve">Acquisition </w:t>
            </w:r>
            <w:r>
              <w:rPr>
                <w:rFonts w:ascii="Times New Roman" w:cs="Times New Roman" w:eastAsia="Times New Roman" w:hAnsi="Times New Roman"/>
                <w:sz w:val="13"/>
                <w:szCs w:val="13"/>
                <w:b w:val="1"/>
                <w:bCs w:val="1"/>
                <w:color w:val="auto"/>
                <w:vertAlign w:val="superscript"/>
              </w:rPr>
              <w:t>(1)</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gridSpan w:val="5"/>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Carried at Close of Period</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Borders>
              <w:top w:val="single" w:sz="8" w:color="auto"/>
            </w:tcBorders>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rPr>
              <w:t>Life on</w:t>
            </w:r>
          </w:p>
        </w:tc>
        <w:tc>
          <w:tcPr>
            <w:tcW w:w="0" w:type="dxa"/>
            <w:vAlign w:val="bottom"/>
          </w:tcPr>
          <w:p>
            <w:pPr>
              <w:spacing w:after="0"/>
              <w:rPr>
                <w:sz w:val="1"/>
                <w:szCs w:val="1"/>
                <w:color w:val="auto"/>
              </w:rPr>
            </w:pPr>
          </w:p>
        </w:tc>
      </w:tr>
      <w:tr>
        <w:trPr>
          <w:trHeight w:val="105"/>
        </w:trPr>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Building &amp;</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Building &amp;</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Building &amp;</w:t>
            </w: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9"/>
                <w:szCs w:val="9"/>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Date of</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Date</w:t>
            </w:r>
          </w:p>
        </w:tc>
        <w:tc>
          <w:tcPr>
            <w:tcW w:w="94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Which</w:t>
            </w:r>
          </w:p>
        </w:tc>
        <w:tc>
          <w:tcPr>
            <w:tcW w:w="0" w:type="dxa"/>
            <w:vAlign w:val="bottom"/>
          </w:tcPr>
          <w:p>
            <w:pPr>
              <w:spacing w:after="0"/>
              <w:rPr>
                <w:sz w:val="1"/>
                <w:szCs w:val="1"/>
                <w:color w:val="auto"/>
              </w:rPr>
            </w:pPr>
          </w:p>
        </w:tc>
      </w:tr>
      <w:tr>
        <w:trPr>
          <w:trHeight w:val="105"/>
        </w:trPr>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Description </w:t>
            </w:r>
            <w:r>
              <w:rPr>
                <w:rFonts w:ascii="Times New Roman" w:cs="Times New Roman" w:eastAsia="Times New Roman" w:hAnsi="Times New Roman"/>
                <w:sz w:val="13"/>
                <w:szCs w:val="13"/>
                <w:b w:val="1"/>
                <w:bCs w:val="1"/>
                <w:color w:val="auto"/>
                <w:vertAlign w:val="superscript"/>
              </w:rPr>
              <w:t>(2)</w:t>
            </w:r>
          </w:p>
        </w:tc>
        <w:tc>
          <w:tcPr>
            <w:tcW w:w="80" w:type="dxa"/>
            <w:vAlign w:val="bottom"/>
          </w:tcPr>
          <w:p>
            <w:pPr>
              <w:spacing w:after="0"/>
              <w:rPr>
                <w:sz w:val="9"/>
                <w:szCs w:val="9"/>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Encumbrances</w:t>
            </w:r>
          </w:p>
        </w:tc>
        <w:tc>
          <w:tcPr>
            <w:tcW w:w="120" w:type="dxa"/>
            <w:vAlign w:val="bottom"/>
          </w:tcPr>
          <w:p>
            <w:pPr>
              <w:spacing w:after="0"/>
              <w:rPr>
                <w:sz w:val="9"/>
                <w:szCs w:val="9"/>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Land</w:t>
            </w: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Land</w:t>
            </w: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Land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4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Depreciation is</w:t>
            </w:r>
          </w:p>
        </w:tc>
        <w:tc>
          <w:tcPr>
            <w:tcW w:w="0" w:type="dxa"/>
            <w:vAlign w:val="bottom"/>
          </w:tcPr>
          <w:p>
            <w:pPr>
              <w:spacing w:after="0"/>
              <w:rPr>
                <w:sz w:val="1"/>
                <w:szCs w:val="1"/>
                <w:color w:val="auto"/>
              </w:rPr>
            </w:pPr>
          </w:p>
        </w:tc>
      </w:tr>
      <w:tr>
        <w:trPr>
          <w:trHeight w:val="157"/>
        </w:trPr>
        <w:tc>
          <w:tcPr>
            <w:tcW w:w="10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Improvements</w:t>
            </w: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Improvements</w:t>
            </w: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Improvements</w:t>
            </w: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0"/>
                <w:szCs w:val="10"/>
                <w:b w:val="1"/>
                <w:bCs w:val="1"/>
                <w:color w:val="auto"/>
              </w:rPr>
              <w:t>Depreciation</w:t>
            </w:r>
          </w:p>
        </w:tc>
        <w:tc>
          <w:tcPr>
            <w:tcW w:w="100" w:type="dxa"/>
            <w:vAlign w:val="bottom"/>
          </w:tcPr>
          <w:p>
            <w:pPr>
              <w:spacing w:after="0"/>
              <w:rPr>
                <w:sz w:val="13"/>
                <w:szCs w:val="13"/>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Construction</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Acquired</w:t>
            </w: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Computed</w:t>
            </w:r>
          </w:p>
        </w:tc>
        <w:tc>
          <w:tcPr>
            <w:tcW w:w="0" w:type="dxa"/>
            <w:vAlign w:val="bottom"/>
          </w:tcPr>
          <w:p>
            <w:pPr>
              <w:spacing w:after="0"/>
              <w:rPr>
                <w:sz w:val="1"/>
                <w:szCs w:val="1"/>
                <w:color w:val="auto"/>
              </w:rPr>
            </w:pPr>
          </w:p>
        </w:tc>
      </w:tr>
      <w:tr>
        <w:trPr>
          <w:trHeight w:val="150"/>
        </w:trPr>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420</w:t>
            </w: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Lexington Ave</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272,326</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333,499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79,607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413,106</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413,106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233,848</w:t>
            </w: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1927</w:t>
            </w: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3/1998</w:t>
            </w: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711 Third Avenue</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19,844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115,769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16,578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19,844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132,347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152,191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84,768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1955</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5/1998</w:t>
            </w:r>
          </w:p>
        </w:tc>
        <w:tc>
          <w:tcPr>
            <w:tcW w:w="80" w:type="dxa"/>
            <w:vAlign w:val="bottom"/>
          </w:tcPr>
          <w:p>
            <w:pPr>
              <w:spacing w:after="0"/>
              <w:rPr>
                <w:sz w:val="12"/>
                <w:szCs w:val="12"/>
                <w:color w:val="auto"/>
              </w:rPr>
            </w:pP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555</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 57th Street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18,846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140,946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21,526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18,846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162,472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181,318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103,967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1/1999</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3"/>
              </w:rPr>
              <w:t>461</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Fifth Avenue</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88,276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28,873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15,200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28,873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103,476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132,349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49,460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1988</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10/2003</w:t>
            </w:r>
          </w:p>
        </w:tc>
        <w:tc>
          <w:tcPr>
            <w:tcW w:w="80" w:type="dxa"/>
            <w:vAlign w:val="bottom"/>
          </w:tcPr>
          <w:p>
            <w:pPr>
              <w:spacing w:after="0"/>
              <w:rPr>
                <w:sz w:val="12"/>
                <w:szCs w:val="12"/>
                <w:color w:val="auto"/>
              </w:rPr>
            </w:pP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750</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Third Avenue</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51,093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251,523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114,773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51,093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366,296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417,389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115,992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7/2004</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05"/>
        </w:trPr>
        <w:tc>
          <w:tcPr>
            <w:tcW w:w="180" w:type="dxa"/>
            <w:vAlign w:val="bottom"/>
          </w:tcPr>
          <w:p>
            <w:pPr>
              <w:ind w:left="20"/>
              <w:spacing w:after="0" w:line="105" w:lineRule="exact"/>
              <w:rPr>
                <w:sz w:val="20"/>
                <w:szCs w:val="20"/>
                <w:color w:val="auto"/>
              </w:rPr>
            </w:pPr>
            <w:r>
              <w:rPr>
                <w:rFonts w:ascii="Times New Roman" w:cs="Times New Roman" w:eastAsia="Times New Roman" w:hAnsi="Times New Roman"/>
                <w:sz w:val="10"/>
                <w:szCs w:val="10"/>
                <w:color w:val="auto"/>
                <w:w w:val="93"/>
              </w:rPr>
              <w:t>485</w:t>
            </w:r>
          </w:p>
        </w:tc>
        <w:tc>
          <w:tcPr>
            <w:tcW w:w="82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0"/>
                <w:szCs w:val="10"/>
                <w:color w:val="auto"/>
              </w:rPr>
              <w:t>Lexington</w:t>
            </w: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450,000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78,282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452,631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(4,635)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78,282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447,996</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526,278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217,606</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1956</w:t>
            </w: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12/2004</w:t>
            </w:r>
          </w:p>
        </w:tc>
        <w:tc>
          <w:tcPr>
            <w:tcW w:w="80" w:type="dxa"/>
            <w:vAlign w:val="bottom"/>
          </w:tcPr>
          <w:p>
            <w:pPr>
              <w:spacing w:after="0"/>
              <w:rPr>
                <w:sz w:val="9"/>
                <w:szCs w:val="9"/>
                <w:color w:val="auto"/>
              </w:rPr>
            </w:pPr>
          </w:p>
        </w:tc>
        <w:tc>
          <w:tcPr>
            <w:tcW w:w="940" w:type="dxa"/>
            <w:vAlign w:val="bottom"/>
            <w:vMerge w:val="restart"/>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Avenue</w:t>
            </w: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810</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Seventh Avenue</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114,077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550,819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13,809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114,077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564,628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678,705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252,324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1/2007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05"/>
        </w:trPr>
        <w:tc>
          <w:tcPr>
            <w:tcW w:w="100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color w:val="auto"/>
              </w:rPr>
              <w:t>1185 Avenue of the</w:t>
            </w: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791,106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46,785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837,891</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837,891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418,159</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1969</w:t>
            </w: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1/2007</w:t>
            </w:r>
          </w:p>
        </w:tc>
        <w:tc>
          <w:tcPr>
            <w:tcW w:w="80" w:type="dxa"/>
            <w:vAlign w:val="bottom"/>
          </w:tcPr>
          <w:p>
            <w:pPr>
              <w:spacing w:after="0"/>
              <w:rPr>
                <w:sz w:val="9"/>
                <w:szCs w:val="9"/>
                <w:color w:val="auto"/>
              </w:rPr>
            </w:pPr>
          </w:p>
        </w:tc>
        <w:tc>
          <w:tcPr>
            <w:tcW w:w="940" w:type="dxa"/>
            <w:vAlign w:val="bottom"/>
            <w:vMerge w:val="restart"/>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Americas</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1350 Avenue of the</w:t>
            </w: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90,941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431,517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26,318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90,941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457,835</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548,776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211,252</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1966</w:t>
            </w: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1/2007</w:t>
            </w:r>
          </w:p>
        </w:tc>
        <w:tc>
          <w:tcPr>
            <w:tcW w:w="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57"/>
        </w:trPr>
        <w:tc>
          <w:tcPr>
            <w:tcW w:w="1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Americas</w:t>
            </w:r>
          </w:p>
        </w:tc>
        <w:tc>
          <w:tcPr>
            <w:tcW w:w="80" w:type="dxa"/>
            <w:vAlign w:val="bottom"/>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0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color w:val="auto"/>
              </w:rPr>
              <w:t>1-6 Landmark</w:t>
            </w: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100,000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27,852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161,343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(6,939)</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(13,804)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20,913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147,539</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168,452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51,883</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1973-1984</w:t>
            </w: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1/2007</w:t>
            </w:r>
          </w:p>
        </w:tc>
        <w:tc>
          <w:tcPr>
            <w:tcW w:w="80" w:type="dxa"/>
            <w:vAlign w:val="bottom"/>
          </w:tcPr>
          <w:p>
            <w:pPr>
              <w:spacing w:after="0"/>
              <w:rPr>
                <w:sz w:val="9"/>
                <w:szCs w:val="9"/>
                <w:color w:val="auto"/>
              </w:rPr>
            </w:pPr>
          </w:p>
        </w:tc>
        <w:tc>
          <w:tcPr>
            <w:tcW w:w="940" w:type="dxa"/>
            <w:vAlign w:val="bottom"/>
            <w:vMerge w:val="restart"/>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57"/>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 xml:space="preserve">Square </w:t>
            </w:r>
            <w:r>
              <w:rPr>
                <w:rFonts w:ascii="Times New Roman" w:cs="Times New Roman" w:eastAsia="Times New Roman" w:hAnsi="Times New Roman"/>
                <w:sz w:val="13"/>
                <w:szCs w:val="13"/>
                <w:color w:val="auto"/>
                <w:vertAlign w:val="superscript"/>
              </w:rPr>
              <w:t>(3)</w:t>
            </w: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000" w:type="dxa"/>
            <w:vAlign w:val="bottom"/>
            <w:gridSpan w:val="3"/>
            <w:shd w:val="clear" w:color="auto" w:fill="CCEEFF"/>
          </w:tcPr>
          <w:p>
            <w:pPr>
              <w:ind w:left="20"/>
              <w:spacing w:after="0" w:line="105" w:lineRule="exact"/>
              <w:rPr>
                <w:sz w:val="20"/>
                <w:szCs w:val="20"/>
                <w:color w:val="auto"/>
              </w:rPr>
            </w:pPr>
            <w:r>
              <w:rPr>
                <w:rFonts w:ascii="Times New Roman" w:cs="Times New Roman" w:eastAsia="Times New Roman" w:hAnsi="Times New Roman"/>
                <w:sz w:val="10"/>
                <w:szCs w:val="10"/>
                <w:color w:val="auto"/>
              </w:rPr>
              <w:t>7 Landmark Square</w:t>
            </w:r>
          </w:p>
        </w:tc>
        <w:tc>
          <w:tcPr>
            <w:tcW w:w="80" w:type="dxa"/>
            <w:vAlign w:val="bottom"/>
            <w:shd w:val="clear" w:color="auto" w:fill="CCEEFF"/>
          </w:tcPr>
          <w:p>
            <w:pPr>
              <w:spacing w:after="0"/>
              <w:rPr>
                <w:sz w:val="9"/>
                <w:szCs w:val="9"/>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1,721</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8,417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(6,235)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383</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2,182</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2,565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783</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2007</w:t>
            </w: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1/2007</w:t>
            </w:r>
          </w:p>
        </w:tc>
        <w:tc>
          <w:tcPr>
            <w:tcW w:w="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98"/>
        </w:trPr>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rPr>
              <w:t>(3)</w:t>
            </w:r>
          </w:p>
        </w:tc>
        <w:tc>
          <w:tcPr>
            <w:tcW w:w="7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6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78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8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680" w:type="dxa"/>
            <w:vAlign w:val="bottom"/>
            <w:tcBorders>
              <w:bottom w:val="single" w:sz="8" w:color="CCEEFF"/>
            </w:tcBorders>
            <w:vMerge w:val="continue"/>
            <w:shd w:val="clear" w:color="auto" w:fill="CCEEFF"/>
          </w:tcPr>
          <w:p>
            <w:pPr>
              <w:spacing w:after="0"/>
              <w:rPr>
                <w:sz w:val="8"/>
                <w:szCs w:val="8"/>
                <w:color w:val="auto"/>
              </w:rPr>
            </w:pPr>
          </w:p>
        </w:tc>
        <w:tc>
          <w:tcPr>
            <w:tcW w:w="86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9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3"/>
              </w:rPr>
              <w:t>100</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Church Street</w:t>
            </w: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370,000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34,994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183,932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16,674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34,994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200,606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235,600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84,431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1959</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1/2010</w:t>
            </w:r>
          </w:p>
        </w:tc>
        <w:tc>
          <w:tcPr>
            <w:tcW w:w="80" w:type="dxa"/>
            <w:vAlign w:val="bottom"/>
          </w:tcPr>
          <w:p>
            <w:pPr>
              <w:spacing w:after="0"/>
              <w:rPr>
                <w:sz w:val="12"/>
                <w:szCs w:val="12"/>
                <w:color w:val="auto"/>
              </w:rPr>
            </w:pP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125</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Park Avenue</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120,900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270,598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30,032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120,900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300,630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421,530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139,949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1923</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10/2010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19 East 65th Street</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8,603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2,074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4,990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8,603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7,064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15,667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1929</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1/2012</w:t>
            </w:r>
          </w:p>
        </w:tc>
        <w:tc>
          <w:tcPr>
            <w:tcW w:w="80" w:type="dxa"/>
            <w:vAlign w:val="bottom"/>
          </w:tcPr>
          <w:p>
            <w:pPr>
              <w:spacing w:after="0"/>
              <w:rPr>
                <w:sz w:val="12"/>
                <w:szCs w:val="12"/>
                <w:color w:val="auto"/>
              </w:rPr>
            </w:pP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304</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Park Avenue</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54,489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90,643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12,056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54,489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102,699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157,188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36,859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1930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6/2012</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05"/>
        </w:trPr>
        <w:tc>
          <w:tcPr>
            <w:tcW w:w="100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color w:val="auto"/>
              </w:rPr>
              <w:t>760 Madison</w:t>
            </w: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284,286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8,314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(2,748)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165,708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281,538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174,022</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455,560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5,315</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1996/2012</w:t>
            </w: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7/2014</w:t>
            </w:r>
          </w:p>
        </w:tc>
        <w:tc>
          <w:tcPr>
            <w:tcW w:w="80" w:type="dxa"/>
            <w:vAlign w:val="bottom"/>
          </w:tcPr>
          <w:p>
            <w:pPr>
              <w:spacing w:after="0"/>
              <w:rPr>
                <w:sz w:val="9"/>
                <w:szCs w:val="9"/>
                <w:color w:val="auto"/>
              </w:rPr>
            </w:pPr>
          </w:p>
        </w:tc>
        <w:tc>
          <w:tcPr>
            <w:tcW w:w="940" w:type="dxa"/>
            <w:vAlign w:val="bottom"/>
            <w:vMerge w:val="restart"/>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Avenue</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110 Greene Street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45,120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228,393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4,741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45,120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233,134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278,254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64,093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7/2015</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05"/>
        </w:trPr>
        <w:tc>
          <w:tcPr>
            <w:tcW w:w="100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color w:val="auto"/>
              </w:rPr>
              <w:t>7 Dey / 185</w:t>
            </w: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190,148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45,540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27,865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209,670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45,540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237,535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283,075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21,860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1921</w:t>
            </w: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8/2015</w:t>
            </w:r>
          </w:p>
        </w:tc>
        <w:tc>
          <w:tcPr>
            <w:tcW w:w="80" w:type="dxa"/>
            <w:vAlign w:val="bottom"/>
          </w:tcPr>
          <w:p>
            <w:pPr>
              <w:spacing w:after="0"/>
              <w:rPr>
                <w:sz w:val="9"/>
                <w:szCs w:val="9"/>
                <w:color w:val="auto"/>
              </w:rPr>
            </w:pPr>
          </w:p>
        </w:tc>
        <w:tc>
          <w:tcPr>
            <w:tcW w:w="940" w:type="dxa"/>
            <w:vAlign w:val="bottom"/>
            <w:vMerge w:val="restart"/>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Broadway</w:t>
            </w: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885</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Third Avenue </w:t>
            </w:r>
            <w:r>
              <w:rPr>
                <w:rFonts w:ascii="Times New Roman" w:cs="Times New Roman" w:eastAsia="Times New Roman" w:hAnsi="Times New Roman"/>
                <w:sz w:val="13"/>
                <w:szCs w:val="13"/>
                <w:color w:val="auto"/>
                <w:vertAlign w:val="superscript"/>
              </w:rPr>
              <w:t>(4)</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138,444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244,040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(138,444)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(119,024)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125,016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125,016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15,506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1986</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7/2020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47"/>
        </w:trPr>
        <w:tc>
          <w:tcPr>
            <w:tcW w:w="1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3"/>
              </w:rPr>
              <w:t>690</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Madison</w:t>
            </w:r>
          </w:p>
        </w:tc>
        <w:tc>
          <w:tcPr>
            <w:tcW w:w="8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13,820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51,732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(27,336)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5,835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24,396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30,231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5,132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1879</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9/2021</w:t>
            </w:r>
          </w:p>
        </w:tc>
        <w:tc>
          <w:tcPr>
            <w:tcW w:w="80" w:type="dxa"/>
            <w:vAlign w:val="bottom"/>
          </w:tcPr>
          <w:p>
            <w:pPr>
              <w:spacing w:after="0"/>
              <w:rPr>
                <w:sz w:val="12"/>
                <w:szCs w:val="12"/>
                <w:color w:val="auto"/>
              </w:rPr>
            </w:pPr>
          </w:p>
        </w:tc>
        <w:tc>
          <w:tcPr>
            <w:tcW w:w="94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93"/>
              </w:rPr>
              <w:t>100</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Park Avenue </w:t>
            </w:r>
            <w:r>
              <w:rPr>
                <w:rFonts w:ascii="Times New Roman" w:cs="Times New Roman" w:eastAsia="Times New Roman" w:hAnsi="Times New Roman"/>
                <w:sz w:val="13"/>
                <w:szCs w:val="13"/>
                <w:color w:val="auto"/>
                <w:vertAlign w:val="superscript"/>
              </w:rPr>
              <w:t>(5)</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360,000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230,891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133,269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230,891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133,269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364,160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2/2000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105"/>
        </w:trPr>
        <w:tc>
          <w:tcPr>
            <w:tcW w:w="100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color w:val="auto"/>
              </w:rPr>
              <w:t>10 East 53rd Street</w:t>
            </w: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205,000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104,143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62,470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104,143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62,470</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166,613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4,710</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rPr>
              <w:t>1971</w:t>
            </w:r>
          </w:p>
        </w:tc>
        <w:tc>
          <w:tcPr>
            <w:tcW w:w="10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2/2012</w:t>
            </w:r>
          </w:p>
        </w:tc>
        <w:tc>
          <w:tcPr>
            <w:tcW w:w="80" w:type="dxa"/>
            <w:vAlign w:val="bottom"/>
          </w:tcPr>
          <w:p>
            <w:pPr>
              <w:spacing w:after="0"/>
              <w:rPr>
                <w:sz w:val="9"/>
                <w:szCs w:val="9"/>
                <w:color w:val="auto"/>
              </w:rPr>
            </w:pPr>
          </w:p>
        </w:tc>
        <w:tc>
          <w:tcPr>
            <w:tcW w:w="940" w:type="dxa"/>
            <w:vAlign w:val="bottom"/>
            <w:vMerge w:val="restart"/>
          </w:tcPr>
          <w:p>
            <w:pPr>
              <w:ind w:left="600"/>
              <w:spacing w:after="0"/>
              <w:rPr>
                <w:sz w:val="20"/>
                <w:szCs w:val="20"/>
                <w:color w:val="auto"/>
              </w:rPr>
            </w:pPr>
            <w:r>
              <w:rPr>
                <w:rFonts w:ascii="Times New Roman" w:cs="Times New Roman" w:eastAsia="Times New Roman" w:hAnsi="Times New Roman"/>
                <w:sz w:val="10"/>
                <w:szCs w:val="10"/>
                <w:color w:val="auto"/>
              </w:rPr>
              <w:t>Various</w:t>
            </w:r>
          </w:p>
        </w:tc>
        <w:tc>
          <w:tcPr>
            <w:tcW w:w="0" w:type="dxa"/>
            <w:vAlign w:val="bottom"/>
          </w:tcPr>
          <w:p>
            <w:pPr>
              <w:spacing w:after="0"/>
              <w:rPr>
                <w:sz w:val="1"/>
                <w:szCs w:val="1"/>
                <w:color w:val="auto"/>
              </w:rPr>
            </w:pPr>
          </w:p>
        </w:tc>
      </w:tr>
      <w:tr>
        <w:trPr>
          <w:trHeight w:val="98"/>
        </w:trPr>
        <w:tc>
          <w:tcPr>
            <w:tcW w:w="180" w:type="dxa"/>
            <w:vAlign w:val="bottom"/>
          </w:tcPr>
          <w:p>
            <w:pPr>
              <w:ind w:left="20"/>
              <w:spacing w:after="0"/>
              <w:rPr>
                <w:sz w:val="20"/>
                <w:szCs w:val="20"/>
                <w:color w:val="auto"/>
              </w:rPr>
            </w:pPr>
            <w:r>
              <w:rPr>
                <w:rFonts w:ascii="Times New Roman" w:cs="Times New Roman" w:eastAsia="Times New Roman" w:hAnsi="Times New Roman"/>
                <w:sz w:val="7"/>
                <w:szCs w:val="7"/>
                <w:color w:val="auto"/>
              </w:rPr>
              <w:t>(5)</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 xml:space="preserve">Other </w:t>
            </w:r>
            <w:r>
              <w:rPr>
                <w:rFonts w:ascii="Times New Roman" w:cs="Times New Roman" w:eastAsia="Times New Roman" w:hAnsi="Times New Roman"/>
                <w:sz w:val="13"/>
                <w:szCs w:val="13"/>
                <w:color w:val="auto"/>
                <w:vertAlign w:val="superscript"/>
              </w:rPr>
              <w:t>(6)</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20,637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16,224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(18,901)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1,736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14,091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15,827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8,174</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1,947,474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1,504,523</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4,645,400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(147,482)</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605,300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1,357,041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5,250,700</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6,607,741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2,126,081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400" w:hanging="395"/>
        <w:spacing w:after="0"/>
        <w:tabs>
          <w:tab w:leader="none" w:pos="40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depreciable real estate reserves and impairments recorded subsequent to acquisition.</w:t>
      </w:r>
    </w:p>
    <w:p>
      <w:pPr>
        <w:spacing w:after="0" w:line="21" w:lineRule="exact"/>
        <w:rPr>
          <w:rFonts w:ascii="Times New Roman" w:cs="Times New Roman" w:eastAsia="Times New Roman" w:hAnsi="Times New Roman"/>
          <w:sz w:val="12"/>
          <w:szCs w:val="12"/>
          <w:color w:val="auto"/>
        </w:rPr>
      </w:pPr>
    </w:p>
    <w:p>
      <w:pPr>
        <w:ind w:left="400" w:hanging="395"/>
        <w:spacing w:after="0"/>
        <w:tabs>
          <w:tab w:leader="none" w:pos="40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properties located in New York, New York, unless otherwise noted.</w:t>
      </w:r>
    </w:p>
    <w:p>
      <w:pPr>
        <w:spacing w:after="0" w:line="18" w:lineRule="exact"/>
        <w:rPr>
          <w:rFonts w:ascii="Times New Roman" w:cs="Times New Roman" w:eastAsia="Times New Roman" w:hAnsi="Times New Roman"/>
          <w:sz w:val="12"/>
          <w:szCs w:val="12"/>
          <w:color w:val="auto"/>
        </w:rPr>
      </w:pPr>
    </w:p>
    <w:p>
      <w:pPr>
        <w:ind w:left="400" w:hanging="395"/>
        <w:spacing w:after="0"/>
        <w:tabs>
          <w:tab w:leader="none" w:pos="40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Property located in Connecticut.</w:t>
      </w:r>
    </w:p>
    <w:p>
      <w:pPr>
        <w:spacing w:after="0" w:line="6" w:lineRule="exact"/>
        <w:rPr>
          <w:rFonts w:ascii="Times New Roman" w:cs="Times New Roman" w:eastAsia="Times New Roman" w:hAnsi="Times New Roman"/>
          <w:sz w:val="12"/>
          <w:szCs w:val="12"/>
          <w:color w:val="auto"/>
        </w:rPr>
      </w:pPr>
    </w:p>
    <w:p>
      <w:pPr>
        <w:ind w:left="400" w:hanging="395"/>
        <w:spacing w:after="0"/>
        <w:tabs>
          <w:tab w:leader="none" w:pos="40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December 2022, the Company sold 414,317 square feet of office leasehold condominium units at the property. The Company retained the remaining 218,796 square feet of the building.</w:t>
      </w:r>
    </w:p>
    <w:p>
      <w:pPr>
        <w:spacing w:after="0" w:line="6" w:lineRule="exact"/>
        <w:rPr>
          <w:rFonts w:ascii="Times New Roman" w:cs="Times New Roman" w:eastAsia="Times New Roman" w:hAnsi="Times New Roman"/>
          <w:sz w:val="12"/>
          <w:szCs w:val="12"/>
          <w:color w:val="auto"/>
        </w:rPr>
      </w:pPr>
    </w:p>
    <w:p>
      <w:pPr>
        <w:ind w:left="400" w:hanging="395"/>
        <w:spacing w:after="0"/>
        <w:tabs>
          <w:tab w:leader="none" w:pos="40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Initial cost is the fair value that was determined upon consolidation of these investments in 2024.</w:t>
      </w:r>
    </w:p>
    <w:p>
      <w:pPr>
        <w:spacing w:after="0" w:line="6" w:lineRule="exact"/>
        <w:rPr>
          <w:rFonts w:ascii="Times New Roman" w:cs="Times New Roman" w:eastAsia="Times New Roman" w:hAnsi="Times New Roman"/>
          <w:sz w:val="12"/>
          <w:szCs w:val="12"/>
          <w:color w:val="auto"/>
        </w:rPr>
      </w:pPr>
    </w:p>
    <w:p>
      <w:pPr>
        <w:ind w:left="400" w:hanging="395"/>
        <w:spacing w:after="0"/>
        <w:tabs>
          <w:tab w:leader="none" w:pos="400"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includes tenant improvements of eEmerge, capitalized interest and corporate improvements.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SL Green Realty Corp. and SL Green Operating Partnership, L.P.</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III - Real Estate and Accumulated Depreciation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changes in real estate for the years ended December 31, 2024, 2023 and 2022 are as follows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100" w:type="dxa"/>
            <w:vAlign w:val="bottom"/>
            <w:tcBorders>
              <w:bottom w:val="single" w:sz="8" w:color="auto"/>
            </w:tcBorders>
          </w:tcPr>
          <w:p>
            <w:pPr>
              <w:spacing w:after="0"/>
              <w:rPr>
                <w:sz w:val="18"/>
                <w:szCs w:val="18"/>
                <w:color w:val="auto"/>
              </w:rPr>
            </w:pPr>
          </w:p>
        </w:tc>
      </w:tr>
      <w:tr>
        <w:trPr>
          <w:trHeight w:val="204"/>
        </w:trPr>
        <w:tc>
          <w:tcPr>
            <w:tcW w:w="67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6,102,864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9,198,799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7,650,907</w:t>
            </w: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acquisitions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1,900,042</w:t>
            </w:r>
          </w:p>
        </w:tc>
      </w:tr>
      <w:tr>
        <w:trPr>
          <w:trHeight w:val="21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Improvements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199,416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335,413</w:t>
            </w:r>
          </w:p>
        </w:tc>
      </w:tr>
      <w:tr>
        <w:trPr>
          <w:trHeight w:val="209"/>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Retirements/disposals/deconsolidation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305,461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(2,383,912)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(687,563)</w:t>
            </w:r>
          </w:p>
        </w:tc>
      </w:tr>
      <w:tr>
        <w:trPr>
          <w:trHeight w:val="211"/>
        </w:trPr>
        <w:tc>
          <w:tcPr>
            <w:tcW w:w="67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Reclassification </w:t>
            </w:r>
            <w:r>
              <w:rPr>
                <w:rFonts w:ascii="Times New Roman" w:cs="Times New Roman" w:eastAsia="Times New Roman" w:hAnsi="Times New Roman"/>
                <w:sz w:val="20"/>
                <w:szCs w:val="20"/>
                <w:color w:val="auto"/>
                <w:vertAlign w:val="superscript"/>
              </w:rPr>
              <w:t>(1)</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(953,236)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6,607,741</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6,102,864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9,198,799</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The aggregate cost of land, buildings and improvements, before depreciation, for Federal income tax purposes as of December 31, 2024 was $4.9 billion (unaudited).</w:t>
      </w:r>
    </w:p>
    <w:p>
      <w:pPr>
        <w:spacing w:after="0" w:line="41" w:lineRule="exact"/>
        <w:rPr>
          <w:sz w:val="20"/>
          <w:szCs w:val="20"/>
          <w:color w:val="auto"/>
        </w:rPr>
      </w:pPr>
    </w:p>
    <w:p>
      <w:pPr>
        <w:ind w:right="20" w:firstLine="433"/>
        <w:spacing w:after="0" w:line="297" w:lineRule="auto"/>
        <w:rPr>
          <w:sz w:val="20"/>
          <w:szCs w:val="20"/>
          <w:color w:val="auto"/>
        </w:rPr>
      </w:pPr>
      <w:r>
        <w:rPr>
          <w:rFonts w:ascii="Times New Roman" w:cs="Times New Roman" w:eastAsia="Times New Roman" w:hAnsi="Times New Roman"/>
          <w:sz w:val="17"/>
          <w:szCs w:val="17"/>
          <w:color w:val="auto"/>
        </w:rPr>
        <w:t>The changes in accumulated depreciation, exclusive of amounts relating to equipment, autos, and furniture and fixtures, for the years ended December 31, 2024, 2023 and 2022 are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04"/>
        </w:trPr>
        <w:tc>
          <w:tcPr>
            <w:tcW w:w="69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4"/>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beginning of year</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1,968,004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2,039,554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1,896,199</w:t>
            </w:r>
          </w:p>
        </w:tc>
      </w:tr>
      <w:tr>
        <w:trPr>
          <w:trHeight w:val="209"/>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for year</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171,744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199,576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175,465</w:t>
            </w:r>
          </w:p>
        </w:tc>
      </w:tr>
      <w:tr>
        <w:trPr>
          <w:trHeight w:val="211"/>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Retirements/disposals/deconsolidation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(13,667)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(32,110)</w:t>
            </w:r>
          </w:p>
        </w:tc>
      </w:tr>
      <w:tr>
        <w:trPr>
          <w:trHeight w:val="210"/>
        </w:trPr>
        <w:tc>
          <w:tcPr>
            <w:tcW w:w="6940" w:type="dxa"/>
            <w:vAlign w:val="bottom"/>
          </w:tcPr>
          <w:p>
            <w:pPr>
              <w:ind w:left="20"/>
              <w:spacing w:after="0" w:line="209" w:lineRule="exact"/>
              <w:rPr>
                <w:sz w:val="20"/>
                <w:szCs w:val="20"/>
                <w:color w:val="auto"/>
              </w:rPr>
            </w:pPr>
            <w:r>
              <w:rPr>
                <w:rFonts w:ascii="Times New Roman" w:cs="Times New Roman" w:eastAsia="Times New Roman" w:hAnsi="Times New Roman"/>
                <w:sz w:val="16"/>
                <w:szCs w:val="16"/>
                <w:color w:val="auto"/>
              </w:rPr>
              <w:t xml:space="preserve">Reclassification </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8"/>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end of year</w:t>
            </w: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2,126,081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1,968,004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2,039,554</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400" w:right="20" w:hanging="395"/>
        <w:spacing w:after="0" w:line="270" w:lineRule="auto"/>
        <w:tabs>
          <w:tab w:leader="none" w:pos="429"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Beginning in the second quarter of 2024, we reclassified amounts recorded for certain right-of-use assets classified as operating leases from a gross presentation above accumulated depreciation to a net presentation below accumulated depreciation in our consolidated balance sheets. This includes reclassifying the related amortization that was previously included in the accumulated depreciation balance. As such, we no longer present right-of-use assets and related amortization in Schedule III - Real Estate and Accumulated Depreciation. See the "Reclassification" section of Note 2, "Significant Accounting Policies" for more information regarding this reclassification.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219"/>
        <w:spacing w:after="0" w:line="428" w:lineRule="auto"/>
        <w:rPr>
          <w:sz w:val="20"/>
          <w:szCs w:val="20"/>
          <w:color w:val="auto"/>
        </w:rPr>
      </w:pPr>
      <w:r>
        <w:rPr>
          <w:rFonts w:ascii="Times New Roman" w:cs="Times New Roman" w:eastAsia="Times New Roman" w:hAnsi="Times New Roman"/>
          <w:sz w:val="17"/>
          <w:szCs w:val="17"/>
          <w:b w:val="1"/>
          <w:bCs w:val="1"/>
          <w:color w:val="auto"/>
        </w:rPr>
        <w:t xml:space="preserve">ITEM 9. CHANGES IN AND DISAGREEMENTS WITH ACCOUNTANTS ON ACCOUNTING AND FINANCIAL DISCLOSURE </w:t>
      </w: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7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SL GREEN REALTY CORP.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21" w:lineRule="exact"/>
        <w:rPr>
          <w:sz w:val="20"/>
          <w:szCs w:val="20"/>
          <w:color w:val="auto"/>
        </w:rPr>
      </w:pPr>
    </w:p>
    <w:p>
      <w:pPr>
        <w:jc w:val="both"/>
        <w:ind w:firstLine="393"/>
        <w:spacing w:after="0" w:line="263" w:lineRule="auto"/>
        <w:rPr>
          <w:sz w:val="20"/>
          <w:szCs w:val="20"/>
          <w:color w:val="auto"/>
        </w:rPr>
      </w:pPr>
      <w:r>
        <w:rPr>
          <w:rFonts w:ascii="Times New Roman" w:cs="Times New Roman" w:eastAsia="Times New Roman" w:hAnsi="Times New Roman"/>
          <w:sz w:val="17"/>
          <w:szCs w:val="17"/>
          <w:color w:val="auto"/>
        </w:rPr>
        <w:t>The Company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 Also, the Company has investments in certain unconsolidated entities. As the Company does not control these entities, its disclosure controls and procedures with respect to such entities are necessarily substantially more limited than those the Company maintains with respect to its consolidated subsidiaries.</w:t>
      </w:r>
    </w:p>
    <w:p>
      <w:pPr>
        <w:spacing w:after="0" w:line="70" w:lineRule="exact"/>
        <w:rPr>
          <w:sz w:val="20"/>
          <w:szCs w:val="20"/>
          <w:color w:val="auto"/>
        </w:rPr>
      </w:pPr>
    </w:p>
    <w:p>
      <w:pPr>
        <w:jc w:val="both"/>
        <w:ind w:firstLine="393"/>
        <w:spacing w:after="0" w:line="266" w:lineRule="auto"/>
        <w:rPr>
          <w:sz w:val="20"/>
          <w:szCs w:val="20"/>
          <w:color w:val="auto"/>
        </w:rPr>
      </w:pPr>
      <w:r>
        <w:rPr>
          <w:rFonts w:ascii="Times New Roman" w:cs="Times New Roman" w:eastAsia="Times New Roman" w:hAnsi="Times New Roman"/>
          <w:sz w:val="17"/>
          <w:szCs w:val="17"/>
          <w:color w:val="auto"/>
        </w:rPr>
        <w:t>As of the end of the period covered by this report, the Company carried out an evaluation, under the supervision and with the participation of the Company's management, including our Chief Executive Officer and our Chief Financial Officer, of the effectiveness of the design and operation of our disclosure controls and procedures. Based upon that evaluation as of the end of the period covered by this report, the Company's Chief Executive Officer and Chief Financial Officer concluded that its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21" w:lineRule="exact"/>
        <w:rPr>
          <w:sz w:val="20"/>
          <w:szCs w:val="20"/>
          <w:color w:val="auto"/>
        </w:rPr>
      </w:pPr>
    </w:p>
    <w:p>
      <w:pPr>
        <w:jc w:val="both"/>
        <w:ind w:firstLine="393"/>
        <w:spacing w:after="0" w:line="267" w:lineRule="auto"/>
        <w:rPr>
          <w:sz w:val="20"/>
          <w:szCs w:val="20"/>
          <w:color w:val="auto"/>
        </w:rPr>
      </w:pPr>
      <w:r>
        <w:rPr>
          <w:rFonts w:ascii="Times New Roman" w:cs="Times New Roman" w:eastAsia="Times New Roman" w:hAnsi="Times New Roman"/>
          <w:sz w:val="17"/>
          <w:szCs w:val="17"/>
          <w:color w:val="auto"/>
        </w:rPr>
        <w:t>The Company is responsible for establishing and maintaining adequate internal control over financial reporting, as such term is defined in Exchange Act Rules 13a-15(f) and 15d-15(f). Under the supervision and with the participation of the Company's management, including our Chief Executive Officer and Chief Financial Officer, the Company conducted an evaluation of the effectiveness of our internal control over financial reporting as of December 31, 2024 based on the framework in Internal Control—Integrated Framework issued by the Committee of Sponsoring Organizations of the Treadway Commission (2013 Framework) (COSO). Based on that evaluation, the Company concluded that its internal control over financial reporting was effective as of December 31, 2024.</w:t>
      </w:r>
    </w:p>
    <w:p>
      <w:pPr>
        <w:spacing w:after="0" w:line="67"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or compliance with the policies or procedures may deteriorate.</w:t>
      </w:r>
    </w:p>
    <w:p>
      <w:pPr>
        <w:spacing w:after="0" w:line="5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December 31, 2024 has been audited by Deloitte &amp; Touche LLP, an independent registered public accounting firm, as stated in their report which appears herein.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There have been no changes in the Company's internal control over financial reporting during the year ended December 31, 2024 that has materially affected, or is reasonably likely to materially affect, its internal control over financial reporting.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SL GREEN OPERATING PARTNERSHIP, 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21" w:lineRule="exact"/>
        <w:rPr>
          <w:sz w:val="20"/>
          <w:szCs w:val="20"/>
          <w:color w:val="auto"/>
        </w:rPr>
      </w:pPr>
    </w:p>
    <w:p>
      <w:pPr>
        <w:jc w:val="both"/>
        <w:ind w:firstLine="393"/>
        <w:spacing w:after="0" w:line="262" w:lineRule="auto"/>
        <w:rPr>
          <w:sz w:val="20"/>
          <w:szCs w:val="20"/>
          <w:color w:val="auto"/>
        </w:rPr>
      </w:pPr>
      <w:r>
        <w:rPr>
          <w:rFonts w:ascii="Times New Roman" w:cs="Times New Roman" w:eastAsia="Times New Roman" w:hAnsi="Times New Roman"/>
          <w:sz w:val="17"/>
          <w:szCs w:val="17"/>
          <w:color w:val="auto"/>
        </w:rPr>
        <w:t>The Operating Partnership maintains disclosure controls and procedures that are designed to ensure that information required to be disclosed in the Operating Partnership's Exchange Act reports is recorded, processed, summarized and reported within the time periods specified in the SEC's rules and forms, and that such information is accumulated and communicated to the Operating Partnership's management, including the Chief Executive Officer and Chief Financial Officer of the Operating Partnership's general partner,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Operating Partnership to disclose material information otherwise required to be set forth in the Operating Partnership's periodic reports. Also, the Operating Partnership has investments in certain unconsolidated entities. As the Operating Partnership does not control these entities, the Operating Partnership's disclosure controls and procedures with respect to such entities are necessarily substantially more limited than those it maintains with respect to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As of the end of the period covered by this report, the Operating Partnership carried out an evaluation, under the supervision and with the participation of management, including the Chief Executive Officer and Chief Financial Officer of the Operating Partnership's general partner, of the effectiveness of the design and operation of the Operating Partnership's disclosure controls and procedures. Based upon that evaluation as of the end of the period covered by this report, the Chief Executive Officer and Chief Financial Officer of the Operating Partnership's general partner concluded that the Operating Partnership's disclosure controls and procedures were effective to give reasonable assurances to the timely collection, evaluation and disclosure of information relating to the Operating Partnership that would potentially be subject to disclosure under the Exchange Act and the rules and regulations promulgated thereunder.</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21" w:lineRule="exact"/>
        <w:rPr>
          <w:sz w:val="20"/>
          <w:szCs w:val="20"/>
          <w:color w:val="auto"/>
        </w:rPr>
      </w:pPr>
    </w:p>
    <w:p>
      <w:pPr>
        <w:jc w:val="both"/>
        <w:ind w:firstLine="393"/>
        <w:spacing w:after="0" w:line="265" w:lineRule="auto"/>
        <w:rPr>
          <w:sz w:val="20"/>
          <w:szCs w:val="20"/>
          <w:color w:val="auto"/>
        </w:rPr>
      </w:pPr>
      <w:r>
        <w:rPr>
          <w:rFonts w:ascii="Times New Roman" w:cs="Times New Roman" w:eastAsia="Times New Roman" w:hAnsi="Times New Roman"/>
          <w:sz w:val="17"/>
          <w:szCs w:val="17"/>
          <w:color w:val="auto"/>
        </w:rPr>
        <w:t>The Operating Partnership is responsible for establishing and maintaining adequate internal control over financial reporting, as such term is defined in Exchange Act Rules 13a-15 (f) and 15d-15 (f). Under the supervision and with the participation of our management, including the Chief Executive Officer and Chief Financial Officer of the Operating Partnership's general partner, the Operating Partnership conducted an evaluation of the effectiveness of its internal control over financial reporting as of December 31, 2024 based on the framework in Internal Control-Integrated Framework issued by the Committee of Sponsoring Organizations of the Treadway Commission (2013 Framework) (COSO). Based on that evaluation, the Operating Partnership concluded that its internal control over financial reporting was effective as of December 31, 2024.</w:t>
      </w:r>
    </w:p>
    <w:p>
      <w:pPr>
        <w:spacing w:after="0" w:line="69" w:lineRule="exact"/>
        <w:rPr>
          <w:sz w:val="20"/>
          <w:szCs w:val="20"/>
          <w:color w:val="auto"/>
        </w:rPr>
      </w:pPr>
    </w:p>
    <w:p>
      <w:pPr>
        <w:jc w:val="both"/>
        <w:ind w:firstLine="393"/>
        <w:spacing w:after="0" w:line="27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or compliance with the policies or procedures may deteriorate.</w:t>
      </w:r>
    </w:p>
    <w:p>
      <w:pPr>
        <w:spacing w:after="0" w:line="57"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 effectiveness of the Operating Partnership's internal control over financial reporting as of December 31, 2024 has been audited by Deloitte &amp; Touche LLP, an independent registered public accounting firm, as stated in their report which appears herein.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21" w:lineRule="exact"/>
        <w:rPr>
          <w:sz w:val="20"/>
          <w:szCs w:val="20"/>
          <w:color w:val="auto"/>
        </w:rPr>
      </w:pPr>
    </w:p>
    <w:p>
      <w:pPr>
        <w:jc w:val="both"/>
        <w:ind w:firstLine="393"/>
        <w:spacing w:after="0" w:line="297" w:lineRule="auto"/>
        <w:rPr>
          <w:sz w:val="20"/>
          <w:szCs w:val="20"/>
          <w:color w:val="auto"/>
        </w:rPr>
      </w:pPr>
      <w:r>
        <w:rPr>
          <w:rFonts w:ascii="Times New Roman" w:cs="Times New Roman" w:eastAsia="Times New Roman" w:hAnsi="Times New Roman"/>
          <w:sz w:val="17"/>
          <w:szCs w:val="17"/>
          <w:color w:val="auto"/>
        </w:rPr>
        <w:t>There have been no changes in the Operating Partnership's internal control over financial reporting during the year ended December 31, 2024 that has materially affected, or is reasonably likely to materially affect, its internal control over financial reporting.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3420" w:firstLine="3431"/>
        <w:spacing w:after="0" w:line="451"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Stockholders and the Board of Directors of SL Green Realty Corp. </w:t>
      </w:r>
      <w:r>
        <w:rPr>
          <w:rFonts w:ascii="Times New Roman" w:cs="Times New Roman" w:eastAsia="Times New Roman" w:hAnsi="Times New Roman"/>
          <w:sz w:val="17"/>
          <w:szCs w:val="17"/>
          <w:b w:val="1"/>
          <w:bCs w:val="1"/>
          <w:color w:val="auto"/>
        </w:rPr>
        <w:t>Opinion on Internal Control over Financial Reporting</w:t>
      </w:r>
    </w:p>
    <w:p>
      <w:pPr>
        <w:spacing w:after="0" w:line="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SL Green Realty Corp. and subsidiaries (the "Company") as of December 31, 2024,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COSO.</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2024, of the Company and our report dated February 14, 2025, expressed an unqualified opinion on those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7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9"/>
          <w:szCs w:val="19"/>
          <w:color w:val="auto"/>
        </w:rPr>
        <w:t>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3400" w:firstLine="3431"/>
        <w:spacing w:after="0" w:line="451"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 xml:space="preserve">To the Partners of SL Green Operating Partnership, L.P. and the Board of Directors of SL Green Realty Corp. </w:t>
      </w:r>
      <w:r>
        <w:rPr>
          <w:rFonts w:ascii="Times New Roman" w:cs="Times New Roman" w:eastAsia="Times New Roman" w:hAnsi="Times New Roman"/>
          <w:sz w:val="17"/>
          <w:szCs w:val="17"/>
          <w:b w:val="1"/>
          <w:bCs w:val="1"/>
          <w:color w:val="auto"/>
        </w:rPr>
        <w:t>Opinion on Internal Control over Financial Reporting</w:t>
      </w:r>
    </w:p>
    <w:p>
      <w:pPr>
        <w:spacing w:after="0" w:line="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SL Green Operating Partnership, L.P. and subsidiaries (the "Partnership")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Partnership maintained, in all material respects, effective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17" w:lineRule="exact"/>
        <w:rPr>
          <w:sz w:val="20"/>
          <w:szCs w:val="20"/>
          <w:color w:val="auto"/>
        </w:rPr>
      </w:pPr>
    </w:p>
    <w:p>
      <w:pPr>
        <w:jc w:val="both"/>
        <w:ind w:right="480"/>
        <w:spacing w:after="0" w:line="277"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2024, of the Partnership and our report dated February 14, 2025, expressed an unqualified opinion on those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9"/>
          <w:szCs w:val="19"/>
          <w:color w:val="auto"/>
        </w:rPr>
        <w:t>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121"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The information required by Item 10 will be set forth in our Definitive Proxy Statement for our 2025 Annual Meeting of Stockholders, to be filed pursuant to Regulation 14A under the Securities and Exchange Act of 1934, as amended, on or prior to April 30, 2025, or the 2025 Proxy Statement, and is incorporated herein by reference.</w:t>
      </w:r>
    </w:p>
    <w:p>
      <w:pPr>
        <w:spacing w:after="0" w:line="5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information required by Item 11 will be set forth in the 2025 Proxy Statement and is incorporated herein by reference.</w:t>
      </w:r>
    </w:p>
    <w:p>
      <w:pPr>
        <w:spacing w:after="0" w:line="117" w:lineRule="exact"/>
        <w:rPr>
          <w:sz w:val="20"/>
          <w:szCs w:val="20"/>
          <w:color w:val="auto"/>
        </w:rPr>
      </w:pPr>
    </w:p>
    <w:p>
      <w:pPr>
        <w:ind w:right="740"/>
        <w:spacing w:after="0" w:line="299" w:lineRule="auto"/>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information required by Item 12 will be set forth in the 2025 Proxy Statement and is incorporated herein by reference.</w:t>
      </w:r>
    </w:p>
    <w:p>
      <w:pPr>
        <w:spacing w:after="0" w:line="119"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The following table summarizes information, as of December 31, 2024, relating to our equity compensation plans pursuant to which shares of our common stock or other equity securities may be granted from time to time.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40" w:type="dxa"/>
            <w:vAlign w:val="bottom"/>
            <w:gridSpan w:val="2"/>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40" w:type="dxa"/>
            <w:vAlign w:val="bottom"/>
            <w:gridSpan w:val="2"/>
          </w:tcPr>
          <w:p>
            <w:pPr>
              <w:jc w:val="center"/>
              <w:ind w:right="328"/>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remaining available for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120" w:type="dxa"/>
            <w:vAlign w:val="bottom"/>
            <w:gridSpan w:val="2"/>
            <w:vMerge w:val="restart"/>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40" w:type="dxa"/>
            <w:vAlign w:val="bottom"/>
            <w:gridSpan w:val="2"/>
          </w:tcPr>
          <w:p>
            <w:pPr>
              <w:jc w:val="center"/>
              <w:ind w:right="308"/>
              <w:spacing w:after="0" w:line="133" w:lineRule="exact"/>
              <w:rPr>
                <w:sz w:val="20"/>
                <w:szCs w:val="20"/>
                <w:color w:val="auto"/>
              </w:rPr>
            </w:pPr>
            <w:r>
              <w:rPr>
                <w:rFonts w:ascii="Times New Roman" w:cs="Times New Roman" w:eastAsia="Times New Roman" w:hAnsi="Times New Roman"/>
                <w:sz w:val="14"/>
                <w:szCs w:val="14"/>
                <w:b w:val="1"/>
                <w:bCs w:val="1"/>
                <w:color w:val="auto"/>
                <w:w w:val="99"/>
              </w:rPr>
              <w:t>future issuance under equity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14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 average exercise</w:t>
            </w:r>
          </w:p>
        </w:tc>
        <w:tc>
          <w:tcPr>
            <w:tcW w:w="2140" w:type="dxa"/>
            <w:vAlign w:val="bottom"/>
            <w:gridSpan w:val="2"/>
          </w:tcPr>
          <w:p>
            <w:pPr>
              <w:jc w:val="center"/>
              <w:ind w:right="308"/>
              <w:spacing w:after="0" w:line="145"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120" w:type="dxa"/>
            <w:vAlign w:val="bottom"/>
            <w:gridSpan w:val="2"/>
          </w:tcPr>
          <w:p>
            <w:pPr>
              <w:jc w:val="center"/>
              <w:ind w:right="348"/>
              <w:spacing w:after="0" w:line="143" w:lineRule="exact"/>
              <w:rPr>
                <w:sz w:val="20"/>
                <w:szCs w:val="20"/>
                <w:color w:val="auto"/>
              </w:rPr>
            </w:pPr>
            <w:r>
              <w:rPr>
                <w:rFonts w:ascii="Times New Roman" w:cs="Times New Roman" w:eastAsia="Times New Roman" w:hAnsi="Times New Roman"/>
                <w:sz w:val="14"/>
                <w:szCs w:val="14"/>
                <w:b w:val="1"/>
                <w:bCs w:val="1"/>
                <w:color w:val="auto"/>
                <w:w w:val="99"/>
              </w:rPr>
              <w:t>issued upon exercise of</w:t>
            </w:r>
          </w:p>
        </w:tc>
        <w:tc>
          <w:tcPr>
            <w:tcW w:w="2140" w:type="dxa"/>
            <w:vAlign w:val="bottom"/>
            <w:gridSpan w:val="3"/>
            <w:vMerge w:val="continue"/>
          </w:tcPr>
          <w:p>
            <w:pPr>
              <w:spacing w:after="0"/>
              <w:rPr>
                <w:sz w:val="12"/>
                <w:szCs w:val="12"/>
                <w:color w:val="auto"/>
              </w:rPr>
            </w:pPr>
          </w:p>
        </w:tc>
        <w:tc>
          <w:tcPr>
            <w:tcW w:w="2140" w:type="dxa"/>
            <w:vAlign w:val="bottom"/>
            <w:gridSpan w:val="2"/>
          </w:tcPr>
          <w:p>
            <w:pPr>
              <w:jc w:val="center"/>
              <w:ind w:right="308"/>
              <w:spacing w:after="0" w:line="143"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120" w:type="dxa"/>
            <w:vAlign w:val="bottom"/>
            <w:gridSpan w:val="2"/>
          </w:tcPr>
          <w:p>
            <w:pPr>
              <w:jc w:val="center"/>
              <w:ind w:right="328"/>
              <w:spacing w:after="0" w:line="14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140" w:type="dxa"/>
            <w:vAlign w:val="bottom"/>
            <w:gridSpan w:val="3"/>
          </w:tcPr>
          <w:p>
            <w:pPr>
              <w:jc w:val="center"/>
              <w:ind w:right="3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price of outstanding options,</w:t>
            </w:r>
          </w:p>
        </w:tc>
        <w:tc>
          <w:tcPr>
            <w:tcW w:w="2140" w:type="dxa"/>
            <w:vAlign w:val="bottom"/>
            <w:gridSpan w:val="2"/>
          </w:tcPr>
          <w:p>
            <w:pPr>
              <w:jc w:val="center"/>
              <w:ind w:right="348"/>
              <w:spacing w:after="0" w:line="145" w:lineRule="exact"/>
              <w:rPr>
                <w:sz w:val="20"/>
                <w:szCs w:val="20"/>
                <w:color w:val="auto"/>
              </w:rPr>
            </w:pPr>
            <w:r>
              <w:rPr>
                <w:rFonts w:ascii="Times New Roman" w:cs="Times New Roman" w:eastAsia="Times New Roman" w:hAnsi="Times New Roman"/>
                <w:sz w:val="14"/>
                <w:szCs w:val="14"/>
                <w:b w:val="1"/>
                <w:bCs w:val="1"/>
                <w:color w:val="auto"/>
                <w:w w:val="98"/>
              </w:rPr>
              <w:t>reflected in</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120" w:type="dxa"/>
            <w:vAlign w:val="bottom"/>
            <w:gridSpan w:val="2"/>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w w:val="99"/>
              </w:rPr>
              <w:t>warrants and rights</w:t>
            </w:r>
          </w:p>
        </w:tc>
        <w:tc>
          <w:tcPr>
            <w:tcW w:w="200" w:type="dxa"/>
            <w:vAlign w:val="bottom"/>
          </w:tcPr>
          <w:p>
            <w:pPr>
              <w:spacing w:after="0"/>
              <w:rPr>
                <w:sz w:val="16"/>
                <w:szCs w:val="16"/>
                <w:color w:val="auto"/>
              </w:rPr>
            </w:pPr>
          </w:p>
        </w:tc>
        <w:tc>
          <w:tcPr>
            <w:tcW w:w="19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warrants and rights</w:t>
            </w:r>
          </w:p>
        </w:tc>
        <w:tc>
          <w:tcPr>
            <w:tcW w:w="2140" w:type="dxa"/>
            <w:vAlign w:val="bottom"/>
            <w:gridSpan w:val="2"/>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w w:val="98"/>
              </w:rPr>
              <w:t>column (a))</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Plan category</w:t>
            </w:r>
          </w:p>
        </w:tc>
        <w:tc>
          <w:tcPr>
            <w:tcW w:w="174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w:t>
            </w:r>
          </w:p>
        </w:tc>
        <w:tc>
          <w:tcPr>
            <w:tcW w:w="3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center"/>
              <w:ind w:right="105"/>
              <w:spacing w:after="0" w:line="145" w:lineRule="exact"/>
              <w:rPr>
                <w:sz w:val="20"/>
                <w:szCs w:val="20"/>
                <w:color w:val="auto"/>
              </w:rPr>
            </w:pPr>
            <w:r>
              <w:rPr>
                <w:rFonts w:ascii="Times New Roman" w:cs="Times New Roman" w:eastAsia="Times New Roman" w:hAnsi="Times New Roman"/>
                <w:sz w:val="14"/>
                <w:szCs w:val="14"/>
                <w:b w:val="1"/>
                <w:bCs w:val="1"/>
                <w:color w:val="auto"/>
              </w:rPr>
              <w:t>(b)</w:t>
            </w:r>
          </w:p>
        </w:tc>
        <w:tc>
          <w:tcPr>
            <w:tcW w:w="380" w:type="dxa"/>
            <w:vAlign w:val="bottom"/>
          </w:tcPr>
          <w:p>
            <w:pPr>
              <w:spacing w:after="0"/>
              <w:rPr>
                <w:sz w:val="12"/>
                <w:szCs w:val="12"/>
                <w:color w:val="auto"/>
              </w:rPr>
            </w:pPr>
          </w:p>
        </w:tc>
        <w:tc>
          <w:tcPr>
            <w:tcW w:w="176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8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Equity compensation plans approved by security holders </w:t>
            </w:r>
            <w:r>
              <w:rPr>
                <w:rFonts w:ascii="Times New Roman" w:cs="Times New Roman" w:eastAsia="Times New Roman" w:hAnsi="Times New Roman"/>
                <w:sz w:val="20"/>
                <w:szCs w:val="20"/>
                <w:color w:val="auto"/>
                <w:vertAlign w:val="superscript"/>
              </w:rPr>
              <w:t>(1)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5,162,791</w:t>
            </w:r>
          </w:p>
        </w:tc>
        <w:tc>
          <w:tcPr>
            <w:tcW w:w="3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0"/>
                <w:szCs w:val="10"/>
                <w:color w:val="auto"/>
              </w:rPr>
              <w:t>(2)</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40" w:type="dxa"/>
            <w:vAlign w:val="bottom"/>
            <w:tcBorders>
              <w:bottom w:val="single" w:sz="8" w:color="CCEEFF"/>
            </w:tcBorders>
            <w:gridSpan w:val="2"/>
            <w:shd w:val="clear" w:color="auto" w:fill="CCEEFF"/>
          </w:tcPr>
          <w:p>
            <w:pPr>
              <w:jc w:val="right"/>
              <w:ind w:right="240"/>
              <w:spacing w:after="0" w:line="203" w:lineRule="exact"/>
              <w:rPr>
                <w:sz w:val="20"/>
                <w:szCs w:val="20"/>
                <w:color w:val="auto"/>
              </w:rPr>
            </w:pPr>
            <w:r>
              <w:rPr>
                <w:rFonts w:ascii="Times New Roman" w:cs="Times New Roman" w:eastAsia="Times New Roman" w:hAnsi="Times New Roman"/>
                <w:sz w:val="16"/>
                <w:szCs w:val="16"/>
                <w:b w:val="1"/>
                <w:bCs w:val="1"/>
                <w:color w:val="auto"/>
              </w:rPr>
              <w:t xml:space="preserve">81.63 </w:t>
            </w:r>
            <w:r>
              <w:rPr>
                <w:rFonts w:ascii="Times New Roman" w:cs="Times New Roman" w:eastAsia="Times New Roman" w:hAnsi="Times New Roman"/>
                <w:sz w:val="20"/>
                <w:szCs w:val="20"/>
                <w:color w:val="auto"/>
                <w:vertAlign w:val="superscript"/>
              </w:rPr>
              <w:t>(3)</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1,751,533</w:t>
            </w:r>
          </w:p>
        </w:tc>
        <w:tc>
          <w:tcPr>
            <w:tcW w:w="3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Equity compensation plans not approved by security holders</w:t>
            </w:r>
          </w:p>
        </w:tc>
        <w:tc>
          <w:tcPr>
            <w:tcW w:w="21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gridSpan w:val="2"/>
            <w:vMerge w:val="restart"/>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820" w:type="dxa"/>
            <w:vAlign w:val="bottom"/>
            <w:tcBorders>
              <w:top w:val="single" w:sz="8" w:color="CCEEFF"/>
            </w:tcBorders>
            <w:gridSpan w:val="2"/>
            <w:vMerge w:val="continue"/>
          </w:tcPr>
          <w:p>
            <w:pPr>
              <w:spacing w:after="0"/>
              <w:rPr>
                <w:sz w:val="15"/>
                <w:szCs w:val="15"/>
                <w:color w:val="auto"/>
              </w:rPr>
            </w:pPr>
          </w:p>
        </w:tc>
        <w:tc>
          <w:tcPr>
            <w:tcW w:w="17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Borders>
              <w:top w:val="single" w:sz="8" w:color="CCEEFF"/>
            </w:tcBorders>
            <w:gridSpan w:val="2"/>
            <w:vMerge w:val="continue"/>
          </w:tcPr>
          <w:p>
            <w:pPr>
              <w:spacing w:after="0"/>
              <w:rPr>
                <w:sz w:val="15"/>
                <w:szCs w:val="15"/>
                <w:color w:val="auto"/>
              </w:rPr>
            </w:pPr>
          </w:p>
        </w:tc>
        <w:tc>
          <w:tcPr>
            <w:tcW w:w="17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8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5,162,791</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1,751,533</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400" w:hanging="395"/>
        <w:spacing w:after="0"/>
        <w:tabs>
          <w:tab w:leader="none" w:pos="4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Fifth Amended and Restated 2005 Stock Option and Incentive Plan, Amended 1997 Stock Option and Incentive Plan, as amended, and 2008 Employee Stock Purchase Plan.</w:t>
      </w:r>
    </w:p>
    <w:p>
      <w:pPr>
        <w:spacing w:after="0" w:line="12" w:lineRule="exact"/>
        <w:rPr>
          <w:rFonts w:ascii="Times New Roman" w:cs="Times New Roman" w:eastAsia="Times New Roman" w:hAnsi="Times New Roman"/>
          <w:sz w:val="14"/>
          <w:szCs w:val="14"/>
          <w:color w:val="auto"/>
        </w:rPr>
      </w:pPr>
    </w:p>
    <w:p>
      <w:pPr>
        <w:jc w:val="both"/>
        <w:ind w:left="400" w:hanging="395"/>
        <w:spacing w:after="0" w:line="252" w:lineRule="auto"/>
        <w:tabs>
          <w:tab w:leader="none" w:pos="39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333,897 shares of common stock issuable upon the exercise of outstanding options (115,980 of which are vested and exercisable), (ii) 125,654 phantom stock units that may be settled in shares of common stock (125,654 of which are vested), (iii) 3,560,807 LTIP units that, upon the satisfaction of certain conditions, are convertible into common units, which may be presented to us for redemption and acquired by us for shares of our common stock (1,760,448 of which are vested).</w:t>
      </w:r>
    </w:p>
    <w:p>
      <w:pPr>
        <w:ind w:left="400" w:hanging="395"/>
        <w:spacing w:after="0"/>
        <w:tabs>
          <w:tab w:leader="none" w:pos="4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there is no exercise price associated with restricted stock units, phantom stock units or LTIP units, these awards are not included in the weighted-average exercise price calculation.</w:t>
      </w:r>
    </w:p>
    <w:p>
      <w:pPr>
        <w:spacing w:after="0" w:line="9" w:lineRule="exact"/>
        <w:rPr>
          <w:rFonts w:ascii="Times New Roman" w:cs="Times New Roman" w:eastAsia="Times New Roman" w:hAnsi="Times New Roman"/>
          <w:sz w:val="14"/>
          <w:szCs w:val="14"/>
          <w:color w:val="auto"/>
        </w:rPr>
      </w:pPr>
    </w:p>
    <w:p>
      <w:pPr>
        <w:jc w:val="both"/>
        <w:ind w:left="400" w:hanging="395"/>
        <w:spacing w:after="0" w:line="251" w:lineRule="auto"/>
        <w:tabs>
          <w:tab w:leader="none" w:pos="39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is after reserving for shares underlying outstanding restricted stock units, phantom stock units granted pursuant to our Non-Employee Directors' Deferral Program and LTIP Units. The number of securities remaining available consists of shares remaining available for issuance under our 2008 Employee Stock Purchase Plan and Fifth Amended and Restated 2005 Stock Option and Incentive Plan.</w:t>
      </w:r>
    </w:p>
    <w:p>
      <w:pPr>
        <w:spacing w:after="0" w:line="21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information required by Item 13 will be set forth under in the 2025 Proxy Statement and is incorporated herein by reference.</w:t>
      </w:r>
    </w:p>
    <w:p>
      <w:pPr>
        <w:spacing w:after="0" w:line="1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14.</w:t>
        <w:tab/>
        <w:t>PRINCIPAL ACCOUNTANT FEES AND SERVICES</w:t>
      </w:r>
    </w:p>
    <w:p>
      <w:pPr>
        <w:spacing w:after="0" w:line="121"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The information regarding principal accountant fees and services and the audit committee's pre-approval policies and procedures required by this Item 14 will be set forth in the 2025 Proxy Statement and is incorporated herein by reference.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95"/>
        </w:trPr>
        <w:tc>
          <w:tcPr>
            <w:tcW w:w="95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700" w:type="dxa"/>
            <w:vAlign w:val="bottom"/>
          </w:tcPr>
          <w:p>
            <w:pPr>
              <w:spacing w:after="0"/>
              <w:rPr>
                <w:sz w:val="17"/>
                <w:szCs w:val="17"/>
                <w:color w:val="auto"/>
              </w:rPr>
            </w:pPr>
          </w:p>
        </w:tc>
      </w:tr>
      <w:tr>
        <w:trPr>
          <w:trHeight w:val="766"/>
        </w:trPr>
        <w:tc>
          <w:tcPr>
            <w:tcW w:w="1240" w:type="dxa"/>
            <w:vAlign w:val="bottom"/>
            <w:tcBorders>
              <w:top w:val="single" w:sz="8" w:color="0000FF"/>
            </w:tcBorders>
          </w:tcPr>
          <w:p>
            <w:pPr>
              <w:spacing w:after="0"/>
              <w:rPr>
                <w:sz w:val="24"/>
                <w:szCs w:val="24"/>
                <w:color w:val="auto"/>
              </w:rPr>
            </w:pPr>
          </w:p>
        </w:tc>
        <w:tc>
          <w:tcPr>
            <w:tcW w:w="8260" w:type="dxa"/>
            <w:vAlign w:val="bottom"/>
          </w:tcPr>
          <w:p>
            <w:pPr>
              <w:ind w:left="404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1700" w:type="dxa"/>
            <w:vAlign w:val="bottom"/>
          </w:tcPr>
          <w:p>
            <w:pPr>
              <w:spacing w:after="0"/>
              <w:rPr>
                <w:sz w:val="24"/>
                <w:szCs w:val="24"/>
                <w:color w:val="auto"/>
              </w:rPr>
            </w:pPr>
          </w:p>
        </w:tc>
      </w:tr>
      <w:tr>
        <w:trPr>
          <w:trHeight w:val="367"/>
        </w:trPr>
        <w:tc>
          <w:tcPr>
            <w:tcW w:w="9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STATEMENTS AND SCHEDULES</w:t>
            </w:r>
          </w:p>
        </w:tc>
        <w:tc>
          <w:tcPr>
            <w:tcW w:w="1700" w:type="dxa"/>
            <w:vAlign w:val="bottom"/>
          </w:tcPr>
          <w:p>
            <w:pPr>
              <w:spacing w:after="0"/>
              <w:rPr>
                <w:sz w:val="24"/>
                <w:szCs w:val="24"/>
                <w:color w:val="auto"/>
              </w:rPr>
            </w:pPr>
          </w:p>
        </w:tc>
      </w:tr>
      <w:tr>
        <w:trPr>
          <w:trHeight w:val="367"/>
        </w:trPr>
        <w:tc>
          <w:tcPr>
            <w:tcW w:w="9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(a)(1) Consolidated Financial Statements</w:t>
            </w:r>
          </w:p>
        </w:tc>
        <w:tc>
          <w:tcPr>
            <w:tcW w:w="1700" w:type="dxa"/>
            <w:vAlign w:val="bottom"/>
          </w:tcPr>
          <w:p>
            <w:pPr>
              <w:spacing w:after="0"/>
              <w:rPr>
                <w:sz w:val="24"/>
                <w:szCs w:val="24"/>
                <w:color w:val="auto"/>
              </w:rPr>
            </w:pPr>
          </w:p>
        </w:tc>
      </w:tr>
      <w:tr>
        <w:trPr>
          <w:trHeight w:val="664"/>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SL GREEN REALTY CORP.</w:t>
            </w:r>
          </w:p>
        </w:tc>
        <w:tc>
          <w:tcPr>
            <w:tcW w:w="1700" w:type="dxa"/>
            <w:vAlign w:val="bottom"/>
          </w:tcPr>
          <w:p>
            <w:pPr>
              <w:spacing w:after="0"/>
              <w:rPr>
                <w:sz w:val="24"/>
                <w:szCs w:val="24"/>
                <w:color w:val="auto"/>
              </w:rPr>
            </w:pPr>
          </w:p>
        </w:tc>
      </w:tr>
      <w:tr>
        <w:trPr>
          <w:trHeight w:val="223"/>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(Deloitte &amp; Touche LLP)</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w:t>
            </w:r>
          </w:p>
        </w:tc>
      </w:tr>
      <w:tr>
        <w:trPr>
          <w:trHeight w:val="223"/>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(Ernst &amp; Young LLP)</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w:t>
            </w:r>
          </w:p>
        </w:tc>
      </w:tr>
      <w:tr>
        <w:trPr>
          <w:trHeight w:val="223"/>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Balance Sheets as of December 31, 2024 and 2023</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58</w:t>
            </w:r>
          </w:p>
        </w:tc>
      </w:tr>
      <w:tr>
        <w:trPr>
          <w:trHeight w:val="223"/>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Statements of Operations for the years ended December 31, 2024, 2023 and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w:t>
            </w:r>
          </w:p>
        </w:tc>
      </w:tr>
      <w:tr>
        <w:trPr>
          <w:trHeight w:val="223"/>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Statements of Comprehensive Income (Loss) for the years ended December 31, 2024, 2023 and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61</w:t>
            </w:r>
          </w:p>
        </w:tc>
      </w:tr>
      <w:tr>
        <w:trPr>
          <w:trHeight w:val="223"/>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Statements of Equity for the years ended December 31, 2024, 2023 and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w:t>
            </w:r>
          </w:p>
        </w:tc>
      </w:tr>
      <w:tr>
        <w:trPr>
          <w:trHeight w:val="221"/>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2024, 2023 and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w:t>
            </w:r>
          </w:p>
        </w:tc>
      </w:tr>
      <w:tr>
        <w:trPr>
          <w:trHeight w:val="225"/>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tc>
        <w:tc>
          <w:tcPr>
            <w:tcW w:w="1700" w:type="dxa"/>
            <w:vAlign w:val="bottom"/>
          </w:tcPr>
          <w:p>
            <w:pPr>
              <w:spacing w:after="0"/>
              <w:rPr>
                <w:sz w:val="19"/>
                <w:szCs w:val="19"/>
                <w:color w:val="auto"/>
              </w:rPr>
            </w:pPr>
          </w:p>
        </w:tc>
      </w:tr>
      <w:tr>
        <w:trPr>
          <w:trHeight w:val="223"/>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(Deloitte &amp; Touche LLP)</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w:t>
            </w:r>
          </w:p>
        </w:tc>
      </w:tr>
      <w:tr>
        <w:trPr>
          <w:trHeight w:val="223"/>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(Ernst &amp; Young LLP)</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w:t>
            </w:r>
          </w:p>
        </w:tc>
      </w:tr>
      <w:tr>
        <w:trPr>
          <w:trHeight w:val="223"/>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Balance Sheets as of December 31, 2024 and 2023</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w:t>
            </w:r>
          </w:p>
        </w:tc>
      </w:tr>
      <w:tr>
        <w:trPr>
          <w:trHeight w:val="223"/>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Statements of Operations for the years ended December 31, 2024, 2023 and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72</w:t>
            </w:r>
          </w:p>
        </w:tc>
      </w:tr>
      <w:tr>
        <w:trPr>
          <w:trHeight w:val="223"/>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Statements of Comprehensive Income (Loss) for the years ended December 31, 2024, 2023 and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w:t>
            </w:r>
          </w:p>
        </w:tc>
      </w:tr>
      <w:tr>
        <w:trPr>
          <w:trHeight w:val="223"/>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Statements of Equity for the years ended December 31, 2024, 2023 and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74</w:t>
            </w:r>
          </w:p>
        </w:tc>
      </w:tr>
      <w:tr>
        <w:trPr>
          <w:trHeight w:val="221"/>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Consolidated Statements of Cash Flows for the years ended December 31, 2024, 2023 and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223"/>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w:t>
            </w:r>
          </w:p>
        </w:tc>
      </w:tr>
      <w:tr>
        <w:trPr>
          <w:trHeight w:val="225"/>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(a)(2)  Financial Statement Schedules</w:t>
            </w:r>
          </w:p>
        </w:tc>
        <w:tc>
          <w:tcPr>
            <w:tcW w:w="1700" w:type="dxa"/>
            <w:vAlign w:val="bottom"/>
          </w:tcPr>
          <w:p>
            <w:pPr>
              <w:spacing w:after="0"/>
              <w:rPr>
                <w:sz w:val="19"/>
                <w:szCs w:val="19"/>
                <w:color w:val="auto"/>
              </w:rPr>
            </w:pPr>
          </w:p>
        </w:tc>
      </w:tr>
      <w:tr>
        <w:trPr>
          <w:trHeight w:val="228"/>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Schedule III—Real Estate and Accumulated Depreciation as of December 31, 2024</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126</w:t>
            </w:r>
          </w:p>
        </w:tc>
      </w:tr>
    </w:tbl>
    <w:p>
      <w:pPr>
        <w:spacing w:after="0" w:line="231"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Schedules other than those listed are omitted as they are not applicable or the required or equivalent information has been included in the financial statements or notes thereto.</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(a)(3) In reviewing the agreements included as exhibits to this Annual Report on Form 10-K, please remember they are included to provide you with information regarding their terms and are not intended to provide any other factual or disclosure information about us or the other parties to the agreements. The agreements contain representations and warranties by each of the parties to the applicable agreement. These representations and warranties have been made solely for the benefit of the other parties to the applicable agreement and:</w:t>
      </w:r>
    </w:p>
    <w:p>
      <w:pPr>
        <w:spacing w:after="0" w:line="117" w:lineRule="exact"/>
        <w:rPr>
          <w:sz w:val="20"/>
          <w:szCs w:val="20"/>
          <w:color w:val="auto"/>
        </w:rPr>
      </w:pPr>
    </w:p>
    <w:p>
      <w:pPr>
        <w:ind w:left="640" w:hanging="320"/>
        <w:spacing w:after="0" w:line="297" w:lineRule="auto"/>
        <w:tabs>
          <w:tab w:leader="none" w:pos="63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should not in all instances be treated as categorical statements of fact, but rather as a way of allocating the risk to one of the parties if those statements prove to be inaccurate;</w:t>
      </w:r>
    </w:p>
    <w:p>
      <w:pPr>
        <w:spacing w:after="0" w:line="93" w:lineRule="exact"/>
        <w:rPr>
          <w:rFonts w:ascii="Times New Roman" w:cs="Times New Roman" w:eastAsia="Times New Roman" w:hAnsi="Times New Roman"/>
          <w:sz w:val="17"/>
          <w:szCs w:val="17"/>
          <w:color w:val="auto"/>
        </w:rPr>
      </w:pPr>
    </w:p>
    <w:p>
      <w:pPr>
        <w:ind w:left="640" w:hanging="320"/>
        <w:spacing w:after="0" w:line="297" w:lineRule="auto"/>
        <w:tabs>
          <w:tab w:leader="none" w:pos="63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been qualified by disclosures that were made to the other party in connection with the negotiation of the applicable agreement, which disclosures are not necessarily reflected in the agreement;</w:t>
      </w:r>
    </w:p>
    <w:p>
      <w:pPr>
        <w:spacing w:after="0" w:line="93"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apply standards of materiality in a way that is different from what may be viewed as material to you or other investors; and</w:t>
      </w:r>
    </w:p>
    <w:p>
      <w:pPr>
        <w:spacing w:after="0" w:line="171" w:lineRule="exact"/>
        <w:rPr>
          <w:rFonts w:ascii="Times New Roman" w:cs="Times New Roman" w:eastAsia="Times New Roman" w:hAnsi="Times New Roman"/>
          <w:sz w:val="17"/>
          <w:szCs w:val="17"/>
          <w:color w:val="auto"/>
        </w:rPr>
      </w:pPr>
    </w:p>
    <w:p>
      <w:pPr>
        <w:ind w:left="640" w:hanging="320"/>
        <w:spacing w:after="0" w:line="297" w:lineRule="auto"/>
        <w:tabs>
          <w:tab w:leader="none" w:pos="63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were made only as of the date of the applicable agreement or such other date or dates as may be specified in the agreement and are subject to more recent developments.</w:t>
      </w:r>
    </w:p>
    <w:p>
      <w:pPr>
        <w:spacing w:after="0" w:line="93" w:lineRule="exact"/>
        <w:rPr>
          <w:sz w:val="20"/>
          <w:szCs w:val="20"/>
          <w:color w:val="auto"/>
        </w:rPr>
      </w:pPr>
    </w:p>
    <w:p>
      <w:pPr>
        <w:jc w:val="both"/>
        <w:ind w:firstLine="433"/>
        <w:spacing w:after="0" w:line="277" w:lineRule="auto"/>
        <w:rPr>
          <w:sz w:val="20"/>
          <w:szCs w:val="20"/>
          <w:color w:val="auto"/>
        </w:rPr>
      </w:pPr>
      <w:r>
        <w:rPr>
          <w:rFonts w:ascii="Times New Roman" w:cs="Times New Roman" w:eastAsia="Times New Roman" w:hAnsi="Times New Roman"/>
          <w:sz w:val="17"/>
          <w:szCs w:val="17"/>
          <w:color w:val="auto"/>
        </w:rPr>
        <w:t xml:space="preserve">Accordingly, these representations and warranties may not describe the actual state of affairs as of the date they were made or at any other time. Additional information about us may be found elsewhere in this Annual Report on Form 10-K and our other public filings, which are available without charge through the SEC's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INDEX TO EXHIBITS</w:t>
      </w:r>
    </w:p>
    <w:p>
      <w:pPr>
        <w:spacing w:after="0" w:line="213" w:lineRule="exact"/>
        <w:rPr>
          <w:sz w:val="20"/>
          <w:szCs w:val="20"/>
          <w:color w:val="auto"/>
        </w:rPr>
      </w:pPr>
    </w:p>
    <w:p>
      <w:pPr>
        <w:ind w:left="740"/>
        <w:spacing w:after="0"/>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u w:val="single" w:color="auto"/>
            <w:color w:val="0000FF"/>
          </w:rPr>
          <w:t>3.1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Restatement, incorporated by reference to the Company's Form 10-Q, dated July 11, 2014, filed with the SEC on August 11, 2014.</w:t>
      </w:r>
    </w:p>
    <w:p>
      <w:pPr>
        <w:spacing w:after="0" w:line="32" w:lineRule="exact"/>
        <w:rPr>
          <w:sz w:val="20"/>
          <w:szCs w:val="20"/>
          <w:color w:val="auto"/>
        </w:rPr>
      </w:pPr>
    </w:p>
    <w:p>
      <w:pPr>
        <w:ind w:left="1000" w:right="20" w:hanging="252"/>
        <w:spacing w:after="0" w:line="242" w:lineRule="auto"/>
        <w:rPr>
          <w:rFonts w:ascii="Times New Roman" w:cs="Times New Roman" w:eastAsia="Times New Roman" w:hAnsi="Times New Roman"/>
          <w:sz w:val="17"/>
          <w:szCs w:val="17"/>
          <w:color w:val="0000FF"/>
        </w:rPr>
      </w:pPr>
      <w:hyperlink r:id="rId150">
        <w:r>
          <w:rPr>
            <w:rFonts w:ascii="Times New Roman" w:cs="Times New Roman" w:eastAsia="Times New Roman" w:hAnsi="Times New Roman"/>
            <w:sz w:val="17"/>
            <w:szCs w:val="17"/>
            <w:u w:val="single" w:color="auto"/>
            <w:color w:val="0000FF"/>
          </w:rPr>
          <w:t>3.2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Amendment to the Company's Articles of Restatement, incorporated by reference to the Company's Form 8-K, dated July 18, 2017,</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filed with the SEC on July 18, 2017.</w:t>
      </w:r>
    </w:p>
    <w:p>
      <w:pPr>
        <w:spacing w:after="0" w:line="7" w:lineRule="exact"/>
        <w:rPr>
          <w:sz w:val="20"/>
          <w:szCs w:val="20"/>
          <w:color w:val="auto"/>
        </w:rPr>
      </w:pPr>
    </w:p>
    <w:p>
      <w:pPr>
        <w:ind w:left="1000" w:hanging="252"/>
        <w:spacing w:after="0" w:line="248" w:lineRule="auto"/>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u w:val="single" w:color="auto"/>
            <w:color w:val="0000FF"/>
          </w:rPr>
          <w:t>3.3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Amendment to the Company's Articles of Restatement, incorporated by reference to Exhibit 3.1 to the Company's Form 8-K, dated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January 20, 2021, filed with the SEC on January 20, 2021.</w:t>
      </w:r>
    </w:p>
    <w:p>
      <w:pPr>
        <w:spacing w:after="0" w:line="3" w:lineRule="exact"/>
        <w:rPr>
          <w:sz w:val="20"/>
          <w:szCs w:val="20"/>
          <w:color w:val="auto"/>
        </w:rPr>
      </w:pPr>
    </w:p>
    <w:p>
      <w:pPr>
        <w:ind w:left="1000" w:hanging="252"/>
        <w:spacing w:after="0" w:line="248" w:lineRule="auto"/>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u w:val="single" w:color="auto"/>
            <w:color w:val="0000FF"/>
          </w:rPr>
          <w:t>3.4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Amendment to the Company's Articles of Restatement, incorporated by reference to Exhibit 3.2 to the Company's Form 8-K, dated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January 20, 2021, filed with the SEC on January 20, 2021.</w:t>
      </w:r>
    </w:p>
    <w:p>
      <w:pPr>
        <w:spacing w:after="0" w:line="3" w:lineRule="exact"/>
        <w:rPr>
          <w:sz w:val="20"/>
          <w:szCs w:val="20"/>
          <w:color w:val="auto"/>
        </w:rPr>
      </w:pPr>
    </w:p>
    <w:p>
      <w:pPr>
        <w:ind w:left="1000" w:hanging="252"/>
        <w:spacing w:after="0" w:line="248" w:lineRule="auto"/>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u w:val="single" w:color="auto"/>
            <w:color w:val="0000FF"/>
          </w:rPr>
          <w:t>3.5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Amendment to the Company's Articles of Restatement, incorporated by reference to Exhibit 3.1 to the Company's Form 8-K, dated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January 21, 2022, filed with the SEC on January 21, 2022.</w:t>
      </w:r>
    </w:p>
    <w:p>
      <w:pPr>
        <w:spacing w:after="0" w:line="3" w:lineRule="exact"/>
        <w:rPr>
          <w:sz w:val="20"/>
          <w:szCs w:val="20"/>
          <w:color w:val="auto"/>
        </w:rPr>
      </w:pPr>
    </w:p>
    <w:p>
      <w:pPr>
        <w:ind w:left="1000" w:hanging="252"/>
        <w:spacing w:after="0" w:line="248" w:lineRule="auto"/>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u w:val="single" w:color="auto"/>
            <w:color w:val="0000FF"/>
          </w:rPr>
          <w:t>3.6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Amendment to the Company's Articles of Restatement, incorporated by reference to Exhibit 3.2 to the Company's Form 8-K, dated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January 21, 2022, filed with the SEC on January 21, 2022.</w:t>
      </w:r>
    </w:p>
    <w:p>
      <w:pPr>
        <w:spacing w:after="0" w:line="3" w:lineRule="exact"/>
        <w:rPr>
          <w:sz w:val="20"/>
          <w:szCs w:val="20"/>
          <w:color w:val="auto"/>
        </w:rPr>
      </w:pPr>
    </w:p>
    <w:p>
      <w:pPr>
        <w:ind w:left="1000" w:hanging="252"/>
        <w:spacing w:after="0" w:line="248" w:lineRule="auto"/>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u w:val="single" w:color="auto"/>
            <w:color w:val="0000FF"/>
          </w:rPr>
          <w:t>3.7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Fifth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Amended and Restated Bylaws of the Company, incorporated by reference to the Company's Form 8-K, dated December 21, 2018, filed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with the SEC on December 28, 2018.</w:t>
      </w:r>
    </w:p>
    <w:p>
      <w:pPr>
        <w:spacing w:after="0" w:line="3" w:lineRule="exact"/>
        <w:rPr>
          <w:sz w:val="20"/>
          <w:szCs w:val="20"/>
          <w:color w:val="auto"/>
        </w:rPr>
      </w:pPr>
    </w:p>
    <w:p>
      <w:pPr>
        <w:ind w:left="1000" w:hanging="252"/>
        <w:spacing w:after="0" w:line="248" w:lineRule="auto"/>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u w:val="single" w:color="auto"/>
            <w:color w:val="0000FF"/>
          </w:rPr>
          <w:t>3.8</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First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Fifth Amended and Restated Bylaws of the Company, effective as of May 11, 2020, incorporated by reference to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Company's Form 8-K, dated May 11, 2020, filed with the SEC on May 13, 2020.</w:t>
      </w:r>
    </w:p>
    <w:p>
      <w:pPr>
        <w:spacing w:after="0" w:line="3" w:lineRule="exact"/>
        <w:rPr>
          <w:sz w:val="20"/>
          <w:szCs w:val="20"/>
          <w:color w:val="auto"/>
        </w:rPr>
      </w:pPr>
    </w:p>
    <w:p>
      <w:pPr>
        <w:ind w:left="1000" w:right="20" w:hanging="252"/>
        <w:spacing w:after="0" w:line="248" w:lineRule="auto"/>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u w:val="single" w:color="auto"/>
            <w:color w:val="0000FF"/>
          </w:rPr>
          <w:t>3.9</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Supplementary Electing that SL Green Realty Corp. be Subject to Maryland General Corporations Law Section 3-804(c), 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the Company's Form 8-K, dated September 16, 2009, filed with the SEC on September 16, 2009.</w:t>
      </w:r>
    </w:p>
    <w:p>
      <w:pPr>
        <w:spacing w:after="0" w:line="3" w:lineRule="exact"/>
        <w:rPr>
          <w:sz w:val="20"/>
          <w:szCs w:val="20"/>
          <w:color w:val="auto"/>
        </w:rPr>
      </w:pPr>
    </w:p>
    <w:p>
      <w:pPr>
        <w:jc w:val="right"/>
        <w:ind w:left="660"/>
        <w:spacing w:after="0" w:line="229" w:lineRule="auto"/>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u w:val="single" w:color="auto"/>
            <w:color w:val="0000FF"/>
          </w:rPr>
          <w:t>3.10</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Supplementary reclassifying 4,600,000 shares of 8.0% Series A Convertible Cumulative Preferred Stock, 1,300,000 shares of Series B</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Junior Participating Preferred Stock and 4,000,000 shares of 7.875% Series D Cumulative Redeemable Preferred Stock into authorized preferred</w:t>
      </w:r>
    </w:p>
    <w:p>
      <w:pPr>
        <w:spacing w:after="0" w:line="1" w:lineRule="exact"/>
        <w:rPr>
          <w:sz w:val="20"/>
          <w:szCs w:val="20"/>
          <w:color w:val="auto"/>
        </w:rPr>
      </w:pPr>
    </w:p>
    <w:p>
      <w:pPr>
        <w:ind w:left="1000"/>
        <w:spacing w:after="0" w:line="232" w:lineRule="auto"/>
        <w:rPr>
          <w:sz w:val="20"/>
          <w:szCs w:val="20"/>
          <w:color w:val="auto"/>
        </w:rPr>
      </w:pPr>
      <w:r>
        <w:rPr>
          <w:rFonts w:ascii="Times New Roman" w:cs="Times New Roman" w:eastAsia="Times New Roman" w:hAnsi="Times New Roman"/>
          <w:sz w:val="17"/>
          <w:szCs w:val="17"/>
          <w:color w:val="auto"/>
        </w:rPr>
        <w:t>stock without further designation, incorporated by reference to the Company's Form 8-K, dated August 9, 2012, filed with the SEC on August 10, 2012.</w:t>
      </w:r>
    </w:p>
    <w:p>
      <w:pPr>
        <w:jc w:val="right"/>
        <w:ind w:left="660"/>
        <w:spacing w:after="0" w:line="226" w:lineRule="auto"/>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u w:val="single" w:color="auto"/>
            <w:color w:val="0000FF"/>
          </w:rPr>
          <w:t>3.11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Articles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Supplementary classifying and designating 9,200,000 shares of the Company's 6.50% Series I Cumulative Redeemable Preferred Stock,</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liquidation preference $25.00 per share, par value $0.01 per share, incorporated by reference to the Company's Form 8-K, dated August 9, 2012,</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filed with the SEC on August 10, 2012.</w:t>
      </w:r>
    </w:p>
    <w:p>
      <w:pPr>
        <w:spacing w:after="0" w:line="2" w:lineRule="exact"/>
        <w:rPr>
          <w:sz w:val="20"/>
          <w:szCs w:val="20"/>
          <w:color w:val="auto"/>
        </w:rPr>
      </w:pPr>
    </w:p>
    <w:p>
      <w:pPr>
        <w:ind w:left="660"/>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u w:val="single" w:color="auto"/>
            <w:color w:val="0000FF"/>
          </w:rPr>
          <w:t>3.12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First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Amended and Restated Agreement of Limited Partnership of the Operating Partnership, incorporated by reference to the Company's Form</w:t>
      </w:r>
    </w:p>
    <w:p>
      <w:pPr>
        <w:ind w:left="1000"/>
        <w:spacing w:after="0"/>
        <w:rPr>
          <w:sz w:val="20"/>
          <w:szCs w:val="20"/>
          <w:color w:val="auto"/>
        </w:rPr>
      </w:pPr>
      <w:r>
        <w:rPr>
          <w:rFonts w:ascii="Times New Roman" w:cs="Times New Roman" w:eastAsia="Times New Roman" w:hAnsi="Times New Roman"/>
          <w:sz w:val="17"/>
          <w:szCs w:val="17"/>
          <w:color w:val="auto"/>
        </w:rPr>
        <w:t>8-K, dated October 23, 2002, filed with the SEC on October 23, 2002.</w:t>
      </w:r>
    </w:p>
    <w:p>
      <w:pPr>
        <w:spacing w:after="0" w:line="21" w:lineRule="exact"/>
        <w:rPr>
          <w:sz w:val="20"/>
          <w:szCs w:val="20"/>
          <w:color w:val="auto"/>
        </w:rPr>
      </w:pPr>
    </w:p>
    <w:p>
      <w:pPr>
        <w:ind w:left="1000" w:right="20" w:hanging="340"/>
        <w:spacing w:after="0" w:line="248" w:lineRule="auto"/>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u w:val="single" w:color="auto"/>
            <w:color w:val="0000FF"/>
          </w:rPr>
          <w:t>3.13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First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May 14, 1998,</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by reference to the Company's Form 8-K, dated October 23, 2002, filed with the SEC on October 23, 2002.</w:t>
      </w:r>
    </w:p>
    <w:p>
      <w:pPr>
        <w:spacing w:after="0" w:line="3" w:lineRule="exact"/>
        <w:rPr>
          <w:sz w:val="20"/>
          <w:szCs w:val="20"/>
          <w:color w:val="auto"/>
        </w:rPr>
      </w:pPr>
    </w:p>
    <w:p>
      <w:pPr>
        <w:ind w:left="1000" w:right="20" w:hanging="340"/>
        <w:spacing w:after="0" w:line="248" w:lineRule="auto"/>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u w:val="single" w:color="auto"/>
            <w:color w:val="0000FF"/>
          </w:rPr>
          <w:t>3.14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Second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incorporated by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reference to the Company's Quarterly Report on Form 10-Q for the quarter ended June 30, 2002, filed with the SEC on July 31, 2002.</w:t>
      </w:r>
    </w:p>
    <w:p>
      <w:pPr>
        <w:jc w:val="right"/>
        <w:spacing w:after="0" w:line="236" w:lineRule="auto"/>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u w:val="single" w:color="auto"/>
            <w:color w:val="0000FF"/>
          </w:rPr>
          <w:t>3.15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Fifth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March 15,</w:t>
      </w:r>
    </w:p>
    <w:p>
      <w:pPr>
        <w:jc w:val="right"/>
        <w:spacing w:after="0" w:line="226" w:lineRule="auto"/>
        <w:rPr>
          <w:sz w:val="20"/>
          <w:szCs w:val="20"/>
          <w:color w:val="auto"/>
        </w:rPr>
      </w:pPr>
      <w:r>
        <w:rPr>
          <w:rFonts w:ascii="Times New Roman" w:cs="Times New Roman" w:eastAsia="Times New Roman" w:hAnsi="Times New Roman"/>
          <w:sz w:val="17"/>
          <w:szCs w:val="17"/>
          <w:color w:val="auto"/>
        </w:rPr>
        <w:t>2006, incorporated by reference to the Company's Annual Report on Form 10-K for the year ended December 31, 2005, filed with the SEC on</w:t>
      </w:r>
    </w:p>
    <w:p>
      <w:pPr>
        <w:ind w:left="1000"/>
        <w:spacing w:after="0"/>
        <w:rPr>
          <w:sz w:val="20"/>
          <w:szCs w:val="20"/>
          <w:color w:val="auto"/>
        </w:rPr>
      </w:pPr>
      <w:r>
        <w:rPr>
          <w:rFonts w:ascii="Times New Roman" w:cs="Times New Roman" w:eastAsia="Times New Roman" w:hAnsi="Times New Roman"/>
          <w:sz w:val="17"/>
          <w:szCs w:val="17"/>
          <w:color w:val="auto"/>
        </w:rPr>
        <w:t>March 16, 2006.</w:t>
      </w:r>
    </w:p>
    <w:p>
      <w:pPr>
        <w:spacing w:after="0" w:line="2" w:lineRule="exact"/>
        <w:rPr>
          <w:sz w:val="20"/>
          <w:szCs w:val="20"/>
          <w:color w:val="auto"/>
        </w:rPr>
      </w:pPr>
    </w:p>
    <w:p>
      <w:pPr>
        <w:ind w:left="660"/>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u w:val="single" w:color="auto"/>
            <w:color w:val="0000FF"/>
          </w:rPr>
          <w:t>3.16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Seventh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January 25,</w:t>
      </w:r>
    </w:p>
    <w:p>
      <w:pPr>
        <w:ind w:left="1000"/>
        <w:spacing w:after="0"/>
        <w:rPr>
          <w:sz w:val="20"/>
          <w:szCs w:val="20"/>
          <w:color w:val="auto"/>
        </w:rPr>
      </w:pPr>
      <w:r>
        <w:rPr>
          <w:rFonts w:ascii="Times New Roman" w:cs="Times New Roman" w:eastAsia="Times New Roman" w:hAnsi="Times New Roman"/>
          <w:sz w:val="17"/>
          <w:szCs w:val="17"/>
          <w:color w:val="auto"/>
        </w:rPr>
        <w:t>2007, incorporated by reference to the Company's Form 8-K, dated January 24, 2007, filed with the SEC on January 30, 2007.</w:t>
      </w:r>
    </w:p>
    <w:p>
      <w:pPr>
        <w:spacing w:after="0" w:line="16" w:lineRule="exact"/>
        <w:rPr>
          <w:sz w:val="20"/>
          <w:szCs w:val="20"/>
          <w:color w:val="auto"/>
        </w:rPr>
      </w:pPr>
    </w:p>
    <w:p>
      <w:pPr>
        <w:ind w:left="660"/>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u w:val="single" w:color="auto"/>
            <w:color w:val="0000FF"/>
          </w:rPr>
          <w:t>3.17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Eighth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January 20,</w:t>
      </w:r>
    </w:p>
    <w:p>
      <w:pPr>
        <w:ind w:left="1000"/>
        <w:spacing w:after="0"/>
        <w:rPr>
          <w:sz w:val="20"/>
          <w:szCs w:val="20"/>
          <w:color w:val="auto"/>
        </w:rPr>
      </w:pPr>
      <w:r>
        <w:rPr>
          <w:rFonts w:ascii="Times New Roman" w:cs="Times New Roman" w:eastAsia="Times New Roman" w:hAnsi="Times New Roman"/>
          <w:sz w:val="17"/>
          <w:szCs w:val="17"/>
          <w:color w:val="auto"/>
        </w:rPr>
        <w:t>2010, incorporated by reference to the Company's Form 8-K, dated January 20, 2010, filed with the SEC on January 20, 2010.</w:t>
      </w:r>
    </w:p>
    <w:p>
      <w:pPr>
        <w:spacing w:after="0" w:line="16" w:lineRule="exact"/>
        <w:rPr>
          <w:sz w:val="20"/>
          <w:szCs w:val="20"/>
          <w:color w:val="auto"/>
        </w:rPr>
      </w:pPr>
    </w:p>
    <w:p>
      <w:pPr>
        <w:ind w:left="660"/>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u w:val="single" w:color="auto"/>
            <w:color w:val="0000FF"/>
          </w:rPr>
          <w:t>3.18</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Tenth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January 31,</w:t>
      </w:r>
    </w:p>
    <w:p>
      <w:pPr>
        <w:ind w:left="1000"/>
        <w:spacing w:after="0"/>
        <w:rPr>
          <w:sz w:val="20"/>
          <w:szCs w:val="20"/>
          <w:color w:val="auto"/>
        </w:rPr>
      </w:pPr>
      <w:r>
        <w:rPr>
          <w:rFonts w:ascii="Times New Roman" w:cs="Times New Roman" w:eastAsia="Times New Roman" w:hAnsi="Times New Roman"/>
          <w:sz w:val="17"/>
          <w:szCs w:val="17"/>
          <w:color w:val="auto"/>
        </w:rPr>
        <w:t>2012, incorporated by reference to the Company's Form 8-K, dated January 31, 2012, filed with the SEC on February 2, 2012.</w:t>
      </w:r>
    </w:p>
    <w:p>
      <w:pPr>
        <w:spacing w:after="0" w:line="21" w:lineRule="exact"/>
        <w:rPr>
          <w:sz w:val="20"/>
          <w:szCs w:val="20"/>
          <w:color w:val="auto"/>
        </w:rPr>
      </w:pPr>
    </w:p>
    <w:p>
      <w:pPr>
        <w:jc w:val="right"/>
        <w:ind w:left="660"/>
        <w:spacing w:after="0" w:line="229" w:lineRule="auto"/>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u w:val="single" w:color="auto"/>
            <w:color w:val="0000FF"/>
          </w:rPr>
          <w:t>3.19</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Eleventh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March 6, 2012,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by reference to the Company's Quarterly Report on Form 10-Q for the quarter ended March 31, 2012, filed with the SEC on May</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10, 2012.</w:t>
      </w:r>
    </w:p>
    <w:p>
      <w:pPr>
        <w:spacing w:after="0" w:line="2" w:lineRule="exact"/>
        <w:rPr>
          <w:sz w:val="20"/>
          <w:szCs w:val="20"/>
          <w:color w:val="auto"/>
        </w:rPr>
      </w:pPr>
    </w:p>
    <w:p>
      <w:pPr>
        <w:ind w:left="660"/>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u w:val="single" w:color="auto"/>
            <w:color w:val="0000FF"/>
          </w:rPr>
          <w:t>3.20</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Twelfth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August 10,</w:t>
      </w:r>
    </w:p>
    <w:p>
      <w:pPr>
        <w:ind w:left="1000"/>
        <w:spacing w:after="0"/>
        <w:rPr>
          <w:sz w:val="20"/>
          <w:szCs w:val="20"/>
          <w:color w:val="auto"/>
        </w:rPr>
      </w:pPr>
      <w:r>
        <w:rPr>
          <w:rFonts w:ascii="Times New Roman" w:cs="Times New Roman" w:eastAsia="Times New Roman" w:hAnsi="Times New Roman"/>
          <w:sz w:val="17"/>
          <w:szCs w:val="17"/>
          <w:color w:val="auto"/>
        </w:rPr>
        <w:t>2012, incorporated by reference to the Company's Form 8-K, dated August 10, 2012, filed with the SEC on August 10, 2012.</w:t>
      </w:r>
    </w:p>
    <w:p>
      <w:pPr>
        <w:spacing w:after="0" w:line="16" w:lineRule="exact"/>
        <w:rPr>
          <w:sz w:val="20"/>
          <w:szCs w:val="20"/>
          <w:color w:val="auto"/>
        </w:rPr>
      </w:pPr>
    </w:p>
    <w:p>
      <w:pPr>
        <w:ind w:left="660"/>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u w:val="single" w:color="auto"/>
            <w:color w:val="0000FF"/>
          </w:rPr>
          <w:t>3.21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Fourteenth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July 1,</w:t>
      </w:r>
    </w:p>
    <w:p>
      <w:pPr>
        <w:ind w:left="1000"/>
        <w:spacing w:after="0"/>
        <w:rPr>
          <w:sz w:val="20"/>
          <w:szCs w:val="20"/>
          <w:color w:val="auto"/>
        </w:rPr>
      </w:pPr>
      <w:r>
        <w:rPr>
          <w:rFonts w:ascii="Times New Roman" w:cs="Times New Roman" w:eastAsia="Times New Roman" w:hAnsi="Times New Roman"/>
          <w:sz w:val="17"/>
          <w:szCs w:val="17"/>
          <w:color w:val="auto"/>
        </w:rPr>
        <w:t>2014, incorporated by reference to the Company's Form 8-K, dated July 2, 2014, filed with the SEC on July 2, 2014.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660"/>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u w:val="single" w:color="auto"/>
            <w:color w:val="0000FF"/>
          </w:rPr>
          <w:t>3.22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Fifteenth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July 1,</w:t>
      </w:r>
    </w:p>
    <w:p>
      <w:pPr>
        <w:ind w:left="1000"/>
        <w:spacing w:after="0"/>
        <w:rPr>
          <w:sz w:val="20"/>
          <w:szCs w:val="20"/>
          <w:color w:val="auto"/>
        </w:rPr>
      </w:pPr>
      <w:r>
        <w:rPr>
          <w:rFonts w:ascii="Times New Roman" w:cs="Times New Roman" w:eastAsia="Times New Roman" w:hAnsi="Times New Roman"/>
          <w:sz w:val="17"/>
          <w:szCs w:val="17"/>
          <w:color w:val="auto"/>
        </w:rPr>
        <w:t>2014, incorporated by reference to the Company's Form 8-K, dated July 2, 2014, filed with the SEC on July 2, 2014.</w:t>
      </w:r>
    </w:p>
    <w:p>
      <w:pPr>
        <w:spacing w:after="0" w:line="16" w:lineRule="exact"/>
        <w:rPr>
          <w:sz w:val="20"/>
          <w:szCs w:val="20"/>
          <w:color w:val="auto"/>
        </w:rPr>
      </w:pPr>
    </w:p>
    <w:p>
      <w:pPr>
        <w:jc w:val="right"/>
        <w:ind w:right="20"/>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u w:val="single" w:color="auto"/>
            <w:color w:val="0000FF"/>
          </w:rPr>
          <w:t>3.23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Eighteenth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June 25,</w:t>
      </w:r>
    </w:p>
    <w:p>
      <w:pPr>
        <w:jc w:val="right"/>
        <w:spacing w:after="0" w:line="225" w:lineRule="auto"/>
        <w:rPr>
          <w:sz w:val="20"/>
          <w:szCs w:val="20"/>
          <w:color w:val="auto"/>
        </w:rPr>
      </w:pPr>
      <w:r>
        <w:rPr>
          <w:rFonts w:ascii="Times New Roman" w:cs="Times New Roman" w:eastAsia="Times New Roman" w:hAnsi="Times New Roman"/>
          <w:sz w:val="17"/>
          <w:szCs w:val="17"/>
          <w:color w:val="auto"/>
        </w:rPr>
        <w:t>2015, incorporated by reference to the Company's Annual Report on Form 10-K for the year ended December 31, 2021, filed with the SEC on</w:t>
      </w:r>
    </w:p>
    <w:p>
      <w:pPr>
        <w:ind w:left="1000"/>
        <w:spacing w:after="0"/>
        <w:rPr>
          <w:sz w:val="20"/>
          <w:szCs w:val="20"/>
          <w:color w:val="auto"/>
        </w:rPr>
      </w:pPr>
      <w:r>
        <w:rPr>
          <w:rFonts w:ascii="Times New Roman" w:cs="Times New Roman" w:eastAsia="Times New Roman" w:hAnsi="Times New Roman"/>
          <w:sz w:val="17"/>
          <w:szCs w:val="17"/>
          <w:color w:val="auto"/>
        </w:rPr>
        <w:t>February 18, 2022.</w:t>
      </w:r>
    </w:p>
    <w:p>
      <w:pPr>
        <w:spacing w:after="0" w:line="2" w:lineRule="exact"/>
        <w:rPr>
          <w:sz w:val="20"/>
          <w:szCs w:val="20"/>
          <w:color w:val="auto"/>
        </w:rPr>
      </w:pPr>
    </w:p>
    <w:p>
      <w:pPr>
        <w:ind w:left="660"/>
        <w:spacing w:after="0"/>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u w:val="single" w:color="auto"/>
            <w:color w:val="0000FF"/>
          </w:rPr>
          <w:t>3.24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Nineteenth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July 22,</w:t>
      </w:r>
    </w:p>
    <w:p>
      <w:pPr>
        <w:ind w:left="1000"/>
        <w:spacing w:after="0"/>
        <w:rPr>
          <w:sz w:val="20"/>
          <w:szCs w:val="20"/>
          <w:color w:val="auto"/>
        </w:rPr>
      </w:pPr>
      <w:r>
        <w:rPr>
          <w:rFonts w:ascii="Times New Roman" w:cs="Times New Roman" w:eastAsia="Times New Roman" w:hAnsi="Times New Roman"/>
          <w:sz w:val="17"/>
          <w:szCs w:val="17"/>
          <w:color w:val="auto"/>
        </w:rPr>
        <w:t>2015, incorporated by reference to the Company's Form 8-K, dated July 24, 2015, filed with the SEC on July 24, 2015.</w:t>
      </w:r>
    </w:p>
    <w:p>
      <w:pPr>
        <w:spacing w:after="0" w:line="16" w:lineRule="exact"/>
        <w:rPr>
          <w:sz w:val="20"/>
          <w:szCs w:val="20"/>
          <w:color w:val="auto"/>
        </w:rPr>
      </w:pPr>
    </w:p>
    <w:p>
      <w:pPr>
        <w:ind w:left="660"/>
        <w:spacing w:after="0"/>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u w:val="single" w:color="auto"/>
            <w:color w:val="0000FF"/>
          </w:rPr>
          <w:t>3.25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Twentieth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July 22,</w:t>
      </w:r>
    </w:p>
    <w:p>
      <w:pPr>
        <w:ind w:left="1000"/>
        <w:spacing w:after="0"/>
        <w:rPr>
          <w:sz w:val="20"/>
          <w:szCs w:val="20"/>
          <w:color w:val="auto"/>
        </w:rPr>
      </w:pPr>
      <w:r>
        <w:rPr>
          <w:rFonts w:ascii="Times New Roman" w:cs="Times New Roman" w:eastAsia="Times New Roman" w:hAnsi="Times New Roman"/>
          <w:sz w:val="17"/>
          <w:szCs w:val="17"/>
          <w:color w:val="auto"/>
        </w:rPr>
        <w:t>2015, incorporated by reference to the Company's Form 8-K, dated July 24, 2015, filed with the SEC on July 24, 2015.</w:t>
      </w:r>
    </w:p>
    <w:p>
      <w:pPr>
        <w:spacing w:after="0" w:line="16" w:lineRule="exact"/>
        <w:rPr>
          <w:sz w:val="20"/>
          <w:szCs w:val="20"/>
          <w:color w:val="auto"/>
        </w:rPr>
      </w:pPr>
    </w:p>
    <w:p>
      <w:pPr>
        <w:ind w:left="660"/>
        <w:spacing w:after="0"/>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u w:val="single" w:color="auto"/>
            <w:color w:val="0000FF"/>
          </w:rPr>
          <w:t>3.26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Twenty-First Amendment to the First Amended and Restated Agreement of Limited Partnership of the Operating Partnership, dated as of August</w:t>
      </w:r>
    </w:p>
    <w:p>
      <w:pPr>
        <w:ind w:left="1000"/>
        <w:spacing w:after="0"/>
        <w:rPr>
          <w:sz w:val="20"/>
          <w:szCs w:val="20"/>
          <w:color w:val="auto"/>
        </w:rPr>
      </w:pPr>
      <w:r>
        <w:rPr>
          <w:rFonts w:ascii="Times New Roman" w:cs="Times New Roman" w:eastAsia="Times New Roman" w:hAnsi="Times New Roman"/>
          <w:sz w:val="17"/>
          <w:szCs w:val="17"/>
          <w:color w:val="auto"/>
        </w:rPr>
        <w:t>20, 2015, incorporated by reference to the Company's Form 8-K, dated as of August 21, 2015, filed with the SEC on August 21, 2015.</w:t>
      </w:r>
    </w:p>
    <w:p>
      <w:pPr>
        <w:spacing w:after="0" w:line="21" w:lineRule="exact"/>
        <w:rPr>
          <w:sz w:val="20"/>
          <w:szCs w:val="20"/>
          <w:color w:val="auto"/>
        </w:rPr>
      </w:pPr>
    </w:p>
    <w:p>
      <w:pPr>
        <w:ind w:left="1000" w:right="20" w:hanging="340"/>
        <w:spacing w:after="0" w:line="248" w:lineRule="auto"/>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u w:val="single" w:color="auto"/>
            <w:color w:val="0000FF"/>
          </w:rPr>
          <w:t>3.27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Twenty-Second Amendment to the First Amended and Restated Agreement of Limited Partnership of the Operating Partnership, dated as of</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August 20, 2015, incorporated by reference to the Company's Form 8-K, dated as of August 21, 2015, filed with the SEC on August 21, 2015.</w:t>
      </w:r>
    </w:p>
    <w:p>
      <w:pPr>
        <w:jc w:val="right"/>
        <w:spacing w:after="0" w:line="236" w:lineRule="auto"/>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u w:val="single" w:color="auto"/>
            <w:color w:val="0000FF"/>
          </w:rPr>
          <w:t>3.28</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Twenty-Fifth Amendment to the First Amended and Restated Agreement of Limited Partnership of the Operating Partnership, dated as of June</w:t>
      </w:r>
    </w:p>
    <w:p>
      <w:pPr>
        <w:jc w:val="right"/>
        <w:spacing w:after="0" w:line="226" w:lineRule="auto"/>
        <w:rPr>
          <w:sz w:val="20"/>
          <w:szCs w:val="20"/>
          <w:color w:val="auto"/>
        </w:rPr>
      </w:pPr>
      <w:r>
        <w:rPr>
          <w:rFonts w:ascii="Times New Roman" w:cs="Times New Roman" w:eastAsia="Times New Roman" w:hAnsi="Times New Roman"/>
          <w:sz w:val="17"/>
          <w:szCs w:val="17"/>
          <w:color w:val="auto"/>
        </w:rPr>
        <w:t>17, 2016, incorporated by reference to the Company's Quarterly Report on Form 10-Q for the quarter ended September 30, 2016, filed with the</w:t>
      </w:r>
    </w:p>
    <w:p>
      <w:pPr>
        <w:ind w:left="1000"/>
        <w:spacing w:after="0"/>
        <w:rPr>
          <w:sz w:val="20"/>
          <w:szCs w:val="20"/>
          <w:color w:val="auto"/>
        </w:rPr>
      </w:pPr>
      <w:r>
        <w:rPr>
          <w:rFonts w:ascii="Times New Roman" w:cs="Times New Roman" w:eastAsia="Times New Roman" w:hAnsi="Times New Roman"/>
          <w:sz w:val="17"/>
          <w:szCs w:val="17"/>
          <w:color w:val="auto"/>
        </w:rPr>
        <w:t>SEC on November 9, 2016.</w:t>
      </w:r>
    </w:p>
    <w:p>
      <w:pPr>
        <w:spacing w:after="0" w:line="2" w:lineRule="exact"/>
        <w:rPr>
          <w:sz w:val="20"/>
          <w:szCs w:val="20"/>
          <w:color w:val="auto"/>
        </w:rPr>
      </w:pPr>
    </w:p>
    <w:p>
      <w:pPr>
        <w:ind w:left="660"/>
        <w:spacing w:after="0"/>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u w:val="single" w:color="auto"/>
            <w:color w:val="0000FF"/>
          </w:rPr>
          <w:t>3.29</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Twenty-Sixth Amendment to the First Amended and Restated Agreement of Limited Partnership of the Operating Partnership, dated as of May 1,</w:t>
      </w:r>
    </w:p>
    <w:p>
      <w:pPr>
        <w:ind w:left="1000"/>
        <w:spacing w:after="0"/>
        <w:rPr>
          <w:sz w:val="20"/>
          <w:szCs w:val="20"/>
          <w:color w:val="auto"/>
        </w:rPr>
      </w:pPr>
      <w:r>
        <w:rPr>
          <w:rFonts w:ascii="Times New Roman" w:cs="Times New Roman" w:eastAsia="Times New Roman" w:hAnsi="Times New Roman"/>
          <w:sz w:val="17"/>
          <w:szCs w:val="17"/>
          <w:color w:val="auto"/>
        </w:rPr>
        <w:t>2019, incorporated by reference to the Company's Form 8-K, dated as of May 3, 2019, filed with the SEC on May 3, 2019.</w:t>
      </w:r>
    </w:p>
    <w:p>
      <w:pPr>
        <w:spacing w:after="0" w:line="21" w:lineRule="exact"/>
        <w:rPr>
          <w:sz w:val="20"/>
          <w:szCs w:val="20"/>
          <w:color w:val="auto"/>
        </w:rPr>
      </w:pPr>
    </w:p>
    <w:p>
      <w:pPr>
        <w:ind w:left="1000" w:hanging="340"/>
        <w:spacing w:after="0" w:line="248" w:lineRule="auto"/>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u w:val="single" w:color="auto"/>
            <w:color w:val="0000FF"/>
          </w:rPr>
          <w:t>3.30</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Twenty-Seventh Amendment to the First Amended and Restated Agreement of Limited Partnership of the Operating Partnership, dated as of</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January 8, 2020, incorporated by reference to the Company's Form 8-K, dated as of January 14, 2020, filed with the SEC on January 14, 2020.</w:t>
      </w:r>
    </w:p>
    <w:p>
      <w:pPr>
        <w:spacing w:after="0" w:line="3" w:lineRule="exact"/>
        <w:rPr>
          <w:sz w:val="20"/>
          <w:szCs w:val="20"/>
          <w:color w:val="auto"/>
        </w:rPr>
      </w:pPr>
    </w:p>
    <w:p>
      <w:pPr>
        <w:jc w:val="right"/>
        <w:ind w:left="660"/>
        <w:spacing w:after="0" w:line="229" w:lineRule="auto"/>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u w:val="single" w:color="auto"/>
            <w:color w:val="0000FF"/>
          </w:rPr>
          <w:t>3.31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Twenty-Eighth Amendment to the First Amended and Restated Agreement of Limited Partnership of the Operating Partnership, dated as of</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December 20, 2021, incorporated by reference to the Company's Form 8-K, dated as of December 20, 2021, filed with the SEC on December 22,</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2021.</w:t>
      </w:r>
    </w:p>
    <w:p>
      <w:pPr>
        <w:spacing w:after="0" w:line="12" w:lineRule="exact"/>
        <w:rPr>
          <w:sz w:val="20"/>
          <w:szCs w:val="20"/>
          <w:color w:val="auto"/>
        </w:rPr>
      </w:pPr>
    </w:p>
    <w:p>
      <w:pPr>
        <w:ind w:left="1000" w:right="20" w:hanging="340"/>
        <w:spacing w:after="0" w:line="242" w:lineRule="auto"/>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u w:val="single" w:color="auto"/>
            <w:color w:val="0000FF"/>
          </w:rPr>
          <w:t>3.32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Twenty-Ninth Amendment to the First Amended and Restated Agreement of Limited Partnership of the Operating Partnership, dated as of</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October 26, 2022, incorporated by reference to the Company's Form 8-K, dated as of October 26, 2022, filed with the SEC on October 28, 2022.</w:t>
      </w:r>
    </w:p>
    <w:p>
      <w:pPr>
        <w:spacing w:after="0" w:line="2" w:lineRule="exact"/>
        <w:rPr>
          <w:sz w:val="20"/>
          <w:szCs w:val="20"/>
          <w:color w:val="auto"/>
        </w:rPr>
      </w:pPr>
    </w:p>
    <w:p>
      <w:pPr>
        <w:jc w:val="right"/>
        <w:spacing w:after="0"/>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u w:val="single" w:color="auto"/>
            <w:color w:val="0000FF"/>
          </w:rPr>
          <w:t>3.33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Thirtieth</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the First Amended and Restated Agreement of Limited Partnership of the Operating Partnership, dated as of April 20,</w:t>
      </w:r>
    </w:p>
    <w:p>
      <w:pPr>
        <w:jc w:val="right"/>
        <w:spacing w:after="0" w:line="225" w:lineRule="auto"/>
        <w:rPr>
          <w:sz w:val="20"/>
          <w:szCs w:val="20"/>
          <w:color w:val="auto"/>
        </w:rPr>
      </w:pPr>
      <w:r>
        <w:rPr>
          <w:rFonts w:ascii="Times New Roman" w:cs="Times New Roman" w:eastAsia="Times New Roman" w:hAnsi="Times New Roman"/>
          <w:sz w:val="17"/>
          <w:szCs w:val="17"/>
          <w:color w:val="auto"/>
        </w:rPr>
        <w:t>2023, incorporated by reference to the Company's Quarterly Report on Form 10-Q for the quarter ended March 31, 2023, filed with the SEC on</w:t>
      </w:r>
    </w:p>
    <w:p>
      <w:pPr>
        <w:ind w:left="1000"/>
        <w:spacing w:after="0"/>
        <w:rPr>
          <w:sz w:val="20"/>
          <w:szCs w:val="20"/>
          <w:color w:val="auto"/>
        </w:rPr>
      </w:pPr>
      <w:r>
        <w:rPr>
          <w:rFonts w:ascii="Times New Roman" w:cs="Times New Roman" w:eastAsia="Times New Roman" w:hAnsi="Times New Roman"/>
          <w:sz w:val="17"/>
          <w:szCs w:val="17"/>
          <w:color w:val="auto"/>
        </w:rPr>
        <w:t>May 5, 2023.</w:t>
      </w:r>
    </w:p>
    <w:p>
      <w:pPr>
        <w:spacing w:after="0" w:line="12" w:lineRule="exact"/>
        <w:rPr>
          <w:sz w:val="20"/>
          <w:szCs w:val="20"/>
          <w:color w:val="auto"/>
        </w:rPr>
      </w:pPr>
    </w:p>
    <w:p>
      <w:pPr>
        <w:ind w:left="1000" w:hanging="252"/>
        <w:spacing w:after="0" w:line="242" w:lineRule="auto"/>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u w:val="single" w:color="auto"/>
            <w:color w:val="0000FF"/>
          </w:rPr>
          <w:t>4.1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Specimen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Common Stock Certificate, incorporated by reference to the Company's Registration Statement on Form S-11 (No. 333-29329),</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declared effective by the SEC on August 14, 1997.</w:t>
      </w:r>
    </w:p>
    <w:p>
      <w:pPr>
        <w:spacing w:after="0" w:line="7" w:lineRule="exact"/>
        <w:rPr>
          <w:sz w:val="20"/>
          <w:szCs w:val="20"/>
          <w:color w:val="auto"/>
        </w:rPr>
      </w:pPr>
    </w:p>
    <w:p>
      <w:pPr>
        <w:jc w:val="right"/>
        <w:ind w:left="740"/>
        <w:spacing w:after="0" w:line="229" w:lineRule="auto"/>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u w:val="single" w:color="auto"/>
            <w:color w:val="0000FF"/>
          </w:rPr>
          <w:t>4.2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Form</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stock certificate evidencing the 6.50% Series I Cumulative Redeemable Preferred Stock of the Company, liquidation preference $25.00</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per share, par value $0.01 per share, incorporated by reference to the Company's Form 8-K, dated August 9, 2012, filed with the SEC on August</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10, 2012.</w:t>
      </w:r>
    </w:p>
    <w:p>
      <w:pPr>
        <w:spacing w:after="0" w:line="12" w:lineRule="exact"/>
        <w:rPr>
          <w:sz w:val="20"/>
          <w:szCs w:val="20"/>
          <w:color w:val="auto"/>
        </w:rPr>
      </w:pPr>
    </w:p>
    <w:p>
      <w:pPr>
        <w:ind w:left="1000" w:right="20" w:hanging="252"/>
        <w:spacing w:after="0" w:line="242" w:lineRule="auto"/>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u w:val="single" w:color="auto"/>
            <w:color w:val="0000FF"/>
          </w:rPr>
          <w:t>4.3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Indenture,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dated as of August 5, 2011, among the Company, the Operating Partnership and ROP, as Co-Obligors, and The Bank of New York</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Mellon, as Trustee, incorporated by reference to the Company's Form 8-K, dated August 5, 2011, filed with the SEC on August 5, 2011.</w:t>
      </w:r>
    </w:p>
    <w:p>
      <w:pPr>
        <w:spacing w:after="0" w:line="7" w:lineRule="exact"/>
        <w:rPr>
          <w:sz w:val="20"/>
          <w:szCs w:val="20"/>
          <w:color w:val="auto"/>
        </w:rPr>
      </w:pPr>
    </w:p>
    <w:p>
      <w:pPr>
        <w:jc w:val="right"/>
        <w:ind w:left="740"/>
        <w:spacing w:after="0" w:line="229" w:lineRule="auto"/>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u w:val="single" w:color="auto"/>
            <w:color w:val="0000FF"/>
          </w:rPr>
          <w:t>4.4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Junior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Subordinated Indenture, dated as of June 30, 2005, between the Operating Partnership and JPMorgan Chase Bank, National Association,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as Trustee, incorporated by reference to the Company's Quarterly Report on Form 10-Q for the quarter ended June 30, 2005, filed with the SEC</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on August 9, 2005.</w:t>
      </w:r>
    </w:p>
    <w:p>
      <w:pPr>
        <w:spacing w:after="0" w:line="12" w:lineRule="exact"/>
        <w:rPr>
          <w:sz w:val="20"/>
          <w:szCs w:val="20"/>
          <w:color w:val="auto"/>
        </w:rPr>
      </w:pPr>
    </w:p>
    <w:p>
      <w:pPr>
        <w:ind w:left="1000" w:hanging="252"/>
        <w:spacing w:after="0" w:line="242" w:lineRule="auto"/>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u w:val="single" w:color="auto"/>
            <w:color w:val="0000FF"/>
          </w:rPr>
          <w:t>4.5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Indenture,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dated as of October 5, 2017, among the Operating Partnership and The Bank of New York Mellon, as Trustee, incorporated by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reference to the Company's Form 8-K, dated October 5, 2017, filed with the SEC on October 5, 2017.</w:t>
      </w:r>
    </w:p>
    <w:p>
      <w:pPr>
        <w:spacing w:after="0" w:line="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u w:val="single" w:color="auto"/>
          <w:color w:val="0000FF"/>
        </w:rPr>
        <w:t>4.6</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Description of the registrant's securities registered pursuant to section 12 of the Securities and Exchange Act of 1934, filed herewith.</w:t>
      </w:r>
    </w:p>
    <w:p>
      <w:pPr>
        <w:spacing w:after="0" w:line="32" w:lineRule="exact"/>
        <w:rPr>
          <w:sz w:val="20"/>
          <w:szCs w:val="20"/>
          <w:color w:val="auto"/>
        </w:rPr>
      </w:pPr>
    </w:p>
    <w:p>
      <w:pPr>
        <w:ind w:left="1000" w:hanging="340"/>
        <w:spacing w:after="0" w:line="242" w:lineRule="auto"/>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u w:val="single" w:color="auto"/>
            <w:color w:val="0000FF"/>
          </w:rPr>
          <w:t>10.1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Form</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Articles of Incorporation and Bylaws of S.L. Green Management Corp., incorporated by reference to the Company's Registration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Statement on Form S-11 (No. 333-29329), declared effective by the SEC on August 14, 1997.</w:t>
      </w:r>
    </w:p>
    <w:p>
      <w:pPr>
        <w:spacing w:after="0" w:line="7" w:lineRule="exact"/>
        <w:rPr>
          <w:sz w:val="20"/>
          <w:szCs w:val="20"/>
          <w:color w:val="auto"/>
        </w:rPr>
      </w:pPr>
    </w:p>
    <w:p>
      <w:pPr>
        <w:ind w:left="1000" w:hanging="340"/>
        <w:spacing w:after="0" w:line="248" w:lineRule="auto"/>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u w:val="single" w:color="auto"/>
            <w:color w:val="0000FF"/>
          </w:rPr>
          <w:t>10.2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Form</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Registration Rights Agreement between the Company and the persons named therein, incorporated by reference to the Company's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Registration Statement on Form S-11 (No. 333-29329), declared effective by the SEC on August 14, 1997.</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right"/>
        <w:ind w:left="660"/>
        <w:spacing w:after="0" w:line="229" w:lineRule="auto"/>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u w:val="single" w:color="auto"/>
            <w:color w:val="0000FF"/>
          </w:rPr>
          <w:t>10.3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Amended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Restated Trust Agreement among the Operating Partnership, as depositor, JPMorgan Chase Bank, National Association, as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property trustee, Chase Bank USA, National Association, as Delaware trustee, and the administrative trustees named therein, dated June 30,</w:t>
      </w:r>
    </w:p>
    <w:p>
      <w:pPr>
        <w:spacing w:after="0" w:line="1" w:lineRule="exact"/>
        <w:rPr>
          <w:sz w:val="20"/>
          <w:szCs w:val="20"/>
          <w:color w:val="auto"/>
        </w:rPr>
      </w:pPr>
    </w:p>
    <w:p>
      <w:pPr>
        <w:jc w:val="both"/>
        <w:ind w:left="1000" w:right="20"/>
        <w:spacing w:after="0" w:line="232" w:lineRule="auto"/>
        <w:rPr>
          <w:sz w:val="20"/>
          <w:szCs w:val="20"/>
          <w:color w:val="auto"/>
        </w:rPr>
      </w:pPr>
      <w:r>
        <w:rPr>
          <w:rFonts w:ascii="Times New Roman" w:cs="Times New Roman" w:eastAsia="Times New Roman" w:hAnsi="Times New Roman"/>
          <w:sz w:val="17"/>
          <w:szCs w:val="17"/>
          <w:color w:val="auto"/>
        </w:rPr>
        <w:t>2005, incorporated by reference to the Company's Quarterly Report on Form 10-Q for the quarter ended June 30, 2005, filed with the SEC on August 9, 2005.</w:t>
      </w:r>
    </w:p>
    <w:p>
      <w:pPr>
        <w:ind w:left="1000" w:hanging="340"/>
        <w:spacing w:after="0" w:line="242" w:lineRule="auto"/>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u w:val="single" w:color="auto"/>
            <w:color w:val="0000FF"/>
          </w:rPr>
          <w:t>10.4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SL</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Green Realty Corp. Fifth Amended and Restated 2005 Stock Option and Incentive Plan, incorporated by reference to Appendix A to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Company's definitive Proxy Statement on Schedule 14A filed on April 21, 2022</w:t>
      </w:r>
    </w:p>
    <w:p>
      <w:pPr>
        <w:spacing w:after="0" w:line="7" w:lineRule="exact"/>
        <w:rPr>
          <w:sz w:val="20"/>
          <w:szCs w:val="20"/>
          <w:color w:val="auto"/>
        </w:rPr>
      </w:pPr>
    </w:p>
    <w:p>
      <w:pPr>
        <w:ind w:left="1000" w:hanging="340"/>
        <w:spacing w:after="0" w:line="248" w:lineRule="auto"/>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u w:val="single" w:color="auto"/>
            <w:color w:val="0000FF"/>
          </w:rPr>
          <w:t>10.5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Amended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Restated Non-Employee Directors' Deferral Program, dated December 13, 2017, incorporated by reference to the Company's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Annual Report on Form 10-K for the year ended December 31, 2017, filed with the SEC on February 23, 2018.</w:t>
      </w:r>
    </w:p>
    <w:p>
      <w:pPr>
        <w:spacing w:after="0" w:line="3" w:lineRule="exact"/>
        <w:rPr>
          <w:sz w:val="20"/>
          <w:szCs w:val="20"/>
          <w:color w:val="auto"/>
        </w:rPr>
      </w:pPr>
    </w:p>
    <w:p>
      <w:pPr>
        <w:ind w:left="1000" w:hanging="340"/>
        <w:spacing w:after="0" w:line="248" w:lineRule="auto"/>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u w:val="single" w:color="auto"/>
            <w:color w:val="0000FF"/>
          </w:rPr>
          <w:t>10.6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Amended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Restated Employment and Non-competition Agreement, dated December 24, 2010, between Stephen L. Green and the Company,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by reference to the Company's Form 8-K, dated December 23, 2010, filed with the SEC on December 29, 2010.</w:t>
      </w:r>
    </w:p>
    <w:p>
      <w:pPr>
        <w:spacing w:after="0" w:line="3" w:lineRule="exact"/>
        <w:rPr>
          <w:sz w:val="20"/>
          <w:szCs w:val="20"/>
          <w:color w:val="auto"/>
        </w:rPr>
      </w:pPr>
    </w:p>
    <w:p>
      <w:pPr>
        <w:ind w:left="1000" w:hanging="340"/>
        <w:spacing w:after="0" w:line="248" w:lineRule="auto"/>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u w:val="single" w:color="auto"/>
            <w:color w:val="0000FF"/>
          </w:rPr>
          <w:t>10.7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Deferred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Compensation Agreement, dated December 18, 2009, between the Company and Stephen L. Green, incorporated by reference to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Company's Form 8-K, dated December 18, 2009, filed with the SEC on December 24, 2009.</w:t>
      </w:r>
    </w:p>
    <w:p>
      <w:pPr>
        <w:spacing w:after="0" w:line="3" w:lineRule="exact"/>
        <w:rPr>
          <w:sz w:val="20"/>
          <w:szCs w:val="20"/>
          <w:color w:val="auto"/>
        </w:rPr>
      </w:pPr>
    </w:p>
    <w:p>
      <w:pPr>
        <w:ind w:left="1000" w:hanging="340"/>
        <w:spacing w:after="0" w:line="248" w:lineRule="auto"/>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u w:val="single" w:color="auto"/>
            <w:color w:val="0000FF"/>
          </w:rPr>
          <w:t>10.8</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Deferred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Compensation Agreement, dated December 24, 2010, between the Company and Stephen L. Green, incorporated by reference to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Company's Form 8-K, dated December 23, 2010, filed with the SEC on December 29, 2010.</w:t>
      </w:r>
    </w:p>
    <w:p>
      <w:pPr>
        <w:spacing w:after="0" w:line="3" w:lineRule="exact"/>
        <w:rPr>
          <w:sz w:val="20"/>
          <w:szCs w:val="20"/>
          <w:color w:val="auto"/>
        </w:rPr>
      </w:pPr>
    </w:p>
    <w:p>
      <w:pPr>
        <w:ind w:left="1000" w:hanging="340"/>
        <w:spacing w:after="0" w:line="248" w:lineRule="auto"/>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u w:val="single" w:color="auto"/>
            <w:color w:val="0000FF"/>
          </w:rPr>
          <w:t>10.9</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Deferred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Compensation Agreement (2013), dated as of September 12, 2013, by and between the Company and Marc Holliday, incorporated by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reference to the Company's Form 8-K, dated September 12, 2013, filed with the SEC on September 13, 2013.</w:t>
      </w:r>
    </w:p>
    <w:p>
      <w:pPr>
        <w:spacing w:after="0" w:line="3" w:lineRule="exact"/>
        <w:rPr>
          <w:sz w:val="20"/>
          <w:szCs w:val="20"/>
          <w:color w:val="auto"/>
        </w:rPr>
      </w:pPr>
    </w:p>
    <w:p>
      <w:pPr>
        <w:ind w:left="1000" w:right="20" w:hanging="427"/>
        <w:spacing w:after="0" w:line="248" w:lineRule="auto"/>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u w:val="single" w:color="auto"/>
            <w:color w:val="0000FF"/>
          </w:rPr>
          <w:t>10.10</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Deferred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Compensation Agreement, dated as of February 10, 2016, by and between SL Green Realty Corp. and Marc Holliday, incorporated by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reference to the Company's Form 8-K, dated February 10, 2016, filed with the SEC on February 12, 2016.</w:t>
      </w:r>
    </w:p>
    <w:p>
      <w:pPr>
        <w:ind w:left="580"/>
        <w:spacing w:after="0" w:line="236" w:lineRule="auto"/>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u w:val="single" w:color="auto"/>
            <w:color w:val="0000FF"/>
          </w:rPr>
          <w:t>10.11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Amended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Restated Employment and Noncompetition Agreement, dated as of December 31, 2021, by and between SL Green Realty Corp.</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and Marc Holliday, incorporated by reference to the Company's Form 8-K/A, dated December 31, 2021, filed with the SEC on January 6, 2022.</w:t>
      </w:r>
    </w:p>
    <w:p>
      <w:pPr>
        <w:spacing w:after="0" w:line="21" w:lineRule="exact"/>
        <w:rPr>
          <w:sz w:val="20"/>
          <w:szCs w:val="20"/>
          <w:color w:val="auto"/>
        </w:rPr>
      </w:pPr>
    </w:p>
    <w:p>
      <w:pPr>
        <w:ind w:left="1000" w:hanging="427"/>
        <w:spacing w:after="0" w:line="248" w:lineRule="auto"/>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u w:val="single" w:color="auto"/>
            <w:color w:val="0000FF"/>
          </w:rPr>
          <w:t>10.12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Letter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Agreement, dated as of April 30, 2018, by and between SL Green Realty Corp. and Marc Holliday, incorporated by reference to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Company's Form 8-K, dated April 27, 2018, filed with the SEC on May 3, 2018.</w:t>
      </w:r>
    </w:p>
    <w:p>
      <w:pPr>
        <w:ind w:left="560"/>
        <w:spacing w:after="0" w:line="236" w:lineRule="auto"/>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u w:val="single" w:color="auto"/>
            <w:color w:val="0000FF"/>
          </w:rPr>
          <w:t>10.13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Amended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Restated Employment and Noncompetition Agreement, dated as of December 31, 2021, by and between SL Green Realty Corp.</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and Andrew Levine, incorporated by reference to the Company's Form 8-K/A, dated December 31, 2021, filed with the SEC on January 6, 2022.</w:t>
      </w:r>
    </w:p>
    <w:p>
      <w:pPr>
        <w:spacing w:after="0" w:line="21" w:lineRule="exact"/>
        <w:rPr>
          <w:sz w:val="20"/>
          <w:szCs w:val="20"/>
          <w:color w:val="auto"/>
        </w:rPr>
      </w:pPr>
    </w:p>
    <w:p>
      <w:pPr>
        <w:ind w:left="1000" w:hanging="427"/>
        <w:spacing w:after="0" w:line="248" w:lineRule="auto"/>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u w:val="single" w:color="auto"/>
            <w:color w:val="0000FF"/>
          </w:rPr>
          <w:t>10.14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Chairman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Emeritus Agreement, dated as of December 21, 2018, by and between SL Green Realty Corp. and Stephen L. Green, incorporated by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reference to the Company's Form 8-K, dated December 21, 2018, filed with the SEC on December 28, 2018.</w:t>
      </w:r>
    </w:p>
    <w:p>
      <w:pPr>
        <w:spacing w:after="0" w:line="3" w:lineRule="exact"/>
        <w:rPr>
          <w:sz w:val="20"/>
          <w:szCs w:val="20"/>
          <w:color w:val="auto"/>
        </w:rPr>
      </w:pPr>
    </w:p>
    <w:p>
      <w:pPr>
        <w:jc w:val="right"/>
        <w:ind w:left="560"/>
        <w:spacing w:after="0" w:line="229" w:lineRule="auto"/>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u w:val="single" w:color="auto"/>
            <w:color w:val="0000FF"/>
          </w:rPr>
          <w:t>10.15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Third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Amended and Restated Credit Agreement, dated as of December 6, 2021, by and among SL Green Realty Corp. and SL Green Operating</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Partnership, L.P., as Borrowers, each of the Lenders party thereto, Wells Fargo Bank, National Association, as Administrative Agent, Wells Fargo</w:t>
      </w:r>
    </w:p>
    <w:p>
      <w:pPr>
        <w:spacing w:after="0" w:line="1" w:lineRule="exact"/>
        <w:rPr>
          <w:sz w:val="20"/>
          <w:szCs w:val="20"/>
          <w:color w:val="auto"/>
        </w:rPr>
      </w:pPr>
    </w:p>
    <w:p>
      <w:pPr>
        <w:jc w:val="both"/>
        <w:ind w:left="1000"/>
        <w:spacing w:after="0" w:line="214" w:lineRule="auto"/>
        <w:rPr>
          <w:sz w:val="20"/>
          <w:szCs w:val="20"/>
          <w:color w:val="auto"/>
        </w:rPr>
      </w:pPr>
      <w:r>
        <w:rPr>
          <w:rFonts w:ascii="Times New Roman" w:cs="Times New Roman" w:eastAsia="Times New Roman" w:hAnsi="Times New Roman"/>
          <w:sz w:val="17"/>
          <w:szCs w:val="17"/>
          <w:color w:val="auto"/>
        </w:rPr>
        <w:t>Securities, LLC, JPMorgan Chase Bank, N.A., Deutsche Bank Securities Inc. and TD Bank, N.A., as joint lead arrangers and joint bookrunners for the Revolving Credit Facility and Term Loan A Facility, BofA Securities, Inc. BMO Capital Markets Corp. and The Bank of New York Mellon, as joint lead arrangers for the Revolving Credit Facility and Term Loan A Facility, JPMorgan Chase Bank, N.A., as syndication agent for</w:t>
      </w:r>
    </w:p>
    <w:p>
      <w:pPr>
        <w:spacing w:after="0" w:line="2" w:lineRule="exact"/>
        <w:rPr>
          <w:sz w:val="20"/>
          <w:szCs w:val="20"/>
          <w:color w:val="auto"/>
        </w:rPr>
      </w:pPr>
    </w:p>
    <w:p>
      <w:pPr>
        <w:jc w:val="both"/>
        <w:ind w:left="1000"/>
        <w:spacing w:after="0" w:line="214" w:lineRule="auto"/>
        <w:rPr>
          <w:sz w:val="20"/>
          <w:szCs w:val="20"/>
          <w:color w:val="auto"/>
        </w:rPr>
      </w:pPr>
      <w:r>
        <w:rPr>
          <w:rFonts w:ascii="Times New Roman" w:cs="Times New Roman" w:eastAsia="Times New Roman" w:hAnsi="Times New Roman"/>
          <w:sz w:val="17"/>
          <w:szCs w:val="17"/>
          <w:color w:val="auto"/>
        </w:rPr>
        <w:t>the Revolving Credit Facility and Term Loan A Facility, Deutsche Bank Securities Inc., TD Bank N.A., Bank of America, N.A., Bank of Montreal and The Bank of New York Mellon, as documentation agents for the Revolving Credit Facility and Term Loan A Facility, Wells Fargo Securities, LLC and U.S. Bank National Association, as joint lead arrangers and joint bookrunners for the Term Loan B Facility, U.S. Bank</w:t>
      </w:r>
    </w:p>
    <w:p>
      <w:pPr>
        <w:spacing w:after="0" w:line="2" w:lineRule="exact"/>
        <w:rPr>
          <w:sz w:val="20"/>
          <w:szCs w:val="20"/>
          <w:color w:val="auto"/>
        </w:rPr>
      </w:pPr>
    </w:p>
    <w:p>
      <w:pPr>
        <w:jc w:val="both"/>
        <w:ind w:left="1000"/>
        <w:spacing w:after="0" w:line="224" w:lineRule="auto"/>
        <w:rPr>
          <w:sz w:val="20"/>
          <w:szCs w:val="20"/>
          <w:color w:val="auto"/>
        </w:rPr>
      </w:pPr>
      <w:r>
        <w:rPr>
          <w:rFonts w:ascii="Times New Roman" w:cs="Times New Roman" w:eastAsia="Times New Roman" w:hAnsi="Times New Roman"/>
          <w:sz w:val="17"/>
          <w:szCs w:val="17"/>
          <w:color w:val="auto"/>
        </w:rPr>
        <w:t>National Association, as syndication agent for the Term Loan B Facility, Wells Fargo Bank, National Association, as sustainability agent, and the other lenders and agents a party thereto, incorporated by reference to the Company's Form 8-K, dated December 6, 2021, filed with the SEC on December 8, 2021.</w:t>
      </w:r>
    </w:p>
    <w:p>
      <w:pPr>
        <w:spacing w:after="0" w:line="10" w:lineRule="exact"/>
        <w:rPr>
          <w:sz w:val="20"/>
          <w:szCs w:val="20"/>
          <w:color w:val="auto"/>
        </w:rPr>
      </w:pPr>
    </w:p>
    <w:p>
      <w:pPr>
        <w:ind w:left="1000" w:hanging="427"/>
        <w:spacing w:after="0" w:line="248" w:lineRule="auto"/>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u w:val="single" w:color="auto"/>
            <w:color w:val="0000FF"/>
          </w:rPr>
          <w:t>10.16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Amended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Restated Employment and Noncompetition Agreement, dated as of March 2, 2023, by and between SL Green Realty Corp. and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Matthew DiLiberto, incorporated by reference to the Company's Form 8-K, dated March 2, 2023, filed with the SEC on March 6, 2023.</w:t>
      </w:r>
    </w:p>
    <w:p>
      <w:pPr>
        <w:spacing w:after="0" w:line="3" w:lineRule="exact"/>
        <w:rPr>
          <w:sz w:val="20"/>
          <w:szCs w:val="20"/>
          <w:color w:val="auto"/>
        </w:rPr>
      </w:pPr>
    </w:p>
    <w:p>
      <w:pPr>
        <w:ind w:left="1000" w:hanging="427"/>
        <w:spacing w:after="0" w:line="248" w:lineRule="auto"/>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u w:val="single" w:color="auto"/>
            <w:color w:val="0000FF"/>
          </w:rPr>
          <w:t>10.17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Non-Renewal and Advisory Agreement, dated as of October 9, 2023, by and between SL Green Realty Corp. and Andrew Mathias, 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the Company's Form 8-K, dated October 9, 2023, filed with the SEC on October 10, 2023.</w:t>
      </w:r>
    </w:p>
    <w:p>
      <w:pPr>
        <w:spacing w:after="0" w:line="3" w:lineRule="exact"/>
        <w:rPr>
          <w:sz w:val="20"/>
          <w:szCs w:val="20"/>
          <w:color w:val="auto"/>
        </w:rPr>
      </w:pPr>
    </w:p>
    <w:p>
      <w:pPr>
        <w:jc w:val="right"/>
        <w:ind w:left="560"/>
        <w:spacing w:after="0" w:line="229" w:lineRule="auto"/>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u w:val="single" w:color="auto"/>
            <w:color w:val="0000FF"/>
          </w:rPr>
          <w:t>10.18</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First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Amendment to Amended and Restated Employment and Noncompetition Agreement, dated as of January 30, 2024, by and between SL</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Green Realty Corp. and Matthew DiLiberto, incorporated by reference to the Company's Form 8-K, dated January 30, 2024, filed with the SEC</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on February 2, 2024.</w:t>
      </w:r>
    </w:p>
    <w:p>
      <w:pPr>
        <w:spacing w:after="0" w:line="2" w:lineRule="exact"/>
        <w:rPr>
          <w:sz w:val="20"/>
          <w:szCs w:val="20"/>
          <w:color w:val="auto"/>
        </w:rPr>
      </w:pPr>
    </w:p>
    <w:p>
      <w:pPr>
        <w:ind w:left="560"/>
        <w:spacing w:after="0"/>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u w:val="single" w:color="auto"/>
            <w:color w:val="0000FF"/>
          </w:rPr>
          <w:t>10.19</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Amended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 Restated Employment and Noncompetition Agreement, dated as of December 27, 2024, by and between SL Green Realty Corp.</w:t>
      </w:r>
    </w:p>
    <w:p>
      <w:pPr>
        <w:ind w:left="1000"/>
        <w:spacing w:after="0"/>
        <w:rPr>
          <w:sz w:val="20"/>
          <w:szCs w:val="20"/>
          <w:color w:val="auto"/>
        </w:rPr>
      </w:pPr>
      <w:r>
        <w:rPr>
          <w:rFonts w:ascii="Times New Roman" w:cs="Times New Roman" w:eastAsia="Times New Roman" w:hAnsi="Times New Roman"/>
          <w:sz w:val="17"/>
          <w:szCs w:val="17"/>
          <w:color w:val="auto"/>
        </w:rPr>
        <w:t>and Marc Holliday, incorporated by reference to the Company's Form 8-K, dated December 27, 2024, filed with the SEC on December 31, 2024.</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1000" w:hanging="340"/>
        <w:spacing w:after="0" w:line="248" w:lineRule="auto"/>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u w:val="single" w:color="auto"/>
            <w:color w:val="0000FF"/>
          </w:rPr>
          <w:t>16.1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Letter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Ernst &amp; Young LLP, dated November 29, 2023, to the Securities and Exchange Commission, incorporated by reference to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Company's Form 8-K, dated November 29, 2023, filed with the SEC on November 29, 2023.</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FF"/>
        </w:rPr>
        <w:t>19.1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Insider Trading Policy, filed herewith.</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FF"/>
        </w:rPr>
        <w:t>21.1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Subsidiaries of SL Green Realty Corp., filed herewith.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FF"/>
        </w:rPr>
        <w:t>21.2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Subsidiaries of SL Green Operating Partnership L.P., filed herewith.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FF"/>
        </w:rPr>
        <w:t>23.1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Consent of Deloitte &amp; Touche LLP for SL Green Realty Corp., filed herewith.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FF"/>
        </w:rPr>
        <w:t>23.2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Consent of Deloitte &amp; Touche LLP for SL Green Operating Partnership, L.P., filed herewith.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FF"/>
        </w:rPr>
        <w:t>23.3</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Consent of Ernst &amp; Young LLP for SL Green Realty Corp., filed herewith.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FF"/>
        </w:rPr>
        <w:t>23.4</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Consent of Ernst &amp; Young LLP for SL Green Operating Partnership, L.P., filed herewith.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FF"/>
        </w:rPr>
        <w:t>24.1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Power of Attorney for SL Green Realty Corp., included on the signature page of this Form 10-K.</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FF"/>
        </w:rPr>
        <w:t>24.2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Power of Attorney for SL Green Operating Partnership, L.P., included on the signature page of this Form 10-K.</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FF"/>
        </w:rPr>
        <w:t>31.1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Executive Officer of the Company pursuant to Section 302 of the Sarbanes-Oxley Act of 2002, filed herewith.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FF"/>
        </w:rPr>
        <w:t>31.2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Financial Officer of the Company pursuant to Section 302 of the Sarbanes-Oxley Act of 2002, filed herewith.</w:t>
      </w:r>
    </w:p>
    <w:p>
      <w:pPr>
        <w:spacing w:after="0" w:line="27" w:lineRule="exact"/>
        <w:rPr>
          <w:sz w:val="20"/>
          <w:szCs w:val="20"/>
          <w:color w:val="auto"/>
        </w:rPr>
      </w:pPr>
    </w:p>
    <w:p>
      <w:pPr>
        <w:ind w:left="1000" w:hanging="340"/>
        <w:spacing w:after="0" w:line="242" w:lineRule="auto"/>
        <w:rPr>
          <w:sz w:val="20"/>
          <w:szCs w:val="20"/>
          <w:color w:val="auto"/>
        </w:rPr>
      </w:pPr>
      <w:r>
        <w:rPr>
          <w:rFonts w:ascii="Times New Roman" w:cs="Times New Roman" w:eastAsia="Times New Roman" w:hAnsi="Times New Roman"/>
          <w:sz w:val="17"/>
          <w:szCs w:val="17"/>
          <w:u w:val="single" w:color="auto"/>
          <w:color w:val="0000FF"/>
        </w:rPr>
        <w:t>31.3</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Executive Officer of the Company, the sole general partner of the Operating Partnership pursuant to Section 302 of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Sarbanes-Oxley Act of 2002, filed herewith.</w:t>
      </w:r>
    </w:p>
    <w:p>
      <w:pPr>
        <w:spacing w:after="0" w:line="7" w:lineRule="exact"/>
        <w:rPr>
          <w:sz w:val="20"/>
          <w:szCs w:val="20"/>
          <w:color w:val="auto"/>
        </w:rPr>
      </w:pPr>
    </w:p>
    <w:p>
      <w:pPr>
        <w:ind w:left="1000" w:hanging="340"/>
        <w:spacing w:after="0" w:line="248" w:lineRule="auto"/>
        <w:rPr>
          <w:sz w:val="20"/>
          <w:szCs w:val="20"/>
          <w:color w:val="auto"/>
        </w:rPr>
      </w:pPr>
      <w:r>
        <w:rPr>
          <w:rFonts w:ascii="Times New Roman" w:cs="Times New Roman" w:eastAsia="Times New Roman" w:hAnsi="Times New Roman"/>
          <w:sz w:val="17"/>
          <w:szCs w:val="17"/>
          <w:u w:val="single" w:color="auto"/>
          <w:color w:val="0000FF"/>
        </w:rPr>
        <w:t>31.4</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Financial Officer of the Company, the sole general partner of the Operating Partnership pursuant to Section 302 of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Sarbanes-Oxley Act of 2002, filed herewith.</w:t>
      </w:r>
    </w:p>
    <w:p>
      <w:pPr>
        <w:ind w:left="660"/>
        <w:spacing w:after="0" w:line="236" w:lineRule="auto"/>
        <w:rPr>
          <w:sz w:val="20"/>
          <w:szCs w:val="20"/>
          <w:color w:val="auto"/>
        </w:rPr>
      </w:pPr>
      <w:r>
        <w:rPr>
          <w:rFonts w:ascii="Times New Roman" w:cs="Times New Roman" w:eastAsia="Times New Roman" w:hAnsi="Times New Roman"/>
          <w:sz w:val="17"/>
          <w:szCs w:val="17"/>
          <w:u w:val="single" w:color="auto"/>
          <w:color w:val="0000FF"/>
        </w:rPr>
        <w:t>32.1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Executive Officer pursuant to 18 U.S.C. section 1350, as adopted pursuant to Section 906 of the Sarbanes-Oxley Act of</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2002, furnished herewith.</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FF"/>
        </w:rPr>
        <w:t>32.2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Financial Officer pursuant to 18 U.S.C. section 1350, as adopted pursuant to Section 906 of the Sarbanes-Oxley Act of</w:t>
      </w:r>
    </w:p>
    <w:p>
      <w:pPr>
        <w:ind w:left="1000"/>
        <w:spacing w:after="0"/>
        <w:rPr>
          <w:sz w:val="20"/>
          <w:szCs w:val="20"/>
          <w:color w:val="auto"/>
        </w:rPr>
      </w:pPr>
      <w:r>
        <w:rPr>
          <w:rFonts w:ascii="Times New Roman" w:cs="Times New Roman" w:eastAsia="Times New Roman" w:hAnsi="Times New Roman"/>
          <w:sz w:val="17"/>
          <w:szCs w:val="17"/>
          <w:color w:val="auto"/>
        </w:rPr>
        <w:t>2002, furnished herewith.</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FF"/>
        </w:rPr>
        <w:t>32.3</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Executive Officer of the Company, the sole general partner of the Operating Partnership pursuant to 18 U.S.C.</w:t>
      </w:r>
    </w:p>
    <w:p>
      <w:pPr>
        <w:ind w:left="1000"/>
        <w:spacing w:after="0"/>
        <w:rPr>
          <w:sz w:val="20"/>
          <w:szCs w:val="20"/>
          <w:color w:val="auto"/>
        </w:rPr>
      </w:pPr>
      <w:r>
        <w:rPr>
          <w:rFonts w:ascii="Times New Roman" w:cs="Times New Roman" w:eastAsia="Times New Roman" w:hAnsi="Times New Roman"/>
          <w:sz w:val="17"/>
          <w:szCs w:val="17"/>
          <w:color w:val="auto"/>
        </w:rPr>
        <w:t>section 1350, as adopted pursuant to Section 906 of the Sarbanes-Oxley Act of 2002, furnished herewith.</w:t>
      </w:r>
    </w:p>
    <w:p>
      <w:pPr>
        <w:spacing w:after="0" w:line="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u w:val="single" w:color="auto"/>
          <w:color w:val="0000FF"/>
        </w:rPr>
        <w:t>32.4</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Certification by the Chief Financial Officer of the Company, the sole general partner of the Operating Partnership pursuant to 18 U.S.C.</w:t>
      </w:r>
    </w:p>
    <w:p>
      <w:pPr>
        <w:ind w:left="1000"/>
        <w:spacing w:after="0"/>
        <w:rPr>
          <w:sz w:val="20"/>
          <w:szCs w:val="20"/>
          <w:color w:val="auto"/>
        </w:rPr>
      </w:pPr>
      <w:r>
        <w:rPr>
          <w:rFonts w:ascii="Times New Roman" w:cs="Times New Roman" w:eastAsia="Times New Roman" w:hAnsi="Times New Roman"/>
          <w:sz w:val="17"/>
          <w:szCs w:val="17"/>
          <w:color w:val="auto"/>
        </w:rPr>
        <w:t>section 1350, as adopted pursuant to Section 906 of the Sarbanes-Oxley Act of 2002, furnished herewith.</w:t>
      </w:r>
    </w:p>
    <w:p>
      <w:pPr>
        <w:spacing w:after="0" w:line="21" w:lineRule="exact"/>
        <w:rPr>
          <w:sz w:val="20"/>
          <w:szCs w:val="20"/>
          <w:color w:val="auto"/>
        </w:rPr>
      </w:pPr>
    </w:p>
    <w:p>
      <w:pPr>
        <w:ind w:left="1000" w:hanging="340"/>
        <w:spacing w:after="0" w:line="248" w:lineRule="auto"/>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u w:val="single" w:color="auto"/>
            <w:color w:val="0000FF"/>
          </w:rPr>
          <w:t>97.1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17"/>
          <w:szCs w:val="17"/>
          <w:color w:val="000000"/>
        </w:rPr>
        <w:t>Compensation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Recovery Policy, dated September 27, 2023, incorporated by reference to the Company's Annual Report on Form 10-K for the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year ended December 31, 2023, filed with the SEC on February 23, 2024.</w:t>
      </w:r>
    </w:p>
    <w:p>
      <w:pPr>
        <w:spacing w:after="0" w:line="3" w:lineRule="exact"/>
        <w:rPr>
          <w:sz w:val="20"/>
          <w:szCs w:val="20"/>
          <w:color w:val="auto"/>
        </w:rPr>
      </w:pPr>
    </w:p>
    <w:p>
      <w:pPr>
        <w:jc w:val="right"/>
        <w:ind w:left="700"/>
        <w:spacing w:after="0" w:line="229" w:lineRule="auto"/>
        <w:rPr>
          <w:sz w:val="20"/>
          <w:szCs w:val="20"/>
          <w:color w:val="auto"/>
        </w:rPr>
      </w:pPr>
      <w:r>
        <w:rPr>
          <w:rFonts w:ascii="Times New Roman" w:cs="Times New Roman" w:eastAsia="Times New Roman" w:hAnsi="Times New Roman"/>
          <w:sz w:val="17"/>
          <w:szCs w:val="17"/>
          <w:color w:val="auto"/>
        </w:rPr>
        <w:t>101 The following financial statements from SL Green Realty Corp. and SL Green Operating Partnership L.P.'s Annual Report on Form 10-K for the year ended December 31, 2024, formatted in Inline XBRL: (i) Consolidated Balance Sheets, (ii) Consolidated Statements of Operations, (iii)</w:t>
      </w:r>
    </w:p>
    <w:p>
      <w:pPr>
        <w:spacing w:after="0" w:line="1" w:lineRule="exact"/>
        <w:rPr>
          <w:sz w:val="20"/>
          <w:szCs w:val="20"/>
          <w:color w:val="auto"/>
        </w:rPr>
      </w:pPr>
    </w:p>
    <w:p>
      <w:pPr>
        <w:ind w:left="1000"/>
        <w:spacing w:after="0" w:line="232" w:lineRule="auto"/>
        <w:rPr>
          <w:sz w:val="20"/>
          <w:szCs w:val="20"/>
          <w:color w:val="auto"/>
        </w:rPr>
      </w:pPr>
      <w:r>
        <w:rPr>
          <w:rFonts w:ascii="Times New Roman" w:cs="Times New Roman" w:eastAsia="Times New Roman" w:hAnsi="Times New Roman"/>
          <w:sz w:val="17"/>
          <w:szCs w:val="17"/>
          <w:color w:val="auto"/>
        </w:rPr>
        <w:t>Consolidated Statements of Comprehensive Income (Loss), (iv) Consolidated Statements of Equity, (v) Consolidated Statements of Capital, (vi) Consolidated Statements of Cash Flows, and (vii) Notes to Consolidated Financial Statements, detail tagged and filed herewith.</w:t>
      </w:r>
    </w:p>
    <w:p>
      <w:pPr>
        <w:ind w:left="700"/>
        <w:spacing w:after="0"/>
        <w:rPr>
          <w:sz w:val="20"/>
          <w:szCs w:val="20"/>
          <w:color w:val="auto"/>
        </w:rPr>
      </w:pPr>
      <w:r>
        <w:rPr>
          <w:rFonts w:ascii="Times New Roman" w:cs="Times New Roman" w:eastAsia="Times New Roman" w:hAnsi="Times New Roman"/>
          <w:sz w:val="17"/>
          <w:szCs w:val="17"/>
          <w:color w:val="auto"/>
        </w:rPr>
        <w:t>104 Cover Page Interactive Data File (formatted in Inline XBRL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4"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34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440" w:type="dxa"/>
            <w:vAlign w:val="bottom"/>
            <w:gridSpan w:val="2"/>
          </w:tcPr>
          <w:p>
            <w:pPr>
              <w:ind w:left="5140"/>
              <w:spacing w:after="0"/>
              <w:rPr>
                <w:sz w:val="20"/>
                <w:szCs w:val="20"/>
                <w:color w:val="auto"/>
              </w:rPr>
            </w:pPr>
            <w:r>
              <w:rPr>
                <w:rFonts w:ascii="Times New Roman" w:cs="Times New Roman" w:eastAsia="Times New Roman" w:hAnsi="Times New Roman"/>
                <w:sz w:val="17"/>
                <w:szCs w:val="17"/>
                <w:b w:val="1"/>
                <w:bCs w:val="1"/>
                <w:color w:val="auto"/>
              </w:rPr>
              <w:t>SL GREEN REALTY CORP.</w:t>
            </w:r>
          </w:p>
        </w:tc>
        <w:tc>
          <w:tcPr>
            <w:tcW w:w="3220" w:type="dxa"/>
            <w:vAlign w:val="bottom"/>
          </w:tcPr>
          <w:p>
            <w:pPr>
              <w:spacing w:after="0"/>
              <w:rPr>
                <w:sz w:val="19"/>
                <w:szCs w:val="19"/>
                <w:color w:val="auto"/>
              </w:rPr>
            </w:pPr>
          </w:p>
        </w:tc>
      </w:tr>
      <w:tr>
        <w:trPr>
          <w:trHeight w:val="433"/>
        </w:trPr>
        <w:tc>
          <w:tcPr>
            <w:tcW w:w="7440" w:type="dxa"/>
            <w:vAlign w:val="bottom"/>
            <w:gridSpan w:val="2"/>
          </w:tcPr>
          <w:p>
            <w:pPr>
              <w:ind w:left="5140"/>
              <w:spacing w:after="0"/>
              <w:rPr>
                <w:sz w:val="20"/>
                <w:szCs w:val="20"/>
                <w:color w:val="auto"/>
              </w:rPr>
            </w:pPr>
            <w:r>
              <w:rPr>
                <w:rFonts w:ascii="Times New Roman" w:cs="Times New Roman" w:eastAsia="Times New Roman" w:hAnsi="Times New Roman"/>
                <w:sz w:val="17"/>
                <w:szCs w:val="17"/>
                <w:color w:val="auto"/>
              </w:rPr>
              <w:t>By:</w:t>
            </w:r>
          </w:p>
        </w:tc>
        <w:tc>
          <w:tcPr>
            <w:tcW w:w="3220" w:type="dxa"/>
            <w:vAlign w:val="bottom"/>
          </w:tcPr>
          <w:p>
            <w:pPr>
              <w:jc w:val="center"/>
              <w:ind w:right="1213"/>
              <w:spacing w:after="0"/>
              <w:rPr>
                <w:sz w:val="20"/>
                <w:szCs w:val="20"/>
                <w:color w:val="auto"/>
              </w:rPr>
            </w:pPr>
            <w:r>
              <w:rPr>
                <w:rFonts w:ascii="Times New Roman" w:cs="Times New Roman" w:eastAsia="Times New Roman" w:hAnsi="Times New Roman"/>
                <w:sz w:val="17"/>
                <w:szCs w:val="17"/>
                <w:color w:val="auto"/>
              </w:rPr>
              <w:t>/s/ Matthew J. DiLiberto</w:t>
            </w:r>
          </w:p>
        </w:tc>
      </w:tr>
      <w:tr>
        <w:trPr>
          <w:trHeight w:val="164"/>
        </w:trPr>
        <w:tc>
          <w:tcPr>
            <w:tcW w:w="614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220" w:type="dxa"/>
            <w:vAlign w:val="bottom"/>
            <w:tcBorders>
              <w:top w:val="single" w:sz="8" w:color="auto"/>
            </w:tcBorders>
          </w:tcPr>
          <w:p>
            <w:pPr>
              <w:jc w:val="center"/>
              <w:ind w:right="1213"/>
              <w:spacing w:after="0" w:line="164" w:lineRule="exact"/>
              <w:rPr>
                <w:sz w:val="20"/>
                <w:szCs w:val="20"/>
                <w:color w:val="auto"/>
              </w:rPr>
            </w:pPr>
            <w:r>
              <w:rPr>
                <w:rFonts w:ascii="Times New Roman" w:cs="Times New Roman" w:eastAsia="Times New Roman" w:hAnsi="Times New Roman"/>
                <w:sz w:val="17"/>
                <w:szCs w:val="17"/>
                <w:color w:val="auto"/>
              </w:rPr>
              <w:t>Matthew J. DiLiberto</w:t>
            </w:r>
          </w:p>
        </w:tc>
      </w:tr>
      <w:tr>
        <w:trPr>
          <w:trHeight w:val="236"/>
        </w:trPr>
        <w:tc>
          <w:tcPr>
            <w:tcW w:w="7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Dated: February 14, 2025</w:t>
            </w:r>
          </w:p>
        </w:tc>
        <w:tc>
          <w:tcPr>
            <w:tcW w:w="3220" w:type="dxa"/>
            <w:vAlign w:val="bottom"/>
          </w:tcPr>
          <w:p>
            <w:pPr>
              <w:jc w:val="center"/>
              <w:ind w:right="1173"/>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w:t>
      </w:r>
    </w:p>
    <w:p>
      <w:pPr>
        <w:spacing w:after="0" w:line="158"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KNOW ALL MEN BY THESE PRESENTS, that we, the undersigned officers and directors of SL Green Realty Corp. hereby severally constitute Marc Holliday and Matthew J. DiLiberto, and each of them singly, our true and lawful attorneys and with full power to them, and each of them singly, to sign for us and in our names in the capacities indicated below, the Annual Report on Form 10-K filed herewith and any and all amendments to said Annual Report on Form 10-K, and generally to do all such things in our names and in our capacities as officers and directors to enable SL Green Realty Corp. to comply with the provisions of the Securities Exchange Act of 1934, as amended, and all requirements of the Securities and Exchange Commission, hereby ratifying and confirming our signatures as they may be signed by our said attorneys, or any of them, to said Annual Report on Form 10-K and any and all amendments thereto.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below by the following persons on behalf of the registrant and in the capacities and on the dates indicated:</w:t>
      </w:r>
    </w:p>
    <w:p>
      <w:pPr>
        <w:spacing w:after="0" w:line="2" w:lineRule="exact"/>
        <w:rPr>
          <w:sz w:val="20"/>
          <w:szCs w:val="20"/>
          <w:color w:val="auto"/>
        </w:rPr>
      </w:pPr>
    </w:p>
    <w:p>
      <w:pPr>
        <w:ind w:left="1860"/>
        <w:spacing w:after="0"/>
        <w:tabs>
          <w:tab w:leader="none" w:pos="6120" w:val="left"/>
          <w:tab w:leader="none" w:pos="9740" w:val="left"/>
        </w:tabs>
        <w:rPr>
          <w:sz w:val="20"/>
          <w:szCs w:val="20"/>
          <w:color w:val="auto"/>
        </w:rPr>
      </w:pPr>
      <w:r>
        <w:rPr>
          <w:rFonts w:ascii="Times New Roman" w:cs="Times New Roman" w:eastAsia="Times New Roman" w:hAnsi="Times New Roman"/>
          <w:sz w:val="14"/>
          <w:szCs w:val="14"/>
          <w:b w:val="1"/>
          <w:bCs w:val="1"/>
          <w:u w:val="single" w:color="auto"/>
          <w:color w:val="auto"/>
        </w:rPr>
        <w:t>Signatures</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1240"/>
          </w:cols>
          <w:pgMar w:left="320" w:top="121" w:right="339" w:bottom="1440" w:gutter="0" w:footer="0" w:header="0"/>
        </w:sectPr>
      </w:pPr>
    </w:p>
    <w:p>
      <w:pPr>
        <w:spacing w:after="0" w:line="291"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1">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Marc Holliday</w:t>
      </w:r>
    </w:p>
    <w:p>
      <w:pPr>
        <w:spacing w:after="0" w:line="27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2">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Matthew J. DiLiberto</w:t>
      </w:r>
    </w:p>
    <w:p>
      <w:pPr>
        <w:spacing w:after="0" w:line="27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/s/ Stephen 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3">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Stephen L. Green</w:t>
      </w:r>
    </w:p>
    <w:p>
      <w:pPr>
        <w:spacing w:after="0" w:line="27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/s/ Andrew W.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4">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Andrew W. Mathias</w:t>
      </w:r>
    </w:p>
    <w:p>
      <w:pPr>
        <w:spacing w:after="0" w:line="27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/s/ John H. Alschuler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5">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John H. Alschuler, Jr.</w:t>
      </w:r>
    </w:p>
    <w:p>
      <w:pPr>
        <w:spacing w:after="0" w:line="27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/s/ Craig M. Hatkoff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6">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Craig M. Hatkoff</w:t>
      </w:r>
    </w:p>
    <w:p>
      <w:pPr>
        <w:spacing w:after="0" w:line="27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/s/ Lauren B.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7">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Lauren B. Dillard</w:t>
      </w:r>
    </w:p>
    <w:p>
      <w:pPr>
        <w:spacing w:after="0" w:line="27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/s/ Carol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8">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Carol Brown</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7"/>
          <w:szCs w:val="17"/>
          <w:color w:val="auto"/>
        </w:rPr>
        <w:t>Chairman of the Board of Directors, Chief Executive Officer and Interim President (Principal Executive Officer)</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357" w:lineRule="exact"/>
        <w:rPr>
          <w:sz w:val="20"/>
          <w:szCs w:val="20"/>
          <w:color w:val="auto"/>
        </w:rPr>
      </w:pPr>
    </w:p>
    <w:p>
      <w:pPr>
        <w:sectPr>
          <w:pgSz w:w="11900" w:h="16838" w:orient="portrait"/>
          <w:cols w:equalWidth="0" w:num="3">
            <w:col w:w="3200" w:space="720"/>
            <w:col w:w="4620" w:space="720"/>
            <w:col w:w="1980"/>
          </w:cols>
          <w:pgMar w:left="320" w:top="121" w:right="339" w:bottom="1440" w:gutter="0" w:footer="0" w:header="0"/>
          <w:type w:val="continuous"/>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4"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34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b w:val="1"/>
          <w:bCs w:val="1"/>
          <w:color w:val="auto"/>
        </w:rPr>
        <w:t>SL GREEN OPERATING PARTNERSHIP, L.P.</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6140" w:type="dxa"/>
            <w:vAlign w:val="bottom"/>
          </w:tcPr>
          <w:p>
            <w:pPr>
              <w:ind w:left="514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SL Green Realty Corp.</w:t>
            </w:r>
          </w:p>
        </w:tc>
        <w:tc>
          <w:tcPr>
            <w:tcW w:w="0" w:type="dxa"/>
            <w:vAlign w:val="bottom"/>
          </w:tcPr>
          <w:p>
            <w:pPr>
              <w:spacing w:after="0"/>
              <w:rPr>
                <w:sz w:val="1"/>
                <w:szCs w:val="1"/>
                <w:color w:val="auto"/>
              </w:rPr>
            </w:pPr>
          </w:p>
        </w:tc>
      </w:tr>
      <w:tr>
        <w:trPr>
          <w:trHeight w:val="428"/>
        </w:trPr>
        <w:tc>
          <w:tcPr>
            <w:tcW w:w="6140" w:type="dxa"/>
            <w:vAlign w:val="bottom"/>
            <w:vMerge w:val="restart"/>
          </w:tcPr>
          <w:p>
            <w:pPr>
              <w:ind w:left="514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Matthew J. DiLiberto</w:t>
            </w:r>
          </w:p>
        </w:tc>
        <w:tc>
          <w:tcPr>
            <w:tcW w:w="0" w:type="dxa"/>
            <w:vAlign w:val="bottom"/>
          </w:tcPr>
          <w:p>
            <w:pPr>
              <w:spacing w:after="0"/>
              <w:rPr>
                <w:sz w:val="1"/>
                <w:szCs w:val="1"/>
                <w:color w:val="auto"/>
              </w:rPr>
            </w:pPr>
          </w:p>
        </w:tc>
      </w:tr>
      <w:tr>
        <w:trPr>
          <w:trHeight w:val="164"/>
        </w:trPr>
        <w:tc>
          <w:tcPr>
            <w:tcW w:w="6140" w:type="dxa"/>
            <w:vAlign w:val="bottom"/>
            <w:vMerge w:val="continue"/>
          </w:tcPr>
          <w:p>
            <w:pPr>
              <w:spacing w:after="0"/>
              <w:rPr>
                <w:sz w:val="14"/>
                <w:szCs w:val="14"/>
                <w:color w:val="auto"/>
              </w:rPr>
            </w:pPr>
          </w:p>
        </w:tc>
        <w:tc>
          <w:tcPr>
            <w:tcW w:w="452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rPr>
              <w:t>Matthew J. DiLiberto</w:t>
            </w:r>
          </w:p>
        </w:tc>
        <w:tc>
          <w:tcPr>
            <w:tcW w:w="0" w:type="dxa"/>
            <w:vAlign w:val="bottom"/>
          </w:tcPr>
          <w:p>
            <w:pPr>
              <w:spacing w:after="0"/>
              <w:rPr>
                <w:sz w:val="1"/>
                <w:szCs w:val="1"/>
                <w:color w:val="auto"/>
              </w:rPr>
            </w:pPr>
          </w:p>
        </w:tc>
      </w:tr>
      <w:tr>
        <w:trPr>
          <w:trHeight w:val="236"/>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Dated: February 14, 2025</w:t>
            </w: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________________________________________________________________________________________________________________________</w:t>
      </w:r>
    </w:p>
    <w:p>
      <w:pPr>
        <w:spacing w:after="0" w:line="158" w:lineRule="exact"/>
        <w:rPr>
          <w:sz w:val="20"/>
          <w:szCs w:val="20"/>
          <w:color w:val="auto"/>
        </w:rPr>
      </w:pPr>
    </w:p>
    <w:p>
      <w:pPr>
        <w:jc w:val="both"/>
        <w:ind w:firstLine="433"/>
        <w:spacing w:after="0" w:line="264" w:lineRule="auto"/>
        <w:rPr>
          <w:sz w:val="20"/>
          <w:szCs w:val="20"/>
          <w:color w:val="auto"/>
        </w:rPr>
      </w:pPr>
      <w:r>
        <w:rPr>
          <w:rFonts w:ascii="Times New Roman" w:cs="Times New Roman" w:eastAsia="Times New Roman" w:hAnsi="Times New Roman"/>
          <w:sz w:val="17"/>
          <w:szCs w:val="17"/>
          <w:color w:val="auto"/>
        </w:rPr>
        <w:t>KNOW ALL MEN BY THESE PRESENTS, that we, the undersigned officers and directors of SL Green Realty Corp., the sole general partner of SL Green Operating Partnership, L.P., hereby severally constitute Marc Holliday and Matthew J. DiLiberto, and each of them singly, our true and lawful attorneys and with full power to them, and each of them singly, to sign for us and in our names in the capacities indicated below, the Annual Report on Form 10-K filed herewith and any and all amendments to said Annual Report on Form 10-K, and generally to do all such things in our names and in our capacities as officers and directors to enable SL Green Operating Partnership, L.P. to comply with the provisions of the Securities Exchange Act of 1934, as amended, and all requirements of the Securities and Exchange Commission, hereby ratifying and confirming our signatures as they may be signed by our said attorneys, or any of them, to said Annual Report on Form 10-K and any and all amendments thereto.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firstLine="433"/>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below by the following persons on behalf of the registrant and in the capacities and on the dates indicated:</w:t>
      </w:r>
    </w:p>
    <w:p>
      <w:pPr>
        <w:spacing w:after="0" w:line="126" w:lineRule="exact"/>
        <w:rPr>
          <w:sz w:val="20"/>
          <w:szCs w:val="20"/>
          <w:color w:val="auto"/>
        </w:rPr>
      </w:pPr>
    </w:p>
    <w:p>
      <w:pPr>
        <w:ind w:left="1860"/>
        <w:spacing w:after="0"/>
        <w:tabs>
          <w:tab w:leader="none" w:pos="6120" w:val="left"/>
          <w:tab w:leader="none" w:pos="9740" w:val="left"/>
        </w:tabs>
        <w:rPr>
          <w:sz w:val="20"/>
          <w:szCs w:val="20"/>
          <w:color w:val="auto"/>
        </w:rPr>
      </w:pPr>
      <w:r>
        <w:rPr>
          <w:rFonts w:ascii="Times New Roman" w:cs="Times New Roman" w:eastAsia="Times New Roman" w:hAnsi="Times New Roman"/>
          <w:sz w:val="14"/>
          <w:szCs w:val="14"/>
          <w:b w:val="1"/>
          <w:bCs w:val="1"/>
          <w:u w:val="single" w:color="auto"/>
          <w:color w:val="auto"/>
        </w:rPr>
        <w:t>Signatures</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ectPr>
          <w:pgSz w:w="11900" w:h="16838" w:orient="portrait"/>
          <w:cols w:equalWidth="0" w:num="1">
            <w:col w:w="11240"/>
          </w:cols>
          <w:pgMar w:left="320" w:top="121" w:right="339" w:bottom="1440" w:gutter="0" w:footer="0" w:header="0"/>
        </w:sectPr>
      </w:pPr>
    </w:p>
    <w:p>
      <w:pPr>
        <w:spacing w:after="0" w:line="38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1">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152"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Marc Holliday</w:t>
      </w:r>
    </w:p>
    <w:p>
      <w:pPr>
        <w:spacing w:after="0" w:line="200" w:lineRule="exact"/>
        <w:rPr>
          <w:sz w:val="20"/>
          <w:szCs w:val="20"/>
          <w:color w:val="auto"/>
        </w:rPr>
      </w:pPr>
    </w:p>
    <w:p>
      <w:pPr>
        <w:spacing w:after="0" w:line="221"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2">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2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Matthew J. DiLiberto</w:t>
      </w:r>
    </w:p>
    <w:p>
      <w:pPr>
        <w:spacing w:after="0" w:line="26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Stephen 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3">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Stephen L. Green</w:t>
      </w:r>
    </w:p>
    <w:p>
      <w:pPr>
        <w:spacing w:after="0" w:line="26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Andrew W.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4">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Andrew W. Mathias</w:t>
      </w:r>
    </w:p>
    <w:p>
      <w:pPr>
        <w:spacing w:after="0" w:line="26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John H. Alschuler,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5">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John H. Alschuler, Jr.</w:t>
      </w:r>
    </w:p>
    <w:p>
      <w:pPr>
        <w:spacing w:after="0" w:line="26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Craig M. Hatkoff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6">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Craig M. Hatkoff</w:t>
      </w:r>
    </w:p>
    <w:p>
      <w:pPr>
        <w:spacing w:after="0" w:line="26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Lauren B.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7">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Lauren B. Dillard</w:t>
      </w:r>
    </w:p>
    <w:p>
      <w:pPr>
        <w:spacing w:after="0" w:line="263"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/s/ Carol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20955</wp:posOffset>
            </wp:positionV>
            <wp:extent cx="21983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8">
                      <a:extLst>
                        <a:ext uri="{28A0092B-C50C-407E-A947-70E740481C1C}"/>
                      </a:extLst>
                    </a:blip>
                    <a:srcRect/>
                    <a:stretch>
                      <a:fillRect/>
                    </a:stretch>
                  </pic:blipFill>
                  <pic:spPr bwMode="auto">
                    <a:xfrm>
                      <a:off x="0" y="0"/>
                      <a:ext cx="2198370" cy="8255"/>
                    </a:xfrm>
                    <a:prstGeom prst="rect">
                      <a:avLst/>
                    </a:prstGeom>
                    <a:noFill/>
                  </pic:spPr>
                </pic:pic>
              </a:graphicData>
            </a:graphic>
          </wp:anchor>
        </w:drawing>
      </w:r>
    </w:p>
    <w:p>
      <w:pPr>
        <w:spacing w:after="0" w:line="47"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7"/>
          <w:szCs w:val="17"/>
          <w:color w:val="auto"/>
        </w:rPr>
        <w:t>Carol Brown</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Chairman of the Board of Directors, Chief Executive Officer and</w:t>
      </w:r>
    </w:p>
    <w:p>
      <w:pPr>
        <w:jc w:val="center"/>
        <w:spacing w:after="0" w:line="225" w:lineRule="auto"/>
        <w:rPr>
          <w:sz w:val="20"/>
          <w:szCs w:val="20"/>
          <w:color w:val="auto"/>
        </w:rPr>
      </w:pPr>
      <w:r>
        <w:rPr>
          <w:rFonts w:ascii="Times New Roman" w:cs="Times New Roman" w:eastAsia="Times New Roman" w:hAnsi="Times New Roman"/>
          <w:sz w:val="17"/>
          <w:szCs w:val="17"/>
          <w:color w:val="auto"/>
        </w:rPr>
        <w:t>Interim President of SL Green, the sole general partner of the</w:t>
      </w:r>
    </w:p>
    <w:p>
      <w:pPr>
        <w:ind w:left="460"/>
        <w:spacing w:after="0"/>
        <w:rPr>
          <w:sz w:val="20"/>
          <w:szCs w:val="20"/>
          <w:color w:val="auto"/>
        </w:rPr>
      </w:pPr>
      <w:r>
        <w:rPr>
          <w:rFonts w:ascii="Times New Roman" w:cs="Times New Roman" w:eastAsia="Times New Roman" w:hAnsi="Times New Roman"/>
          <w:sz w:val="17"/>
          <w:szCs w:val="17"/>
          <w:color w:val="auto"/>
        </w:rPr>
        <w:t>Operating Partnership (Principal Executive Officer)</w:t>
      </w:r>
    </w:p>
    <w:p>
      <w:pPr>
        <w:spacing w:after="0" w:line="3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Chief Financial Officer of</w:t>
      </w:r>
    </w:p>
    <w:p>
      <w:pPr>
        <w:jc w:val="center"/>
        <w:ind w:right="40"/>
        <w:spacing w:after="0" w:line="225" w:lineRule="auto"/>
        <w:rPr>
          <w:sz w:val="20"/>
          <w:szCs w:val="20"/>
          <w:color w:val="auto"/>
        </w:rPr>
      </w:pPr>
      <w:r>
        <w:rPr>
          <w:rFonts w:ascii="Times New Roman" w:cs="Times New Roman" w:eastAsia="Times New Roman" w:hAnsi="Times New Roman"/>
          <w:sz w:val="17"/>
          <w:szCs w:val="17"/>
          <w:color w:val="auto"/>
        </w:rPr>
        <w:t>SL Green, the sole general partner of</w:t>
      </w:r>
    </w:p>
    <w:p>
      <w:pPr>
        <w:jc w:val="center"/>
        <w:spacing w:after="0" w:line="209" w:lineRule="auto"/>
        <w:rPr>
          <w:sz w:val="20"/>
          <w:szCs w:val="20"/>
          <w:color w:val="auto"/>
        </w:rPr>
      </w:pPr>
      <w:r>
        <w:rPr>
          <w:rFonts w:ascii="Times New Roman" w:cs="Times New Roman" w:eastAsia="Times New Roman" w:hAnsi="Times New Roman"/>
          <w:sz w:val="17"/>
          <w:szCs w:val="17"/>
          <w:color w:val="auto"/>
        </w:rPr>
        <w:t>the Operating Partnership (Principal Financial and Accounting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Officer)</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Director of SL Green, the sole general</w:t>
      </w:r>
    </w:p>
    <w:p>
      <w:pPr>
        <w:jc w:val="center"/>
        <w:spacing w:after="0"/>
        <w:rPr>
          <w:sz w:val="20"/>
          <w:szCs w:val="20"/>
          <w:color w:val="auto"/>
        </w:rPr>
      </w:pPr>
      <w:r>
        <w:rPr>
          <w:rFonts w:ascii="Times New Roman" w:cs="Times New Roman" w:eastAsia="Times New Roman" w:hAnsi="Times New Roman"/>
          <w:sz w:val="17"/>
          <w:szCs w:val="17"/>
          <w:color w:val="auto"/>
        </w:rPr>
        <w:t>partner of the Operating Partnership</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Director of SL Green, the sole general</w:t>
      </w:r>
    </w:p>
    <w:p>
      <w:pPr>
        <w:jc w:val="center"/>
        <w:spacing w:after="0"/>
        <w:rPr>
          <w:sz w:val="20"/>
          <w:szCs w:val="20"/>
          <w:color w:val="auto"/>
        </w:rPr>
      </w:pPr>
      <w:r>
        <w:rPr>
          <w:rFonts w:ascii="Times New Roman" w:cs="Times New Roman" w:eastAsia="Times New Roman" w:hAnsi="Times New Roman"/>
          <w:sz w:val="17"/>
          <w:szCs w:val="17"/>
          <w:color w:val="auto"/>
        </w:rPr>
        <w:t>partner of the Operating Partnership</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Director of SL Green, the sole general</w:t>
      </w:r>
    </w:p>
    <w:p>
      <w:pPr>
        <w:jc w:val="center"/>
        <w:spacing w:after="0"/>
        <w:rPr>
          <w:sz w:val="20"/>
          <w:szCs w:val="20"/>
          <w:color w:val="auto"/>
        </w:rPr>
      </w:pPr>
      <w:r>
        <w:rPr>
          <w:rFonts w:ascii="Times New Roman" w:cs="Times New Roman" w:eastAsia="Times New Roman" w:hAnsi="Times New Roman"/>
          <w:sz w:val="17"/>
          <w:szCs w:val="17"/>
          <w:color w:val="auto"/>
        </w:rPr>
        <w:t>partner of the Operating Partnership</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Director of SL Green, the sole general</w:t>
      </w:r>
    </w:p>
    <w:p>
      <w:pPr>
        <w:jc w:val="center"/>
        <w:spacing w:after="0"/>
        <w:rPr>
          <w:sz w:val="20"/>
          <w:szCs w:val="20"/>
          <w:color w:val="auto"/>
        </w:rPr>
      </w:pPr>
      <w:r>
        <w:rPr>
          <w:rFonts w:ascii="Times New Roman" w:cs="Times New Roman" w:eastAsia="Times New Roman" w:hAnsi="Times New Roman"/>
          <w:sz w:val="17"/>
          <w:szCs w:val="17"/>
          <w:color w:val="auto"/>
        </w:rPr>
        <w:t>partner of the Operating Partnership</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Director of SL Green, the sole general</w:t>
      </w:r>
    </w:p>
    <w:p>
      <w:pPr>
        <w:jc w:val="center"/>
        <w:spacing w:after="0"/>
        <w:rPr>
          <w:sz w:val="20"/>
          <w:szCs w:val="20"/>
          <w:color w:val="auto"/>
        </w:rPr>
      </w:pPr>
      <w:r>
        <w:rPr>
          <w:rFonts w:ascii="Times New Roman" w:cs="Times New Roman" w:eastAsia="Times New Roman" w:hAnsi="Times New Roman"/>
          <w:sz w:val="17"/>
          <w:szCs w:val="17"/>
          <w:color w:val="auto"/>
        </w:rPr>
        <w:t>partner of the Operating Partnership</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Director of SL Green, the sole general</w:t>
      </w:r>
    </w:p>
    <w:p>
      <w:pPr>
        <w:jc w:val="center"/>
        <w:spacing w:after="0"/>
        <w:rPr>
          <w:sz w:val="20"/>
          <w:szCs w:val="20"/>
          <w:color w:val="auto"/>
        </w:rPr>
      </w:pPr>
      <w:r>
        <w:rPr>
          <w:rFonts w:ascii="Times New Roman" w:cs="Times New Roman" w:eastAsia="Times New Roman" w:hAnsi="Times New Roman"/>
          <w:sz w:val="17"/>
          <w:szCs w:val="17"/>
          <w:color w:val="auto"/>
        </w:rPr>
        <w:t>partner of the Operating Partnership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32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32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32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32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32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color w:val="auto"/>
        </w:rPr>
        <w:t>February 14, 2025</w:t>
      </w:r>
    </w:p>
    <w:p>
      <w:pPr>
        <w:spacing w:after="0" w:line="364" w:lineRule="exact"/>
        <w:rPr>
          <w:sz w:val="20"/>
          <w:szCs w:val="20"/>
          <w:color w:val="auto"/>
        </w:rPr>
      </w:pPr>
    </w:p>
    <w:p>
      <w:pPr>
        <w:sectPr>
          <w:pgSz w:w="11900" w:h="16838" w:orient="portrait"/>
          <w:cols w:equalWidth="0" w:num="3">
            <w:col w:w="3300" w:space="720"/>
            <w:col w:w="4540" w:space="700"/>
            <w:col w:w="1980"/>
          </w:cols>
          <w:pgMar w:left="320" w:top="121" w:right="33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144</w:t>
      </w:r>
    </w:p>
    <w:p>
      <w:pPr>
        <w:sectPr>
          <w:pgSz w:w="11900" w:h="16838" w:orient="portrait"/>
          <w:cols w:equalWidth="0" w:num="1">
            <w:col w:w="11240"/>
          </w:cols>
          <w:pgMar w:left="320" w:top="121" w:right="339" w:bottom="1440" w:gutter="0" w:footer="0" w:header="0"/>
          <w:type w:val="continuous"/>
        </w:sectPr>
      </w:pPr>
    </w:p>
    <w:bookmarkStart w:id="145" w:name="page146"/>
    <w:bookmarkEnd w:id="145"/>
    <w:p>
      <w:pPr>
        <w:jc w:val="right"/>
        <w:spacing w:after="0"/>
        <w:rPr>
          <w:sz w:val="20"/>
          <w:szCs w:val="20"/>
          <w:color w:val="auto"/>
        </w:rPr>
      </w:pPr>
      <w:r>
        <w:rPr>
          <w:rFonts w:ascii="Times New Roman" w:cs="Times New Roman" w:eastAsia="Times New Roman" w:hAnsi="Times New Roman"/>
          <w:sz w:val="17"/>
          <w:szCs w:val="17"/>
          <w:b w:val="1"/>
          <w:bCs w:val="1"/>
          <w:color w:val="auto"/>
        </w:rPr>
        <w:t>Exhibit 4.6</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DESCRIPTION OF THE REGISTRANT'S SECURITIES REGISTERED PURSUANT TO SECTION 12 OF THE SECURITIES AND EXCHANGE</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ACT OF 1934</w:t>
      </w:r>
    </w:p>
    <w:p>
      <w:pPr>
        <w:spacing w:after="0" w:line="154"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As of the date of our annual report on Form 10-K of which this Exhibit is a part, we have the following classes of securities registered under Section 12 of the Securities Exchange Act of 1934, as amended (the "Exchange Act"): (1) our common stock, par value $0.01 per share and (2) our 6.500% Series I Redeemable Cumulative Preferred Stock, par value $0.01 per share.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COMMON STOCK</w:t>
      </w:r>
    </w:p>
    <w:p>
      <w:pPr>
        <w:spacing w:after="0" w:line="172" w:lineRule="exact"/>
        <w:rPr>
          <w:sz w:val="20"/>
          <w:szCs w:val="20"/>
          <w:color w:val="auto"/>
        </w:rPr>
      </w:pPr>
    </w:p>
    <w:p>
      <w:pPr>
        <w:ind w:right="320" w:firstLine="629"/>
        <w:spacing w:after="0" w:line="271" w:lineRule="auto"/>
        <w:rPr>
          <w:sz w:val="20"/>
          <w:szCs w:val="20"/>
          <w:color w:val="auto"/>
        </w:rPr>
      </w:pPr>
      <w:r>
        <w:rPr>
          <w:rFonts w:ascii="Times New Roman" w:cs="Times New Roman" w:eastAsia="Times New Roman" w:hAnsi="Times New Roman"/>
          <w:sz w:val="17"/>
          <w:szCs w:val="17"/>
          <w:i w:val="1"/>
          <w:iCs w:val="1"/>
          <w:color w:val="auto"/>
        </w:rPr>
        <w:t>The following description of the terms of SL Green's common stock is only a summary. This description is subject to, and qualified in its entirety by reference to, SL Green's charter and bylaws, each as amended, each of which has previously been filed with the Securities and Exchange Commission (the "SEC"), and the Maryland General Corporation Law (the "MGCL"). The terms "we," "us" and "our" as such terms are used in the following description of common stock refer to SL Green Realty Corp. unless the context requires otherwise.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74"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Our charter provides that we may issue up to 160,000,000 shares of common stock, $0.01 par value per share. Subject to the provisions of the charter regarding excess stock, each outstanding share of common stock entitles the holder to one vote on all matters submitted to a vote of stockholders, including the election of directors, and, except as provided with respect to any other class or series of stock, the holders of this stock will possess the exclusive voting power. There is no cumulative voting in the election of directors, which means that the holders of a majority of the outstanding shares of common stock can elect all of the directors then standing for election and the holders of the remaining shares will not be able to elect any directors. As of February 13, 2025, 71,004,564 shares of SL Green Realty Corp.'s common stock, par value $0.01 per share, were outstanding.</w:t>
      </w:r>
    </w:p>
    <w:p>
      <w:pPr>
        <w:spacing w:after="0" w:line="121" w:lineRule="exact"/>
        <w:rPr>
          <w:sz w:val="20"/>
          <w:szCs w:val="20"/>
          <w:color w:val="auto"/>
        </w:rPr>
      </w:pPr>
    </w:p>
    <w:p>
      <w:pPr>
        <w:ind w:right="140" w:firstLine="629"/>
        <w:spacing w:after="0" w:line="267" w:lineRule="auto"/>
        <w:rPr>
          <w:sz w:val="20"/>
          <w:szCs w:val="20"/>
          <w:color w:val="auto"/>
        </w:rPr>
      </w:pPr>
      <w:r>
        <w:rPr>
          <w:rFonts w:ascii="Times New Roman" w:cs="Times New Roman" w:eastAsia="Times New Roman" w:hAnsi="Times New Roman"/>
          <w:sz w:val="17"/>
          <w:szCs w:val="17"/>
          <w:color w:val="auto"/>
        </w:rPr>
        <w:t>All issued and outstanding shares of common stock are validly issued, fully paid and non-assessable. Subject to the preferential rights of any other shares or series of stock and to the provisions of the charter regarding excess stock, holders of shares of common stock are entitled to receive dividends on this stock if, as and when authorized by our board of directors and declared by us out of assets legally available therefor and to share ratably in our assets legally available for distribution to our stockholders in the event of our liquidation, dissolution or winding up after payment of or adequate provision for all of our known debts and liabilities.</w:t>
      </w:r>
    </w:p>
    <w:p>
      <w:pPr>
        <w:spacing w:after="0" w:line="119" w:lineRule="exact"/>
        <w:rPr>
          <w:sz w:val="20"/>
          <w:szCs w:val="20"/>
          <w:color w:val="auto"/>
        </w:rPr>
      </w:pPr>
    </w:p>
    <w:p>
      <w:pPr>
        <w:jc w:val="both"/>
        <w:ind w:right="220" w:firstLine="629"/>
        <w:spacing w:after="0" w:line="277" w:lineRule="auto"/>
        <w:rPr>
          <w:sz w:val="20"/>
          <w:szCs w:val="20"/>
          <w:color w:val="auto"/>
        </w:rPr>
      </w:pPr>
      <w:r>
        <w:rPr>
          <w:rFonts w:ascii="Times New Roman" w:cs="Times New Roman" w:eastAsia="Times New Roman" w:hAnsi="Times New Roman"/>
          <w:sz w:val="17"/>
          <w:szCs w:val="17"/>
          <w:color w:val="auto"/>
        </w:rPr>
        <w:t>Holders of shares of common stock have no preference, conversion, exchange, sinking fund, redemption or appraisal rights and have no preemptive rights to subscribe for any of our securities. Subject to the provisions of the charter regarding excess stock, shares of common stock will have equal dividend, liquidation and other rights.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common stock is listed on the New York Stock Exchange ("NYSE") under the symbol "SLG."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Provisions of Our Charter and Bylaws</w:t>
      </w:r>
    </w:p>
    <w:p>
      <w:pPr>
        <w:spacing w:after="0" w:line="174" w:lineRule="exact"/>
        <w:rPr>
          <w:sz w:val="20"/>
          <w:szCs w:val="20"/>
          <w:color w:val="auto"/>
        </w:rPr>
      </w:pPr>
    </w:p>
    <w:p>
      <w:pPr>
        <w:ind w:right="20" w:firstLine="629"/>
        <w:spacing w:after="0" w:line="277" w:lineRule="auto"/>
        <w:rPr>
          <w:sz w:val="20"/>
          <w:szCs w:val="20"/>
          <w:color w:val="auto"/>
        </w:rPr>
      </w:pPr>
      <w:r>
        <w:rPr>
          <w:rFonts w:ascii="Times New Roman" w:cs="Times New Roman" w:eastAsia="Times New Roman" w:hAnsi="Times New Roman"/>
          <w:sz w:val="17"/>
          <w:szCs w:val="17"/>
          <w:color w:val="auto"/>
        </w:rPr>
        <w:t>Our charter authorizes our board of directors to reclassify any unissued shares of common stock into other classes or series of stock and to establish the number of shares in each class or series and to set the preferences, conversion and other rights, voting powers, restrictions, limitations and restrictions on ownership, limitations as to dividends or other distributions, qualifications and terms or conditions of redemption for each class or series.</w:t>
      </w:r>
    </w:p>
    <w:p>
      <w:pPr>
        <w:spacing w:after="0" w:line="110" w:lineRule="exact"/>
        <w:rPr>
          <w:sz w:val="20"/>
          <w:szCs w:val="20"/>
          <w:color w:val="auto"/>
        </w:rPr>
      </w:pPr>
    </w:p>
    <w:p>
      <w:pPr>
        <w:ind w:right="300" w:firstLine="629"/>
        <w:spacing w:after="0" w:line="277" w:lineRule="auto"/>
        <w:rPr>
          <w:sz w:val="20"/>
          <w:szCs w:val="20"/>
          <w:color w:val="auto"/>
        </w:rPr>
      </w:pPr>
      <w:r>
        <w:rPr>
          <w:rFonts w:ascii="Times New Roman" w:cs="Times New Roman" w:eastAsia="Times New Roman" w:hAnsi="Times New Roman"/>
          <w:sz w:val="17"/>
          <w:szCs w:val="17"/>
          <w:color w:val="auto"/>
        </w:rPr>
        <w:t>Our board of directors currently consists of seven directors, which number may be increased or decreased pursuant to our bylaws but shall never be less than the minimum number required by the Maryland General Corporation Law (which is one). Our directors are elected at each annual meeting of stockholders to serve until the next annual meeting of stockholders and until their successors are duly elected and qualified.</w:t>
      </w:r>
    </w:p>
    <w:p>
      <w:pPr>
        <w:spacing w:after="0" w:line="110"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Our charter also provides that, except for any directors who may be elected by holders of a class or series of capital stock other than our common stock, directors may be removed only for cause, as defined in our charter, and only by the affirmative vote of stockholders holding at least a majority of all the votes entitled to be cast generally for the election of directors. Vacancies on the board of directors may be filled only by the affirmative vote of a majority of the remaining directors.</w:t>
      </w:r>
    </w:p>
    <w:p>
      <w:pPr>
        <w:sectPr>
          <w:pgSz w:w="11900" w:h="16838" w:orient="portrait"/>
          <w:cols w:equalWidth="0" w:num="1">
            <w:col w:w="11240"/>
          </w:cols>
          <w:pgMar w:left="320" w:top="867" w:right="339" w:bottom="1440" w:gutter="0" w:footer="0" w:header="0"/>
        </w:sectPr>
      </w:pPr>
    </w:p>
    <w:bookmarkStart w:id="146" w:name="page147"/>
    <w:bookmarkEnd w:id="146"/>
    <w:p>
      <w:pPr>
        <w:ind w:right="20" w:firstLine="629"/>
        <w:spacing w:after="0" w:line="297" w:lineRule="auto"/>
        <w:rPr>
          <w:sz w:val="20"/>
          <w:szCs w:val="20"/>
          <w:color w:val="auto"/>
        </w:rPr>
      </w:pPr>
      <w:r>
        <w:rPr>
          <w:rFonts w:ascii="Times New Roman" w:cs="Times New Roman" w:eastAsia="Times New Roman" w:hAnsi="Times New Roman"/>
          <w:sz w:val="17"/>
          <w:szCs w:val="17"/>
          <w:color w:val="auto"/>
        </w:rPr>
        <w:t>Our bylaws provide for the election of directors, in uncontested elections, by a majority of the votes cast. In contested elections, our bylaws provide for the election of directors by a plurality of the votes cast.</w:t>
      </w:r>
    </w:p>
    <w:p>
      <w:pPr>
        <w:spacing w:after="0" w:line="93"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We have adopted a policy on majority voting in the election of directors in an uncontested election at a duly called meeting of stockholders. Pursuant to this policy, when a quorum is present, any nominee who fails to receive a majority of the votes cast for his or her election will, within ten business days following the certification of the stockholder vote, tender his or her written resignation to the Chairman of the Board for consideration by our Nominating and Corporate Governance Committee. Our Nominating and Corporate Governance Committee will consider the resignation and, within 60 days following the date of the stockholders' meeting at which the election occurred, will make a recommendation to our board of directors concerning the acceptance or rejection of the resignation.</w:t>
      </w:r>
    </w:p>
    <w:p>
      <w:pPr>
        <w:spacing w:after="0" w:line="121"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Under the policy, our board of directors will take formal action on the recommendation no later than 90 days following the date of the stockholders' meeting. In considering the recommendation, our board of directors will consider the information, factors and alternatives considered by the Nominating and Corporate Governance Committee and such additional factors, information and alternatives as the board of directors deems relevant. We will publicly disclose, in a Form 8-K filed with the SEC, the board of directors' decision within four business days after the decision is made. Our board of directors also will provide, if applicable, its reason or reasons for rejecting the tendered resignation.</w:t>
      </w:r>
    </w:p>
    <w:p>
      <w:pPr>
        <w:spacing w:after="0" w:line="119"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Our bylaws permit any eligible stockholder or group of up to 20 stockholders who has owned continuously for at least three years (as determined in accordance with our bylaws) 3% or more of our outstanding common stock to include up to a specified number of director nominees in our proxy materials for an annual meeting of stockholders, provided that the stockholders and the nominees satisfy the requirements specified in our bylaws. The maximum number of stockholder nominees permitted under the proxy access provisions of our bylaws will not exceed the greater of (i) two or (ii) 20% of the number of directors in office as of the last day on which a notice of proxy access nomination may be timely received by us. If the 20% calculation does not result in a whole number, the maximum number of stockholder nominees is the closest whole number below 20%. The proxy access provisions of our bylaws require certain information and representations to be provided or made by nominating stockholders and contain certain other procedural provisions. In addition, our bylaws provide that all nominees for director must provide certain information, representations and agreements to us in order to be eligible for election or re-election as a director.</w:t>
      </w:r>
    </w:p>
    <w:p>
      <w:pPr>
        <w:spacing w:after="0" w:line="122" w:lineRule="exact"/>
        <w:rPr>
          <w:sz w:val="20"/>
          <w:szCs w:val="20"/>
          <w:color w:val="auto"/>
        </w:rPr>
      </w:pPr>
    </w:p>
    <w:p>
      <w:pPr>
        <w:jc w:val="both"/>
        <w:ind w:right="400" w:firstLine="629"/>
        <w:spacing w:after="0" w:line="277" w:lineRule="auto"/>
        <w:rPr>
          <w:sz w:val="20"/>
          <w:szCs w:val="20"/>
          <w:color w:val="auto"/>
        </w:rPr>
      </w:pPr>
      <w:r>
        <w:rPr>
          <w:rFonts w:ascii="Times New Roman" w:cs="Times New Roman" w:eastAsia="Times New Roman" w:hAnsi="Times New Roman"/>
          <w:sz w:val="17"/>
          <w:szCs w:val="17"/>
          <w:color w:val="auto"/>
        </w:rPr>
        <w:t>Our bylaws also permit our stockholders to alter or amend the bylaws or to adopt new bylaws. Specifically, Article XIV of the bylaws permits our stockholders to alter or amend the bylaws or to adopt new bylaws by the affirmative vote of a majority of all the votes entitled to be cast on the matter. Our board of directors also has the ability to alter or amend the bylaws or to adopt new bylaws.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Restrictions on Ownership</w:t>
      </w:r>
    </w:p>
    <w:p>
      <w:pPr>
        <w:spacing w:after="0" w:line="174" w:lineRule="exact"/>
        <w:rPr>
          <w:sz w:val="20"/>
          <w:szCs w:val="20"/>
          <w:color w:val="auto"/>
        </w:rPr>
      </w:pPr>
    </w:p>
    <w:p>
      <w:pPr>
        <w:ind w:right="40" w:firstLine="629"/>
        <w:spacing w:after="0" w:line="264" w:lineRule="auto"/>
        <w:rPr>
          <w:sz w:val="20"/>
          <w:szCs w:val="20"/>
          <w:color w:val="auto"/>
        </w:rPr>
      </w:pPr>
      <w:r>
        <w:rPr>
          <w:rFonts w:ascii="Times New Roman" w:cs="Times New Roman" w:eastAsia="Times New Roman" w:hAnsi="Times New Roman"/>
          <w:sz w:val="17"/>
          <w:szCs w:val="17"/>
          <w:color w:val="auto"/>
        </w:rPr>
        <w:t>For us to qualify as a real estate investment trust ("REIT") under the Internal Revenue Code of 1986, as amended (the "Code"), not more than 50% in value of our outstanding capital stock may be owned, directly or indirectly, by five or fewer individuals, according to the definition in the Code, during the last half of a taxable year and our capital stock must be beneficially owned by 100 or more persons during at least 335 days of a taxable year of 12 months or during a proportionate part of a shorter taxable year. To satisfy the above ownership requirements and other requirements for qualification as a REIT, our charter contains certain provisions restricting the ownership or acquisition of shares of our capital stock. These restrictions on ownership and acquisition of shares of our capital stock provide, among other things, that subject to certain exceptions, no stockholder may own, or be deemed to own by virtue of certain attribution provisions of the Code, more than 9.0% of the lesser of the aggregate number or value of our outstanding shares of common stock.</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These restrictions will not preclude settlement of transactions through the NYSE.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26" w:lineRule="exact"/>
        <w:rPr>
          <w:sz w:val="20"/>
          <w:szCs w:val="20"/>
          <w:color w:val="auto"/>
        </w:rPr>
      </w:pPr>
    </w:p>
    <w:p>
      <w:pPr>
        <w:ind w:right="3640" w:firstLine="629"/>
        <w:spacing w:after="0" w:line="547" w:lineRule="auto"/>
        <w:rPr>
          <w:sz w:val="20"/>
          <w:szCs w:val="20"/>
          <w:color w:val="auto"/>
        </w:rPr>
      </w:pPr>
      <w:r>
        <w:rPr>
          <w:rFonts w:ascii="Times New Roman" w:cs="Times New Roman" w:eastAsia="Times New Roman" w:hAnsi="Times New Roman"/>
          <w:sz w:val="17"/>
          <w:szCs w:val="17"/>
          <w:color w:val="auto"/>
        </w:rPr>
        <w:t xml:space="preserve">The transfer agent and registrar for the common stock is Computershare Shareowner Services LLC. </w:t>
      </w:r>
      <w:r>
        <w:rPr>
          <w:rFonts w:ascii="Times New Roman" w:cs="Times New Roman" w:eastAsia="Times New Roman" w:hAnsi="Times New Roman"/>
          <w:sz w:val="17"/>
          <w:szCs w:val="17"/>
          <w:b w:val="1"/>
          <w:bCs w:val="1"/>
          <w:color w:val="auto"/>
        </w:rPr>
        <w:t xml:space="preserve">Certain Anti-Takeover Provisions of Maryland Law </w:t>
      </w:r>
      <w:r>
        <w:rPr>
          <w:rFonts w:ascii="Times New Roman" w:cs="Times New Roman" w:eastAsia="Times New Roman" w:hAnsi="Times New Roman"/>
          <w:sz w:val="17"/>
          <w:szCs w:val="17"/>
          <w:b w:val="1"/>
          <w:bCs w:val="1"/>
          <w:i w:val="1"/>
          <w:iCs w:val="1"/>
          <w:color w:val="auto"/>
        </w:rPr>
        <w:t>Business Combinations</w:t>
      </w:r>
    </w:p>
    <w:p>
      <w:pPr>
        <w:spacing w:after="0" w:line="210"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Under the MGCL, certain "business combinations" (including a merger, consolidation, share exchange or, in certain circumstances, an asset transfer or issuance or transfer of equity securities or reclassification of equity securities) between a Maryland corporation and any person who beneficially owns, directly or indirectly, 10% or more of the voting power of the corporation or an affiliate of the corporation who, at any time within the two-year period immediately prior to the date in</w:t>
      </w:r>
    </w:p>
    <w:p>
      <w:pPr>
        <w:sectPr>
          <w:pgSz w:w="11900" w:h="16838" w:orient="portrait"/>
          <w:cols w:equalWidth="0" w:num="1">
            <w:col w:w="11240"/>
          </w:cols>
          <w:pgMar w:left="320" w:top="868" w:right="339" w:bottom="1440" w:gutter="0" w:footer="0" w:header="0"/>
        </w:sectPr>
      </w:pPr>
    </w:p>
    <w:bookmarkStart w:id="147" w:name="page148"/>
    <w:bookmarkEnd w:id="147"/>
    <w:p>
      <w:pPr>
        <w:spacing w:after="0" w:line="261" w:lineRule="auto"/>
        <w:rPr>
          <w:sz w:val="20"/>
          <w:szCs w:val="20"/>
          <w:color w:val="auto"/>
        </w:rPr>
      </w:pPr>
      <w:r>
        <w:rPr>
          <w:rFonts w:ascii="Times New Roman" w:cs="Times New Roman" w:eastAsia="Times New Roman" w:hAnsi="Times New Roman"/>
          <w:sz w:val="17"/>
          <w:szCs w:val="17"/>
          <w:color w:val="auto"/>
        </w:rPr>
        <w:t>question, was the beneficial owner, directly or indirectly, of 10% or more of the voting power of the then-outstanding voting stock of the corporation, in each case referred to as an interested stockholder,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(a) 80% of the votes entitled to be cast by holders of outstanding shares of voting stock of the corporation and (b) two-thirds of the votes entitled to be cast by holders of voting stock of the corporation other than shares of voting stock held by the interested stockholder with whom (or with whose affiliate) the business combination is to be effected or held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 These provisions of the MGCL do not apply, however, to business combinations that are approved or exempted by a board of directors prior to the time that the interested stockholder becomes an interested stockholder. A person is not an interested stockholder under the statute if the board of directors approved in advance the transaction by which the person otherwise would have become an interested stockholder.</w:t>
      </w:r>
    </w:p>
    <w:p>
      <w:pPr>
        <w:spacing w:after="0" w:line="127" w:lineRule="exact"/>
        <w:rPr>
          <w:sz w:val="20"/>
          <w:szCs w:val="20"/>
          <w:color w:val="auto"/>
        </w:rPr>
      </w:pPr>
    </w:p>
    <w:p>
      <w:pPr>
        <w:ind w:right="20" w:firstLine="629"/>
        <w:spacing w:after="0" w:line="264" w:lineRule="auto"/>
        <w:rPr>
          <w:sz w:val="20"/>
          <w:szCs w:val="20"/>
          <w:color w:val="auto"/>
        </w:rPr>
      </w:pPr>
      <w:r>
        <w:rPr>
          <w:rFonts w:ascii="Times New Roman" w:cs="Times New Roman" w:eastAsia="Times New Roman" w:hAnsi="Times New Roman"/>
          <w:sz w:val="17"/>
          <w:szCs w:val="17"/>
          <w:color w:val="auto"/>
        </w:rPr>
        <w:t>Our board of directors may provide that its approval is subject to compliance with any terms and conditions determined by it. However, pursuant to the statute, our board of directors has by resolution opted out of these provisions of the MGCL and, consequently, the five-year prohibition and the super-majority vote requirements will not apply to business combinations between us and any interested stockholder of our company. As a result, anyone who later becomes an interested stockholder may be able to enter into business combinations with us that may not be in the best interest of our stockholders without compliance by our company with the super-majority vote requirements and the other provisions of the statute. However, no assurances can be given that such resolution will not be modified, amended or revoked in the future or that the provisions of the MGCL relative to business combinations will not be reinstated or again become applicable to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Control Share Acquisitions</w:t>
      </w:r>
    </w:p>
    <w:p>
      <w:pPr>
        <w:spacing w:after="0" w:line="176"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The MGCL provides that holders of "control shares" of a Maryland corporation acquired in a "control share acquisition" have no voting rights with respect to the control shares except to the extent approved at a special meeting of stockholders by the affirmative vote of two-thirds of the votes entitled to be cast on the matter, excluding shares of stock in a corporation in respect of which any of the following persons is entitled to exercise or direct the exercise of the voting power of shares of stock of the corporation in the election of directors: (i) a person who makes or proposes to make a control share acquisition, (ii) an officer of the corporation or (iii) an employee of the corporation who is also a director of the corporation. "Control shares" are voting shares of stock which, if aggregated with all other such shares of stock owned by the acquiror or in respect of which the acquiror is able to exercise or direct the exercise of voting power (except solely by virtue of a revocable proxy), would entitle the acquiror, directly or indirectly, to exercise or direct the exercise of, voting power in electing directors within one of the following ranges of voting power: (i) one-tenth or more but less than one-third, (ii) one-third or more but less than a majority, or (iii) a majority or more of all voting power. Control shares do not include shares the acquiring person is then entitled to vote as a result of having previously obtained stockholder approval. A "control share acquisition" means the acquisition, directly or indirectly, of control shares, subject to certain exceptions.</w:t>
      </w:r>
    </w:p>
    <w:p>
      <w:pPr>
        <w:spacing w:after="0" w:line="130" w:lineRule="exact"/>
        <w:rPr>
          <w:sz w:val="20"/>
          <w:szCs w:val="20"/>
          <w:color w:val="auto"/>
        </w:rPr>
      </w:pPr>
    </w:p>
    <w:p>
      <w:pPr>
        <w:ind w:right="120" w:firstLine="629"/>
        <w:spacing w:after="0" w:line="277" w:lineRule="auto"/>
        <w:rPr>
          <w:sz w:val="20"/>
          <w:szCs w:val="20"/>
          <w:color w:val="auto"/>
        </w:rPr>
      </w:pPr>
      <w:r>
        <w:rPr>
          <w:rFonts w:ascii="Times New Roman" w:cs="Times New Roman" w:eastAsia="Times New Roman" w:hAnsi="Times New Roman"/>
          <w:sz w:val="17"/>
          <w:szCs w:val="17"/>
          <w:color w:val="auto"/>
        </w:rPr>
        <w:t>A person who has made or proposes to make a control share acquisition, upon satisfaction of certain conditions (including an undertaking to pay expenses), may compel our board of directors to call a special meeting of stockholders to be held within 50 days of demand to consider the voting rights of the shares. If no request for a meeting is made, the corporation may itself present the question at any stockholders meeting.</w:t>
      </w:r>
    </w:p>
    <w:p>
      <w:pPr>
        <w:spacing w:after="0" w:line="110" w:lineRule="exact"/>
        <w:rPr>
          <w:sz w:val="20"/>
          <w:szCs w:val="20"/>
          <w:color w:val="auto"/>
        </w:rPr>
      </w:pPr>
    </w:p>
    <w:p>
      <w:pPr>
        <w:ind w:right="80" w:firstLine="629"/>
        <w:spacing w:after="0" w:line="264" w:lineRule="auto"/>
        <w:rPr>
          <w:sz w:val="20"/>
          <w:szCs w:val="20"/>
          <w:color w:val="auto"/>
        </w:rPr>
      </w:pPr>
      <w:r>
        <w:rPr>
          <w:rFonts w:ascii="Times New Roman" w:cs="Times New Roman" w:eastAsia="Times New Roman" w:hAnsi="Times New Roman"/>
          <w:sz w:val="17"/>
          <w:szCs w:val="17"/>
          <w:color w:val="auto"/>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acquiror or of any meeting of stockholders at which the voting rights of such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such appraisal rights may not be less than the highest price per share paid by the acquiror in the control share acquisition.</w:t>
      </w:r>
    </w:p>
    <w:p>
      <w:pPr>
        <w:spacing w:after="0" w:line="121" w:lineRule="exact"/>
        <w:rPr>
          <w:sz w:val="20"/>
          <w:szCs w:val="20"/>
          <w:color w:val="auto"/>
        </w:rPr>
      </w:pPr>
    </w:p>
    <w:p>
      <w:pPr>
        <w:ind w:right="160" w:firstLine="629"/>
        <w:spacing w:after="0" w:line="297" w:lineRule="auto"/>
        <w:rPr>
          <w:sz w:val="20"/>
          <w:szCs w:val="20"/>
          <w:color w:val="auto"/>
        </w:rPr>
      </w:pPr>
      <w:r>
        <w:rPr>
          <w:rFonts w:ascii="Times New Roman" w:cs="Times New Roman" w:eastAsia="Times New Roman" w:hAnsi="Times New Roman"/>
          <w:sz w:val="17"/>
          <w:szCs w:val="17"/>
          <w:color w:val="auto"/>
        </w:rPr>
        <w:t>The control share acquisition statute does not apply (a) to shares acquired in a merger, consolidation or share exchange if the corporation is a party to the transaction or (b) to acquisitions approved or exempted by the charter or bylaws of the corporation.</w:t>
      </w:r>
    </w:p>
    <w:p>
      <w:pPr>
        <w:spacing w:after="0" w:line="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Our bylaws contain a provision exempting from the control share acquisition statute any and all acquisitions by any person of shares of our stock.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can be no assurance that this provision will not be amended or eliminated at any time in the future.</w:t>
      </w:r>
    </w:p>
    <w:p>
      <w:pPr>
        <w:sectPr>
          <w:pgSz w:w="11900" w:h="16838" w:orient="portrait"/>
          <w:cols w:equalWidth="0" w:num="1">
            <w:col w:w="11220"/>
          </w:cols>
          <w:pgMar w:left="320" w:top="868"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i w:val="1"/>
          <w:iCs w:val="1"/>
          <w:color w:val="auto"/>
        </w:rPr>
        <w:t>Subtitle 8</w:t>
      </w:r>
    </w:p>
    <w:p>
      <w:pPr>
        <w:spacing w:after="0" w:line="176"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Subtitle 8 of Title 3 of the MGCL permits a Maryland corporation with a class of equity securities registered under the Securities Exchange Act of 1934, as amended (the "Exchange Act"), and at least three independent directors to elect to be subject, by provision in its charter or bylaws or a resolution of its board of directors and notwithstanding any contrary provision in the charter or bylaws, to any or all of the following five provisions:</w:t>
      </w:r>
    </w:p>
    <w:p>
      <w:pPr>
        <w:spacing w:after="0" w:line="110" w:lineRule="exact"/>
        <w:rPr>
          <w:sz w:val="20"/>
          <w:szCs w:val="20"/>
          <w:color w:val="auto"/>
        </w:rPr>
      </w:pPr>
    </w:p>
    <w:p>
      <w:pPr>
        <w:ind w:left="620" w:hanging="300"/>
        <w:spacing w:after="0"/>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classified board;</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two-thirds vote requirement for removing a director;</w:t>
      </w:r>
    </w:p>
    <w:p>
      <w:pPr>
        <w:spacing w:after="0" w:line="171"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the number of directors be fixed only by vote of the directors;</w:t>
      </w:r>
    </w:p>
    <w:p>
      <w:pPr>
        <w:spacing w:after="0" w:line="171" w:lineRule="exact"/>
        <w:rPr>
          <w:rFonts w:ascii="Times New Roman" w:cs="Times New Roman" w:eastAsia="Times New Roman" w:hAnsi="Times New Roman"/>
          <w:sz w:val="17"/>
          <w:szCs w:val="17"/>
          <w:color w:val="auto"/>
        </w:rPr>
      </w:pPr>
    </w:p>
    <w:p>
      <w:pPr>
        <w:ind w:left="640" w:right="240" w:hanging="320"/>
        <w:spacing w:after="0" w:line="297" w:lineRule="auto"/>
        <w:tabs>
          <w:tab w:leader="none" w:pos="63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requirement that a vacancy on the board be filled only by the remaining directors and for the remainder of the full term of the class of directors in which the vacancy occurred; and</w:t>
      </w:r>
    </w:p>
    <w:p>
      <w:pPr>
        <w:spacing w:after="0" w:line="93"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requirement for the calling of a special meeting of stockholders.</w:t>
      </w:r>
    </w:p>
    <w:p>
      <w:pPr>
        <w:spacing w:after="0" w:line="172"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Our bylaws provide, and we have elected to be subject to the provision of Subtitle 8 that requires, that a vacancy on the board be filled only by the remaining directors and for the remainder of the full term of the class of directors in which the vacancy occurred. Through provisions in our charter and bylaws unrelated to Subtitle 8, we also vest in the board the exclusive power to fix the number of directorships. If we made an election to be subject to the provision of Subtitle 8 relating to a classified board, our board of directors would automatically be classified into three classes with staggered terms of office of three years each. In such instance, the classification and staggered terms of office of the directors would make it more difficult for a third party to gain control of the board of directors since at least two annual meetings of stockholders, instead of one, generally would be required to effect a change in the majority of the board of directors.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Anti-Takeover Effect of Certain Provisions of Maryland Law</w:t>
      </w:r>
    </w:p>
    <w:p>
      <w:pPr>
        <w:spacing w:after="0" w:line="176"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17"/>
          <w:szCs w:val="17"/>
          <w:color w:val="auto"/>
        </w:rPr>
        <w:t>The business combination provisions, the control share acquisition provisions and Subtitle 8 of the MGCL, and certain other provisions of our charter and bylaws, could delay, defer or prevent a transaction or a change in control of our company that might involve a premium price for holders of securities or otherwise be in their best interests.</w:t>
      </w:r>
    </w:p>
    <w:p>
      <w:pPr>
        <w:sectPr>
          <w:pgSz w:w="11900" w:h="16838" w:orient="portrait"/>
          <w:cols w:equalWidth="0" w:num="1">
            <w:col w:w="11160"/>
          </w:cols>
          <w:pgMar w:left="320" w:top="864" w:right="419"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SERIES I PREFERRED STOCK</w:t>
      </w:r>
    </w:p>
    <w:p>
      <w:pPr>
        <w:spacing w:after="0" w:line="224" w:lineRule="exact"/>
        <w:rPr>
          <w:sz w:val="20"/>
          <w:szCs w:val="20"/>
          <w:color w:val="auto"/>
        </w:rPr>
      </w:pPr>
    </w:p>
    <w:p>
      <w:pPr>
        <w:ind w:right="80" w:firstLine="629"/>
        <w:spacing w:after="0" w:line="271" w:lineRule="auto"/>
        <w:rPr>
          <w:sz w:val="20"/>
          <w:szCs w:val="20"/>
          <w:color w:val="auto"/>
        </w:rPr>
      </w:pPr>
      <w:r>
        <w:rPr>
          <w:rFonts w:ascii="Times New Roman" w:cs="Times New Roman" w:eastAsia="Times New Roman" w:hAnsi="Times New Roman"/>
          <w:sz w:val="17"/>
          <w:szCs w:val="17"/>
          <w:i w:val="1"/>
          <w:iCs w:val="1"/>
          <w:color w:val="auto"/>
        </w:rPr>
        <w:t>The following is a summary of certain general terms of our preferred stock and certain provisions of the articles supplementary creating our Series I Preferred Stock. This description is subject to and qualified in its entirety by reference to SL Green's charter, which includes the articles supplementary relating to each series of preferred stock, and SL Green's bylaws, as amended, each of which has previously been filed with the SEC, and the MGCL. As used in this section, the terms "we," "us" or "our" refer to SL Green Realty Corp. and not any of its subsidiaries.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26" w:lineRule="exact"/>
        <w:rPr>
          <w:sz w:val="20"/>
          <w:szCs w:val="20"/>
          <w:color w:val="auto"/>
        </w:rPr>
      </w:pPr>
    </w:p>
    <w:p>
      <w:pPr>
        <w:ind w:right="20" w:firstLine="629"/>
        <w:spacing w:after="0" w:line="277" w:lineRule="auto"/>
        <w:rPr>
          <w:sz w:val="20"/>
          <w:szCs w:val="20"/>
          <w:color w:val="auto"/>
        </w:rPr>
      </w:pPr>
      <w:r>
        <w:rPr>
          <w:rFonts w:ascii="Times New Roman" w:cs="Times New Roman" w:eastAsia="Times New Roman" w:hAnsi="Times New Roman"/>
          <w:sz w:val="17"/>
          <w:szCs w:val="17"/>
          <w:color w:val="auto"/>
        </w:rPr>
        <w:t>Our charter provides that we may issue up to 25,000,000 shares of preferred stock, $0.01 par value per share which may be classified and designated in one or more series by our board of directors. As of December 31, 2024, there were 9,200,000 shares of preferred stock outstanding, consisting of shares of 6.50% Series I Preferred Stock. Company to provide updated share amounts.</w:t>
      </w:r>
    </w:p>
    <w:p>
      <w:pPr>
        <w:spacing w:after="0" w:line="162"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The issuance of preferred stock could adversely affect the voting power, dividend rights and other rights of holders of common stock. Our board of directors could establish another series of preferred stock that could, depending on the terms of the series, delay, defer or prevent a transaction or a change in control of our company that might involve a premium price for the common stock or otherwise be in the best interest of the holders thereof. Management believes that the availability of preferred stock will provide us with increased flexibility in structuring possible future financings and acquisitions and in meeting other needs that might arise.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Series I Preferred Stock is listed on the NYSE under the symbol "SLG.PRI."</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Maturity</w:t>
      </w:r>
    </w:p>
    <w:p>
      <w:pPr>
        <w:spacing w:after="0" w:line="226" w:lineRule="exact"/>
        <w:rPr>
          <w:sz w:val="20"/>
          <w:szCs w:val="20"/>
          <w:color w:val="auto"/>
        </w:rPr>
      </w:pPr>
    </w:p>
    <w:p>
      <w:pPr>
        <w:ind w:right="20" w:firstLine="629"/>
        <w:spacing w:after="0" w:line="277" w:lineRule="auto"/>
        <w:rPr>
          <w:sz w:val="20"/>
          <w:szCs w:val="20"/>
          <w:color w:val="auto"/>
        </w:rPr>
      </w:pPr>
      <w:r>
        <w:rPr>
          <w:rFonts w:ascii="Times New Roman" w:cs="Times New Roman" w:eastAsia="Times New Roman" w:hAnsi="Times New Roman"/>
          <w:sz w:val="17"/>
          <w:szCs w:val="17"/>
          <w:color w:val="auto"/>
        </w:rPr>
        <w:t>The Series I Preferred Stock has no stated maturity and is not subject to any sinking fund or mandatory redemption. Shares of the Series I Preferred Stock will remain outstanding indefinitely unless we decide to redeem or otherwise repurchase them. We are not required to set aside funds to redeem the Series I Preferred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Ranking</w:t>
      </w:r>
    </w:p>
    <w:p>
      <w:pPr>
        <w:spacing w:after="0" w:line="226"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The Series I Preferred Stock, with respect to rights to the payment of dividends and the distribution of assets upon our voluntary or involuntary liquidation, dissolution or winding up, ranks (a) senior to our common stock and all other classes or series of our capital stock issued in the future, the terms of which specifically provide that such class or series of capital stock ranks junior to the Series I Preferred Stock as to the payment of dividends and the distribution of assets upon our liquidation, dissolution or winding up, (b) on a parity with all other classes or series of our capital stock issued in the future, other than those referred to in clauses (a) and (c), the terms of which specifically provide that such classes or series of capital stock rank on a parity with the Series I Preferred Stock as to the payment of dividends and the distribution of assets upon our liquidation, dissolution or winding up, and (c) junior to all other classes or series of our capital stock issued in the future, the terms of which specifically provide that such classes or series of capital stock rank senior to the Series I Preferred Stock as to the payment of dividends and the distribution of assets upon our liquidation, dissolution or winding up.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26"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Subject to the preferential rights of holders of any class or series of our capital stock ranking senior to the Series I Preferred Stock as to the payment of dividends, holders of Series I Preferred Stock are entitled to receive, when, if and as declared by our board of directors, out of funds legally available for the payment of quarterly cumulative preferential cash dividends, an amount per share equal to 6.50% of the $25.00 liquidation preference per annum (equivalent to a fixed annual amount of $1.625 per share), payable in equal amounts of $0.40625 per share quarterly. Dividends on the Series I Preferred Stock began to accrue and were fully cumulative starting from, and including, August 10, 2012 and are payable quarterly when, if and as authorized by our board of directors, in equal amounts in arrears on the fifteenth day of each January, April, July and October or, if not a business day, then the next succeeding business day (each, a "Dividend Payment Date"), and no interest or additional dividends or other sums will accrue on the amount so payable from the Dividend Payment Date to such next succeeding business day. Any dividend payable on the Series I Preferred Stock for any portion of a dividend period that ends prior to a Dividend Payment Date will be prorated and computed on the basis of a 360-day year consisting of twelve 30-day months. Dividends are payable to holders of record as they appear in our stock records at the close of business on the applicable</w:t>
      </w:r>
    </w:p>
    <w:p>
      <w:pPr>
        <w:sectPr>
          <w:pgSz w:w="11900" w:h="16838" w:orient="portrait"/>
          <w:cols w:equalWidth="0" w:num="1">
            <w:col w:w="11240"/>
          </w:cols>
          <w:pgMar w:left="320" w:top="1076" w:right="339" w:bottom="1440" w:gutter="0" w:footer="0" w:header="0"/>
        </w:sectPr>
      </w:pPr>
    </w:p>
    <w:bookmarkStart w:id="150" w:name="page151"/>
    <w:bookmarkEnd w:id="150"/>
    <w:p>
      <w:pPr>
        <w:ind w:right="40"/>
        <w:spacing w:after="0" w:line="270" w:lineRule="auto"/>
        <w:rPr>
          <w:sz w:val="20"/>
          <w:szCs w:val="20"/>
          <w:color w:val="auto"/>
        </w:rPr>
      </w:pPr>
      <w:r>
        <w:rPr>
          <w:rFonts w:ascii="Times New Roman" w:cs="Times New Roman" w:eastAsia="Times New Roman" w:hAnsi="Times New Roman"/>
          <w:sz w:val="17"/>
          <w:szCs w:val="17"/>
          <w:color w:val="auto"/>
        </w:rPr>
        <w:t>record date, which is the first day of the calendar month in which the applicable Dividend Payment Date falls or such other date designated by our board of directors that is not more than 30 nor less than 10 days prior to such Dividend Payment Date (each, a "Dividend Record Date"). Each outstanding share of Series I Preferred Stock is entitled to receive a dividend with respect to any Dividend Record Rate equal to the dividend paid with respect to each other share of Series I Preferred Stock that is outstanding on such Dividend Record Date.</w:t>
      </w:r>
    </w:p>
    <w:p>
      <w:pPr>
        <w:spacing w:after="0" w:line="169" w:lineRule="exact"/>
        <w:rPr>
          <w:sz w:val="20"/>
          <w:szCs w:val="20"/>
          <w:color w:val="auto"/>
        </w:rPr>
      </w:pPr>
    </w:p>
    <w:p>
      <w:pPr>
        <w:ind w:right="160" w:firstLine="629"/>
        <w:spacing w:after="0" w:line="297" w:lineRule="auto"/>
        <w:rPr>
          <w:sz w:val="20"/>
          <w:szCs w:val="20"/>
          <w:color w:val="auto"/>
        </w:rPr>
      </w:pPr>
      <w:r>
        <w:rPr>
          <w:rFonts w:ascii="Times New Roman" w:cs="Times New Roman" w:eastAsia="Times New Roman" w:hAnsi="Times New Roman"/>
          <w:sz w:val="17"/>
          <w:szCs w:val="17"/>
          <w:color w:val="auto"/>
        </w:rPr>
        <w:t>No dividend on the Series I Preferred Stock can be declared or paid or set apart for payment by our board of directors if such declaration, payment or setting apart for payment would violate any of our agreements or is restricted or prohibited by law.</w:t>
      </w:r>
    </w:p>
    <w:p>
      <w:pPr>
        <w:spacing w:after="0" w:line="146"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In the event dividends are not paid in full (or a sum sufficient for such full payment is not so set apart) upon the Series I Preferred Stock and the shares of any other class or series of our capital stock ranking on a parity as to the payment of dividends with the Series I Preferred Stock, all dividends declared upon the Series I Preferred Stock and any other class or series of capital stock ranking on a parity as to the payment of dividends with the Series I Preferred Stock are declared pro rata so that the amount of dividends declared per share of Series I Preferred Stock and such other class or series of our capital stock will in all cases bear to each other the same ratio that accumulated dividends per share on the Series I Preferred Stock and such other class or series of capital stock (which will not include any accumulation in respect of unpaid dividends for prior dividend periods if such class or series of our capital stock does not have a cumulative dividend) bear to each other. No interest, or sum of money in lieu of interest, is payable in respect of any dividend payment or payments on the Series I Preferred Stock which may be in arrears.</w:t>
      </w:r>
    </w:p>
    <w:p>
      <w:pPr>
        <w:spacing w:after="0" w:line="175" w:lineRule="exact"/>
        <w:rPr>
          <w:sz w:val="20"/>
          <w:szCs w:val="20"/>
          <w:color w:val="auto"/>
        </w:rPr>
      </w:pPr>
    </w:p>
    <w:p>
      <w:pPr>
        <w:jc w:val="both"/>
        <w:ind w:right="300" w:firstLine="629"/>
        <w:spacing w:after="0" w:line="277" w:lineRule="auto"/>
        <w:rPr>
          <w:sz w:val="20"/>
          <w:szCs w:val="20"/>
          <w:color w:val="auto"/>
        </w:rPr>
      </w:pPr>
      <w:r>
        <w:rPr>
          <w:rFonts w:ascii="Times New Roman" w:cs="Times New Roman" w:eastAsia="Times New Roman" w:hAnsi="Times New Roman"/>
          <w:sz w:val="17"/>
          <w:szCs w:val="17"/>
          <w:color w:val="auto"/>
        </w:rPr>
        <w:t>Except as provided in the immediately preceding paragraph, unless full cumulative dividends on the Series I Preferred Stock and any other class or series of capital stock ranking on a parity as to the payment of dividends with the Series I Preferred Stock have been or contemporaneously are declared and paid or declared and a sum sufficient for the payment thereof set apart for payment for all past dividend periods:</w:t>
      </w:r>
    </w:p>
    <w:p>
      <w:pPr>
        <w:spacing w:after="0" w:line="110" w:lineRule="exact"/>
        <w:rPr>
          <w:sz w:val="20"/>
          <w:szCs w:val="20"/>
          <w:color w:val="auto"/>
        </w:rPr>
      </w:pPr>
    </w:p>
    <w:p>
      <w:pPr>
        <w:ind w:left="640" w:hanging="320"/>
        <w:spacing w:after="0" w:line="267" w:lineRule="auto"/>
        <w:tabs>
          <w:tab w:leader="none" w:pos="63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dividends will be declared or paid or set apart for payment and no other distribution of cash or other property will be declared or made (other than in shares of our common stock or other class or series of capital stock ranking on a parity with or junior to the Series I Preferred Stock as to the payment of dividends and the distribution of assets upon our liquidation, dissolution or winding up) on or with respect to any shares of our common stock or shares of any other class or series of our capital stock ranking, as to the payment of dividends or the distribution of assets upon our liquidation, dissolution or winding up, on a parity with or junior to the Series I Preferred Stock; and</w:t>
      </w:r>
    </w:p>
    <w:p>
      <w:pPr>
        <w:spacing w:after="0" w:line="119" w:lineRule="exact"/>
        <w:rPr>
          <w:rFonts w:ascii="Times New Roman" w:cs="Times New Roman" w:eastAsia="Times New Roman" w:hAnsi="Times New Roman"/>
          <w:sz w:val="17"/>
          <w:szCs w:val="17"/>
          <w:color w:val="auto"/>
        </w:rPr>
      </w:pPr>
    </w:p>
    <w:p>
      <w:pPr>
        <w:ind w:left="640" w:right="80" w:hanging="320"/>
        <w:spacing w:after="0" w:line="265" w:lineRule="auto"/>
        <w:tabs>
          <w:tab w:leader="none" w:pos="63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common stock or any other class or series of capital stock ranking junior to or on a parity with the Series I Preferred Stock as to the payment of dividends and the distribution of assets upon our liquidation, dissolution or winding up will be redeemed, purchased or otherwise acquired for any consideration (or any money paid or made available for a sinking fund for the redemption of any such class or series of capital stock) by us (except by conversion into or exchange for any other class or series of our capital stock ranking on a parity with or junior to the Series I Preferred Stock as to the payment of dividends and the distribution of assets upon our liquidation, dissolution or winding up or by redemption, purchase or acquisition for the purpose of maintaining our qualification as a REIT).</w:t>
      </w:r>
    </w:p>
    <w:p>
      <w:pPr>
        <w:spacing w:after="0" w:line="174"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Notwithstanding the foregoing, dividends on the Series I Preferred Stock accumulate whether or not the Company has earnings, whether or not there are funds legally available for the payment thereof, whether or not they are prohibited by the terms of the Company's or its subsidiaries' agreements and whether or not such dividends are declared. Accumulated but unpaid dividends on the Series I Preferred Stock do not bear interest and holders of the Series I Preferred Stock are not be entitled to any dividends in excess of full cumulative dividends as described above.</w:t>
      </w:r>
    </w:p>
    <w:p>
      <w:pPr>
        <w:spacing w:after="0" w:line="169" w:lineRule="exact"/>
        <w:rPr>
          <w:sz w:val="20"/>
          <w:szCs w:val="20"/>
          <w:color w:val="auto"/>
        </w:rPr>
      </w:pPr>
    </w:p>
    <w:p>
      <w:pPr>
        <w:jc w:val="both"/>
        <w:ind w:right="280" w:firstLine="629"/>
        <w:spacing w:after="0" w:line="270" w:lineRule="auto"/>
        <w:rPr>
          <w:sz w:val="20"/>
          <w:szCs w:val="20"/>
          <w:color w:val="auto"/>
        </w:rPr>
      </w:pPr>
      <w:r>
        <w:rPr>
          <w:rFonts w:ascii="Times New Roman" w:cs="Times New Roman" w:eastAsia="Times New Roman" w:hAnsi="Times New Roman"/>
          <w:sz w:val="17"/>
          <w:szCs w:val="17"/>
          <w:color w:val="auto"/>
        </w:rPr>
        <w:t>Holders of Series I Preferred Stock are not entitled to any dividend or other distribution, whether payable in cash, property or shares of any class or series of capital stock (including Series I Preferred Stock) in excess of the full cumulative dividends on the Series I Preferred Stock as described above. Any dividend payment made on the Series I Preferred Stock is first credited against the earliest accumulated but unpaid dividend due with respect to such shares which remain payable.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Liquidation Preference</w:t>
      </w:r>
    </w:p>
    <w:p>
      <w:pPr>
        <w:spacing w:after="0" w:line="226" w:lineRule="exact"/>
        <w:rPr>
          <w:sz w:val="20"/>
          <w:szCs w:val="20"/>
          <w:color w:val="auto"/>
        </w:rPr>
      </w:pPr>
    </w:p>
    <w:p>
      <w:pPr>
        <w:jc w:val="both"/>
        <w:ind w:right="20" w:firstLine="629"/>
        <w:spacing w:after="0" w:line="270" w:lineRule="auto"/>
        <w:rPr>
          <w:sz w:val="20"/>
          <w:szCs w:val="20"/>
          <w:color w:val="auto"/>
        </w:rPr>
      </w:pPr>
      <w:r>
        <w:rPr>
          <w:rFonts w:ascii="Times New Roman" w:cs="Times New Roman" w:eastAsia="Times New Roman" w:hAnsi="Times New Roman"/>
          <w:sz w:val="17"/>
          <w:szCs w:val="17"/>
          <w:color w:val="auto"/>
        </w:rPr>
        <w:t>In the event of our voluntary or involuntary liquidation, dissolution or winding up, the holders of the Series I Preferred Stock will be entitled to receive out of our assets legally available for distribution to our stockholders remaining after payment or provisions for payment of all of our debts and other liabilities, liquidating distributions, in cash or property at its fair market value as determined by our board of directors, in the amount of a liquidation preference of $25.00 per share, plus an amount equal to any accumulated dividends (whether or not earned or declared) to, but not including, the date of payment, before any</w:t>
      </w:r>
    </w:p>
    <w:p>
      <w:pPr>
        <w:sectPr>
          <w:pgSz w:w="11900" w:h="16838" w:orient="portrait"/>
          <w:cols w:equalWidth="0" w:num="1">
            <w:col w:w="11220"/>
          </w:cols>
          <w:pgMar w:left="320" w:top="1078" w:right="359" w:bottom="1440" w:gutter="0" w:footer="0" w:header="0"/>
        </w:sectPr>
      </w:pPr>
    </w:p>
    <w:bookmarkStart w:id="151" w:name="page152"/>
    <w:bookmarkEnd w:id="151"/>
    <w:p>
      <w:pPr>
        <w:ind w:right="60"/>
        <w:spacing w:after="0" w:line="261" w:lineRule="auto"/>
        <w:rPr>
          <w:sz w:val="20"/>
          <w:szCs w:val="20"/>
          <w:color w:val="auto"/>
        </w:rPr>
      </w:pPr>
      <w:r>
        <w:rPr>
          <w:rFonts w:ascii="Times New Roman" w:cs="Times New Roman" w:eastAsia="Times New Roman" w:hAnsi="Times New Roman"/>
          <w:sz w:val="17"/>
          <w:szCs w:val="17"/>
          <w:color w:val="auto"/>
        </w:rPr>
        <w:t>distribution of assets is made to holders of common stock or any other class or series of our capital stock ranking junior to the Series I Preferred Stock as to the distribution of assets upon our liquidation, dissolution or winding up, but subject to the preferential rights of the holders of shares of any class or series of our capital stock ranking senior to the Series I Preferred Stock as to the distribution of assets upon our liquidation, dissolution or winding up. After payment of the full amount of the liquidating distributions to which they are entitled, the holders of Series I Preferred Stock will have no right or claim to any of our remaining assets. None of (i) our consolidation or merger with or into another entity, (ii) a merger of another entity with or into us, (iii) a statutory stock exchange by us or</w:t>
      </w:r>
    </w:p>
    <w:p>
      <w:pPr>
        <w:spacing w:after="0" w:line="4" w:lineRule="exact"/>
        <w:rPr>
          <w:sz w:val="20"/>
          <w:szCs w:val="20"/>
          <w:color w:val="auto"/>
        </w:rPr>
      </w:pPr>
    </w:p>
    <w:p>
      <w:pPr>
        <w:ind w:right="60" w:firstLine="5"/>
        <w:spacing w:after="0" w:line="260" w:lineRule="auto"/>
        <w:tabs>
          <w:tab w:leader="none" w:pos="29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sale, lease or conveyance of all or substantially all of our property or business will be considered a liquidation, dissolution or winding up. If, upon our voluntary or involuntary liquidation, dissolution or winding up, our assets legally available for distribution to our stockholders are insufficient to make the full payment due to holders of the Series I Preferred Stock and the corresponding amounts payable on all outstanding shares of other classes or series of capital stock ranking on a parity with the Series I Preferred Stock as to the distribution of assets upon our liquidation, dissolution or winding up, then the holders of the Series I Preferred Stock and all other such classes or series of capital stock will share ratably in any such distribution of assets in proportion to the full liquidating distributions (including, if applicable, accumulated and accrued dividends) to which they would otherwise be respectively entitled. The liquidation preference of the outstanding shares of Series I Preferred Stock will not be added to our liabilities for the purpose of determining whether under the MGCL a distribution may be made to our stockholders whose preferential rights upon our dissolution are junior to those of holders of the Series I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Redemption</w:t>
      </w:r>
    </w:p>
    <w:p>
      <w:pPr>
        <w:spacing w:after="0" w:line="226"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Series I Preferred Stock is not redeemable at any time at the option of the holders thereof. The Series I Preferred Stock will not be subject to sinking fund or mandatory redemption. Since August 10, 2017, we have had the option to redeem the Series I Preferred Stock at any time, in whole or from time to time in part, at a redemption price per share of Series I Preferred Stock in cash equal to $25.00, plus (except as provided below) all dividends accumulated and unpaid (whether or not earned or authorized) on the shares of Series I Preferred Stock to, but excluding, the date of such redemption, upon giving notice as provided below. Any date fixed for redemption pursuant to the foregoing provisions is referred to as a "Series I Preferred Stock Redemption Date."</w:t>
      </w:r>
    </w:p>
    <w:p>
      <w:pPr>
        <w:spacing w:after="0" w:line="172"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In the event of any redemption, we will provide notice by publication in a newspaper of general circulation in the City of New York, such publication to be made once a week for two successive weeks commencing not less than 30 nor more than 60 days prior to the Series I Preferred Stock Redemption Date. We will deliver, not less than 30 nor more than 60 days prior to the Series I Preferred Stock Redemption Date, to each holder of record of Series I Preferred Stock to be redeemed at such holder's address as it appears on our stock transfer records, notifying such holder of our election to redeem such shares; provided that if we have reasonably concluded, based upon the advice of independent tax counsel experienced in such matters, that any redemption must be made on a date (the "Subject Date") which is earlier than 30 days after the date of such mailing in order to preserve our status as a REIT for federal income tax purposes or to comply with federal tax laws relating to our qualification as a REIT, then we may give such shorter notice as is necessary to effect such redemption on the Subject Date. In addition to any information required by law or by the applicable rules of any exchange upon which the Series I Preferred Stock may be listed or admitted to trading, the notice of redemption will state (i) the date fixed for redemption thereof, (ii) the cash redemption price, (iii) the number of shares to be redeemed (and, if fewer than all the shares of Series I Preferred Stock are to be redeemed, the number of shares to be redeemed from such holder), (iv) the place(s) where the certificates for the shares of Series I Preferred Stock, if any, are to be surrendered for payment of the redemption price in cash, and (v) that dividends on the shares to be redeemed will cease to accumulate on such redemption date.</w:t>
      </w:r>
    </w:p>
    <w:p>
      <w:pPr>
        <w:spacing w:after="0" w:line="177" w:lineRule="exact"/>
        <w:rPr>
          <w:sz w:val="20"/>
          <w:szCs w:val="20"/>
          <w:color w:val="auto"/>
        </w:rPr>
      </w:pPr>
    </w:p>
    <w:p>
      <w:pPr>
        <w:ind w:right="120" w:firstLine="629"/>
        <w:spacing w:after="0" w:line="263" w:lineRule="auto"/>
        <w:rPr>
          <w:sz w:val="20"/>
          <w:szCs w:val="20"/>
          <w:color w:val="auto"/>
        </w:rPr>
      </w:pPr>
      <w:r>
        <w:rPr>
          <w:rFonts w:ascii="Times New Roman" w:cs="Times New Roman" w:eastAsia="Times New Roman" w:hAnsi="Times New Roman"/>
          <w:sz w:val="17"/>
          <w:szCs w:val="17"/>
          <w:color w:val="auto"/>
        </w:rPr>
        <w:t>If we redeem fewer than all of the outstanding shares of Series I Preferred Stock, the number of shares of Series I Preferred Stock to be redeemed will be determined by our board of directors and the shares to be redeemed will be selected by our board of directors pro rata or by lot or in such other equitable manner as determined by our board of directors. If such redemption is to be by lot and as a result of such redemption any holder of Series I Preferred Stock would become a holder of a number of shares of Series I Preferred Stock in excess of the Ownership Limit described herein because such holder's shares of Series I Preferred Stock were not redeemed, or were only redeemed in part, then, except in certain instances, we will redeem the requisite number of shares of Series I Preferred Stock from such holder such that he will not hold in excess of the Ownership Limit subsequent to such redemption. In addition, we may redeem shares of Series I Preferred Stock in certain circumstances relating to the maintenance of our ability to qualify as a REIT for federal income tax purposes.</w:t>
      </w:r>
    </w:p>
    <w:p>
      <w:pPr>
        <w:spacing w:after="0" w:line="389"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On or after the Series I Preferred Stock Redemption Date, each holder of shares of Series I Preferred Stock to be redeemed must present and surrender the certificates, if any, representing his shares of Series I Preferred Stock to us at the place designated in the applicable notice of redemption and thereupon the cash redemption price of such shares will be paid to or on the order of the person whose name appears on such certificate representing shares of Series I Preferred Stock as the owner thereof and each surrendered certificate will be canceled. If fewer than all the shares represented by any such certificate</w:t>
      </w:r>
    </w:p>
    <w:p>
      <w:pPr>
        <w:sectPr>
          <w:pgSz w:w="11900" w:h="16838" w:orient="portrait"/>
          <w:cols w:equalWidth="0" w:num="1">
            <w:col w:w="11240"/>
          </w:cols>
          <w:pgMar w:left="320" w:top="1078" w:right="339" w:bottom="1440" w:gutter="0" w:footer="0" w:header="0"/>
        </w:sectPr>
      </w:pPr>
    </w:p>
    <w:bookmarkStart w:id="152" w:name="page153"/>
    <w:bookmarkEnd w:id="152"/>
    <w:p>
      <w:pPr>
        <w:ind w:right="100"/>
        <w:spacing w:after="0" w:line="260" w:lineRule="auto"/>
        <w:rPr>
          <w:sz w:val="20"/>
          <w:szCs w:val="20"/>
          <w:color w:val="auto"/>
        </w:rPr>
      </w:pPr>
      <w:r>
        <w:rPr>
          <w:rFonts w:ascii="Times New Roman" w:cs="Times New Roman" w:eastAsia="Times New Roman" w:hAnsi="Times New Roman"/>
          <w:sz w:val="17"/>
          <w:szCs w:val="17"/>
          <w:color w:val="auto"/>
        </w:rPr>
        <w:t>representing shares of Series I Preferred Stock are to be redeemed, a new certificate will be issued representing the unredeemed shares. If notice of redemption has been mailed or published in accordance with notice provisions described above and if the funds necessary for such redemption have been set aside by us in trust for the benefit of the holders of the Series I Preferred Stock so called for redemption, then from and after the Series I Preferred Stock Redemption Date (unless we default in payment of the redemption price), all dividends on the shares of Series I Preferred Stock called for redemption will cease to accumulate and all rights of the holders thereof, except the right to receive the redemption price thereof (including all accumulated and unpaid dividends to the Series I Preferred Stock Redemption Date), will cease and terminate and such shares will not thereafter be transferred (except with our consent) on our books, and such shares shall not be deemed to be outstanding for any purpose whatsoever. At our election, prior to a Series I Preferred Stock Redemption Date, we may irrevocably deposit the redemption price (including accumulated and unpaid dividends) of the Series I Preferred Stock so called for redemption in trust for the holders thereof with a bank or trust company, in which case the notice to holders of the Series I Preferred Stock to be redeemed will (i) state the date of such deposit, (ii) specify the office of such bank or trust company as the place of payment of the redemption price and (iii) require such holders to surrender the certificates representing such shares, if any, at such place on or about the date fixed in such redemption notice (which may not be later than such Series I Preferred Stock Redemption Date) against payment of the redemption price (including all accumulated and unpaid dividends to such Series I Preferred Stock Redemption Date). Any interest or other earnings earned on the redemption price (including all accumulated and unpaid dividends) deposited with a bank or trust company will be paid to us. Any moneys so deposited which remain unclaimed by the holders of the shares of Series I Preferred Stock at the end of two years after the Series I Preferred Stock Redemption Date will be returned to us by such bank or trust company.</w:t>
      </w:r>
    </w:p>
    <w:p>
      <w:pPr>
        <w:spacing w:after="0" w:line="180"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Notwithstanding the foregoing, unless full cumulative dividends on all shares of Series I Preferred Stock have been or contemporaneously are authorized, declared and paid or authorized, declared and a sum sufficient for the payment thereof set apart for payment for all past dividend periods, no shares of Series I Preferred Stock will be redeemed unless all outstanding shares of Series I Preferred Stock are simultaneously redeemed or exchanged; provided, however, that the foregoing will not prevent the purchase or acquisition of shares of Series I Preferred Stock pursuant to a purchase or exchange offer made on the same terms to holders of all outstanding shares of Series I Preferred Stock. In addition, unless full cumulative dividends on all outstanding shares of Series I Preferred Stock have been or contemporaneously are declared and paid or declared and a sum sufficient for the payment thereof set apart for payment for all past dividend periods, we will not purchase or otherwise acquire directly or indirectly any shares of Series I Preferred Stock or any shares of any other class or series of our capital stock ranking junior to or on a parity with the Series I Preferred Stock as to the payment of dividends or the distribution of our assets upon our liquidation, dissolution or winding up (except by conversion into or exchange for shares of any class or series of our capital stock ranking junior to the Series I Preferred Stock as to the payment of dividends or the distribution of our assets upon our liquidation, dissolution or winding up or by redemptions for the purposes of maintaining our qualification as a REIT).</w:t>
      </w:r>
    </w:p>
    <w:p>
      <w:pPr>
        <w:spacing w:after="0" w:line="179"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Immediately prior to any redemption of shares of Series I Preferred Stock, we shall pay, in cash, any accumulated and unpaid dividends to but not including the Series I Preferred Stock Redemption Date, unless such Series I Preferred Stock Redemption Date falls after a Dividend Record Date and on or prior to the corresponding Dividend Payment Date, in which case each holder of Series I Preferred Stock at the close of business on such Dividend Record Date shall be entitled to receive the dividend payable on such shares on the corresponding Dividend Payment Date notwithstanding the redemption of such shares on or prior to such Dividend Payment Date. Except as provided above, we will make no payment or allowance for unpaid dividends, whether or not in arrears, on shares of Series I Preferred Stock for which a notice of redemption has been given.</w:t>
      </w:r>
    </w:p>
    <w:p>
      <w:pPr>
        <w:spacing w:after="0" w:line="174" w:lineRule="exact"/>
        <w:rPr>
          <w:sz w:val="20"/>
          <w:szCs w:val="20"/>
          <w:color w:val="auto"/>
        </w:rPr>
      </w:pPr>
    </w:p>
    <w:p>
      <w:pPr>
        <w:ind w:right="160" w:firstLine="629"/>
        <w:spacing w:after="0" w:line="297" w:lineRule="auto"/>
        <w:rPr>
          <w:sz w:val="20"/>
          <w:szCs w:val="20"/>
          <w:color w:val="auto"/>
        </w:rPr>
      </w:pPr>
      <w:r>
        <w:rPr>
          <w:rFonts w:ascii="Times New Roman" w:cs="Times New Roman" w:eastAsia="Times New Roman" w:hAnsi="Times New Roman"/>
          <w:sz w:val="17"/>
          <w:szCs w:val="17"/>
          <w:color w:val="auto"/>
        </w:rPr>
        <w:t>Any shares of Series I Preferred Stock that we redeem will, after such redemption, have the status of authorized but unissued preferred stock, without designation as to class or series until such shares are once more designated as part of a particular class or series by our board of directors.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Conversion</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Shares of Series I Preferred Stock are not convertible into, or exchangeable for, any of our other property or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226"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Holders of Series I Preferred Stock do not have any voting rights, except as described below. Whenever dividends on any shares of Series I Preferred Stock are in arrears for six or more quarterly periods, whether or not such quarterly periods are consecutive, the number of directors then constituting the board will increase by two (if not already increased by reason of a similar arrearage with respect to any parity voting preferred stock) and the holders of Series I Preferred Stock (voting together as a single class with all other classes or series of our capital stock ranking on a parity with the Series I Preferred Stock as to the payment of dividends and the distribution of assets upon our voluntary or involuntary liquidation dissolution or winding up</w:t>
      </w:r>
    </w:p>
    <w:p>
      <w:pPr>
        <w:sectPr>
          <w:pgSz w:w="11900" w:h="16838" w:orient="portrait"/>
          <w:cols w:equalWidth="0" w:num="1">
            <w:col w:w="11240"/>
          </w:cols>
          <w:pgMar w:left="320" w:top="1078" w:right="339" w:bottom="1440" w:gutter="0" w:footer="0" w:header="0"/>
        </w:sectPr>
      </w:pPr>
    </w:p>
    <w:bookmarkStart w:id="153" w:name="page154"/>
    <w:bookmarkEnd w:id="153"/>
    <w:p>
      <w:pPr>
        <w:ind w:right="40"/>
        <w:spacing w:after="0" w:line="261" w:lineRule="auto"/>
        <w:rPr>
          <w:sz w:val="20"/>
          <w:szCs w:val="20"/>
          <w:color w:val="auto"/>
        </w:rPr>
      </w:pPr>
      <w:r>
        <w:rPr>
          <w:rFonts w:ascii="Times New Roman" w:cs="Times New Roman" w:eastAsia="Times New Roman" w:hAnsi="Times New Roman"/>
          <w:sz w:val="17"/>
          <w:szCs w:val="17"/>
          <w:color w:val="auto"/>
        </w:rPr>
        <w:t>upon which like voting rights have been conferred and are exercisable) will be entitled to vote for the election of two additional directors who will each be elected for a one-year term. Such election will be held at a special meeting of the stockholders or, in certain circumstances, at the next annual meeting of stockholders and at each subsequent annual meeting until all arrearages and the dividends on the Series I Preferred Stock and such other series of preferred stock upon which like voting rights have been conferred and are exercisable for the then current dividend period have been fully paid or have been declared and a sum sufficient for the full payment thereof has been set aside. Vacancies for directors elected by holders of Series I Preferred Stock and any other such series of preferred stock will be filled by the remaining director so elected then in office or, if there is no such remaining director, by vote of holders of a majority of the outstanding shares of Series I Preferred Stock, when they are entitled to the voting rights described above, and any other such series of preferred stock voting as a single class. A director elected by the holders of Series I Preferred Stock and any other such series of preferred stock may be removed with or without cause and only by vote of holders of a majority of the outstanding shares of Series I Preferred Stock, when they are entitled to the voting rights described above, and any other such series of preferred stock voting as a single class.</w:t>
      </w:r>
    </w:p>
    <w:p>
      <w:pPr>
        <w:spacing w:after="0" w:line="182" w:lineRule="exact"/>
        <w:rPr>
          <w:sz w:val="20"/>
          <w:szCs w:val="20"/>
          <w:color w:val="auto"/>
        </w:rPr>
      </w:pPr>
    </w:p>
    <w:p>
      <w:pPr>
        <w:jc w:val="both"/>
        <w:ind w:right="20" w:firstLine="629"/>
        <w:spacing w:after="0" w:line="263" w:lineRule="auto"/>
        <w:rPr>
          <w:sz w:val="20"/>
          <w:szCs w:val="20"/>
          <w:color w:val="auto"/>
        </w:rPr>
      </w:pPr>
      <w:r>
        <w:rPr>
          <w:rFonts w:ascii="Times New Roman" w:cs="Times New Roman" w:eastAsia="Times New Roman" w:hAnsi="Times New Roman"/>
          <w:sz w:val="17"/>
          <w:szCs w:val="17"/>
          <w:color w:val="auto"/>
        </w:rPr>
        <w:t>So long as any shares of Series I Preferred Stock remain outstanding, we will not, without the affirmative vote or consent of the holders of at least two-thirds of the shares of Series I Preferred Stock outstanding at the time, given in person or by proxy, either in writing or at a meeting (voting together as a single class with all other classes or series of our capital stock ranking on a parity with the Series I Preferred Stock as to the payment of dividends and the distribution of assets upon our voluntary or involuntary liquidation dissolution or winding up upon which like voting rights have been conferred and are exercisable),</w:t>
      </w:r>
    </w:p>
    <w:p>
      <w:pPr>
        <w:ind w:right="20" w:firstLine="5"/>
        <w:spacing w:after="0" w:line="257" w:lineRule="auto"/>
        <w:tabs>
          <w:tab w:leader="none" w:pos="209"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create or issue, or increase the authorized or issued amount of, any class or series of our capital stock ranking senior to the Series I Preferred Stock with respect to the payment of dividends or the distribution of assets upon our liquidation, dissolution or winding up, or reclassify any authorized shares of our capital stock into any such class or series of our capital stock, or create, authorize or issue any obligation or security convertible or exchangeable into or evidencing the right to purchase any such class or series of our capital stock; or (ii) amend, alter or repeal the provisions of our charter (including the articles supplementary relating to the Series I Preferred Stock), whether by merger or consolidation or otherwise (an "Event"), so as to materially and adversely affect any right, preference, privilege or voting power of such Series I Preferred Stock or the holders thereof; provided, however, with respect to the occurrence of any of the Events set forth in (ii) above, so long as shares of Series I Preferred Stock remain outstanding or are converted into like securities of the surviving or resulting entity, in each case with like preference, privilege or voting power and terms thereof materially unchanged, taking into account that upon the occurrence of an Event, we may not be the surviving entity and such surviving entity may be a non-corporate entity, the occurrence of any such Event will not be deemed to materially adversely affect such rights, preferences, privileges or voting powers of holders of Series I Preferred Stock; and provided further that</w:t>
      </w:r>
    </w:p>
    <w:p>
      <w:pPr>
        <w:spacing w:after="0" w:line="4" w:lineRule="exact"/>
        <w:rPr>
          <w:rFonts w:ascii="Times New Roman" w:cs="Times New Roman" w:eastAsia="Times New Roman" w:hAnsi="Times New Roman"/>
          <w:sz w:val="17"/>
          <w:szCs w:val="17"/>
          <w:color w:val="auto"/>
        </w:rPr>
      </w:pPr>
    </w:p>
    <w:p>
      <w:pPr>
        <w:ind w:firstLine="5"/>
        <w:spacing w:after="0" w:line="261" w:lineRule="auto"/>
        <w:tabs>
          <w:tab w:leader="none" w:pos="247"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increase in the amount of the authorized preferred stock or the creation or issuance of any other series of preferred stock, or (y) the creation, issuance or increase in the amount of authorized shares of any other class or series of our capital stock, or (z) any increase in the amount of authorized shares of Series I Preferred Stock, in each case ranking on a parity with or junior to the Series I Preferred Stock with respect to payment of dividends and the distribution of assets upon our voluntary or involuntary liquidation, dissolution or winding up, will not be deemed to materially and adversely affect such rights, preferences, privileges or voting powers. Notwithstanding the foregoing, holders of any parity preferred stock are not entitled to vote together as a class with the holders of Series I Preferred Stock on any amendment, alteration or repeal of our charter if holders of Series I Preferred Stock are affected unequally by such amendment.</w:t>
      </w:r>
    </w:p>
    <w:p>
      <w:pPr>
        <w:spacing w:after="0" w:line="175"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Holders of shares of Series I Preferred Stock are not entitled to vote with respect to any increase in total number of authorized shares of our common stock or preferred stock, any increase in the amount of the authorized Series I Preferred Stock or the creation or issuance of any other class or series of capital stock, or any increase in the number of authorized shares of Series I Preferred Stock or any other class or series of capital stock, in each case ranking on a parity with or junior to the Series I Preferred Stock with respect to the payment of dividends and the distribution of assets upon liquidation, dissolution or winding up.</w:t>
      </w:r>
    </w:p>
    <w:p>
      <w:pPr>
        <w:spacing w:after="0" w:line="169"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In addition, the holders of such Series I Preferred Stock do not have any voting rights with respect to, and the consent of the holders of Series I Preferred Stock is not required for, the taking of any corporate action, including any merger or consolidation involving us or a sale of all or substantially all of our assets, regardless of the effect that such merger, consolidation or sale may have upon the powers, preferences, voting power or other rights or privileges of the Series I Preferred Stock, except as set forth in part (ii) of the second preceding paragraph. Except as expressly set forth in the articles supplementary relating to the Series I Preferred Stock, the Series I Preferred Stock does not have any relative, participatory, optional or other special voting rights and powers.</w:t>
      </w:r>
    </w:p>
    <w:p>
      <w:pPr>
        <w:spacing w:after="0" w:line="172" w:lineRule="exact"/>
        <w:rPr>
          <w:sz w:val="20"/>
          <w:szCs w:val="20"/>
          <w:color w:val="auto"/>
        </w:rPr>
      </w:pPr>
    </w:p>
    <w:p>
      <w:pPr>
        <w:ind w:right="140" w:firstLine="629"/>
        <w:spacing w:after="0" w:line="277" w:lineRule="auto"/>
        <w:rPr>
          <w:sz w:val="20"/>
          <w:szCs w:val="20"/>
          <w:color w:val="auto"/>
        </w:rPr>
      </w:pPr>
      <w:r>
        <w:rPr>
          <w:rFonts w:ascii="Times New Roman" w:cs="Times New Roman" w:eastAsia="Times New Roman" w:hAnsi="Times New Roman"/>
          <w:sz w:val="17"/>
          <w:szCs w:val="17"/>
          <w:color w:val="auto"/>
        </w:rPr>
        <w:t>The foregoing voting provisions do not apply if, at or prior to the time when the act with respect to which such vote would otherwise be required will be effected, all outstanding shares of Series I Preferred Stock have been redeemed or called for redemption and sufficient funds shall have been deposited in trust to effect such redemption.</w:t>
      </w:r>
    </w:p>
    <w:p>
      <w:pPr>
        <w:sectPr>
          <w:pgSz w:w="11900" w:h="16838" w:orient="portrait"/>
          <w:cols w:equalWidth="0" w:num="1">
            <w:col w:w="11220"/>
          </w:cols>
          <w:pgMar w:left="320" w:top="1078" w:right="359" w:bottom="1440" w:gutter="0" w:footer="0" w:header="0"/>
        </w:sectPr>
      </w:pPr>
    </w:p>
    <w:bookmarkStart w:id="154" w:name="page155"/>
    <w:bookmarkEnd w:id="154"/>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In any matter in which the Series I Preferred Stock may vote (as expressly provided in the articles supplementary relating to the Series I Preferred Stock), each share of the Series I Preferred Stock is entitled to one vote, except that when any other class or series of our preferred stock has the right to vote with the Series I Preferred Stock as a single class on any matter, the Series I Preferred Stock and such other class or series will have with respect to such matters one vote per each $25.00 of stated liquidation preference.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Rights</w:t>
      </w:r>
    </w:p>
    <w:p>
      <w:pPr>
        <w:spacing w:after="0" w:line="226"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During any period in which we are not subject to the reporting requirements of Section 13 or 15(d) of the Exchange Act and any Series I Preferred Stock is outstanding, we will (a) transmit by mail or other permissible means under the Exchange Act to all holders of Series I Preferred Stock as their names and addresses appear in our record books and without cost to such holders, copies of reports that are substantially similar to the Annual Reports on Form 10-K and Quarterly Reports on Form 10-Q that we would have been required to file with the SEC pursuant to Section 13 or 15(d) of the Exchange Act if we were subject thereto (other than any exhibits that would have been required) and (b) within 15 days following written request, supply copies of such reports to any prospective holder of the Series I Preferred Stock. We will mail (or otherwise provide) the reports to the holders of Series I Preferred Stock within 15 days after the respective dates by which we would have been required to file such reports with the SEC if we were subject to Section 13 or 15(d) of the Exchange Act, based on the dates on which we would be required to file such periodic reports if we were a "non-accelerated filer" within the meaning of the Exchange Act.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Restrictions on Ownership and Transfer</w:t>
      </w:r>
    </w:p>
    <w:p>
      <w:pPr>
        <w:spacing w:after="0" w:line="226"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For us to qualify as a REIT under the Code, not more than 50% in value of our outstanding capital stock may be owned, directly or indirectly, by five or fewer individuals, according to the definition in the Code, during the last half of a taxable year and our capital stock must be beneficially owned by 100 or more persons during at least 335 days of a taxable year of 12 months or during a proportionate part of a shorter taxable year. To satisfy the above ownership requirements and other requirements for qualification as a REIT, our charter contains certain provisions restricting the ownership or acquisition of shares of our capital stock. In addition, further restrictions were adopted prior to the issuance of the Series I Preferred Stock. The articles supplementary classifying the Series I Preferred Stock provide that no holder of Series I Preferred Stock may own, or be deemed to own by virtue of the attribution provisions of the Code, nor may any person or entity acquire shares of our Series I Preferred Stock such that he or it would own in excess of 20% (in value or in number of shares, whichever is more restrictive) of the aggregate of the outstanding shares of Series I Preferred Stock.</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These restrictions will not preclude settlement of transactions through the NYSE.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transfer agent and registrar for the preferred stock is Computershare Shareowner Services LLC.</w:t>
      </w:r>
    </w:p>
    <w:p>
      <w:pPr>
        <w:sectPr>
          <w:pgSz w:w="11900" w:h="16838" w:orient="portrait"/>
          <w:cols w:equalWidth="0" w:num="1">
            <w:col w:w="11220"/>
          </w:cols>
          <w:pgMar w:left="320" w:top="1079" w:right="359" w:bottom="1440" w:gutter="0" w:footer="0" w:header="0"/>
        </w:sectPr>
      </w:pPr>
    </w:p>
    <w:bookmarkStart w:id="155" w:name="page156"/>
    <w:bookmarkEnd w:id="155"/>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SL Green Realty Corp.</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on November 15, 2024</w:t>
      </w:r>
    </w:p>
    <w:p>
      <w:pPr>
        <w:spacing w:after="0" w:line="11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_____________________________________________________________________________</w:t>
      </w:r>
    </w:p>
    <w:p>
      <w:pPr>
        <w:spacing w:after="0" w:line="109" w:lineRule="exact"/>
        <w:rPr>
          <w:sz w:val="20"/>
          <w:szCs w:val="20"/>
          <w:color w:val="auto"/>
        </w:rPr>
      </w:pPr>
    </w:p>
    <w:p>
      <w:pPr>
        <w:ind w:left="620" w:hanging="615"/>
        <w:spacing w:after="0"/>
        <w:tabs>
          <w:tab w:leader="none" w:pos="620" w:val="left"/>
        </w:tabs>
        <w:numPr>
          <w:ilvl w:val="0"/>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PURPOSE</w:t>
      </w:r>
    </w:p>
    <w:p>
      <w:pPr>
        <w:spacing w:after="0" w:line="126" w:lineRule="exact"/>
        <w:rPr>
          <w:sz w:val="20"/>
          <w:szCs w:val="20"/>
          <w:color w:val="auto"/>
        </w:rPr>
      </w:pPr>
    </w:p>
    <w:p>
      <w:pPr>
        <w:ind w:right="20" w:firstLine="629"/>
        <w:spacing w:after="0" w:line="256" w:lineRule="auto"/>
        <w:rPr>
          <w:sz w:val="20"/>
          <w:szCs w:val="20"/>
          <w:color w:val="auto"/>
        </w:rPr>
      </w:pPr>
      <w:r>
        <w:rPr>
          <w:rFonts w:ascii="Times New Roman" w:cs="Times New Roman" w:eastAsia="Times New Roman" w:hAnsi="Times New Roman"/>
          <w:sz w:val="21"/>
          <w:szCs w:val="21"/>
          <w:color w:val="auto"/>
        </w:rPr>
        <w:t>In the course of conducting the business of SL Green Realty Corp. (together with its subsidiaries,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you may come into possession of material information about the Company or other entities that is not available to the investing public (referenced herein as “</w:t>
      </w:r>
      <w:r>
        <w:rPr>
          <w:rFonts w:ascii="Times New Roman" w:cs="Times New Roman" w:eastAsia="Times New Roman" w:hAnsi="Times New Roman"/>
          <w:sz w:val="21"/>
          <w:szCs w:val="21"/>
          <w:b w:val="1"/>
          <w:bCs w:val="1"/>
          <w:i w:val="1"/>
          <w:iCs w:val="1"/>
          <w:color w:val="auto"/>
        </w:rPr>
        <w:t>material nonpublic information</w:t>
      </w:r>
      <w:r>
        <w:rPr>
          <w:rFonts w:ascii="Times New Roman" w:cs="Times New Roman" w:eastAsia="Times New Roman" w:hAnsi="Times New Roman"/>
          <w:sz w:val="21"/>
          <w:szCs w:val="21"/>
          <w:color w:val="auto"/>
        </w:rPr>
        <w:t>,” as explained in greater detail below). You have a legal and ethical obligation to maintain the confidentiality of material nonpublic information. Generally, it is illegal and a violation of Company policy to trade in securities of the Company or certain other entities, such as tenants, suppliers and other business partners of the Company, while you are in possession of material nonpublic information about the Company or such other entity obtained in the course of your position with the Company.</w:t>
      </w:r>
    </w:p>
    <w:p>
      <w:pPr>
        <w:spacing w:after="0" w:line="63" w:lineRule="exact"/>
        <w:rPr>
          <w:sz w:val="20"/>
          <w:szCs w:val="20"/>
          <w:color w:val="auto"/>
        </w:rPr>
      </w:pPr>
    </w:p>
    <w:p>
      <w:pPr>
        <w:ind w:right="620" w:firstLine="629"/>
        <w:spacing w:after="0" w:line="280" w:lineRule="auto"/>
        <w:rPr>
          <w:sz w:val="20"/>
          <w:szCs w:val="20"/>
          <w:color w:val="auto"/>
        </w:rPr>
      </w:pPr>
      <w:r>
        <w:rPr>
          <w:rFonts w:ascii="Times New Roman" w:cs="Times New Roman" w:eastAsia="Times New Roman" w:hAnsi="Times New Roman"/>
          <w:sz w:val="21"/>
          <w:szCs w:val="21"/>
          <w:color w:val="auto"/>
        </w:rPr>
        <w:t>The Company’s Board of Directors has adopted this Policy in order to ensure compliance with the law and to avoid the appearance of improper conduct by anyone associated with the Company.</w:t>
      </w:r>
    </w:p>
    <w:p>
      <w:pPr>
        <w:spacing w:after="0" w:line="40" w:lineRule="exact"/>
        <w:rPr>
          <w:sz w:val="20"/>
          <w:szCs w:val="20"/>
          <w:color w:val="auto"/>
        </w:rPr>
      </w:pPr>
    </w:p>
    <w:p>
      <w:pPr>
        <w:ind w:right="60" w:firstLine="629"/>
        <w:spacing w:after="0" w:line="280" w:lineRule="auto"/>
        <w:rPr>
          <w:sz w:val="20"/>
          <w:szCs w:val="20"/>
          <w:color w:val="auto"/>
        </w:rPr>
      </w:pPr>
      <w:r>
        <w:rPr>
          <w:rFonts w:ascii="Times New Roman" w:cs="Times New Roman" w:eastAsia="Times New Roman" w:hAnsi="Times New Roman"/>
          <w:sz w:val="21"/>
          <w:szCs w:val="21"/>
          <w:color w:val="auto"/>
        </w:rPr>
        <w:t>It is also Company policy to comply with applicable securities laws concerning trading on the Company’s behalf in Company securities.</w:t>
      </w:r>
    </w:p>
    <w:p>
      <w:pPr>
        <w:spacing w:after="0" w:line="49" w:lineRule="exact"/>
        <w:rPr>
          <w:sz w:val="20"/>
          <w:szCs w:val="20"/>
          <w:color w:val="auto"/>
        </w:rPr>
      </w:pPr>
    </w:p>
    <w:p>
      <w:pPr>
        <w:ind w:left="620" w:hanging="615"/>
        <w:spacing w:after="0"/>
        <w:tabs>
          <w:tab w:leader="none" w:pos="620" w:val="left"/>
        </w:tabs>
        <w:numPr>
          <w:ilvl w:val="0"/>
          <w:numId w:val="9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PERSONS SUBJECT TO THIS POLICY</w:t>
      </w:r>
    </w:p>
    <w:p>
      <w:pPr>
        <w:spacing w:after="0" w:line="117"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21"/>
          <w:szCs w:val="21"/>
          <w:color w:val="auto"/>
        </w:rPr>
        <w:t>The procedures and restrictions set forth in this Policy apply to all Company officers, directors and employees, wherever located. The Company also may determine that other persons, such as contractors or consultants, who have access to material nonpublic information, should be subject to this Policy. This Policy also applies to family members, such as spouses, minor children, adult family members who share the same household, and any other person or entity whose securities trading decisions are influenced or controlled by the officer, director or employee (collectively, “</w:t>
      </w:r>
      <w:r>
        <w:rPr>
          <w:rFonts w:ascii="Times New Roman" w:cs="Times New Roman" w:eastAsia="Times New Roman" w:hAnsi="Times New Roman"/>
          <w:sz w:val="21"/>
          <w:szCs w:val="21"/>
          <w:b w:val="1"/>
          <w:bCs w:val="1"/>
          <w:i w:val="1"/>
          <w:iCs w:val="1"/>
          <w:color w:val="auto"/>
        </w:rPr>
        <w:t>Related Insiders</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ind w:left="640" w:hanging="635"/>
        <w:spacing w:after="0"/>
        <w:tabs>
          <w:tab w:leader="none" w:pos="640"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TRANSACTIONS SUBJECT TO THIS POLICY</w:t>
      </w:r>
    </w:p>
    <w:p>
      <w:pPr>
        <w:spacing w:after="0" w:line="117" w:lineRule="exact"/>
        <w:rPr>
          <w:sz w:val="20"/>
          <w:szCs w:val="20"/>
          <w:color w:val="auto"/>
        </w:rPr>
      </w:pPr>
    </w:p>
    <w:p>
      <w:pPr>
        <w:ind w:right="220" w:firstLine="629"/>
        <w:spacing w:after="0" w:line="256" w:lineRule="auto"/>
        <w:rPr>
          <w:sz w:val="20"/>
          <w:szCs w:val="20"/>
          <w:color w:val="auto"/>
        </w:rPr>
      </w:pPr>
      <w:r>
        <w:rPr>
          <w:rFonts w:ascii="Times New Roman" w:cs="Times New Roman" w:eastAsia="Times New Roman" w:hAnsi="Times New Roman"/>
          <w:sz w:val="21"/>
          <w:szCs w:val="21"/>
          <w:color w:val="auto"/>
        </w:rPr>
        <w:t>This Policy applies to transactions in common stock, preferred stock, bonds and other debt securities, options to purchase common stock, convertible debentures and warrants, as well as derivative securities whether or not issued by the Company, such as exchange-traded put or call options or swaps relating to the Company’s securities. Transactions subject to this Policy also include gifts of Company securities, which may include gifts to trusts for estate planning purposes, as well as donations to a charitable organization. See Section VII, “Special Transactions” and Section VIII, “Prohibited Transactions” for further discussion of certain types of securities and transactions.</w:t>
      </w:r>
    </w:p>
    <w:p>
      <w:pPr>
        <w:spacing w:after="0" w:line="67" w:lineRule="exact"/>
        <w:rPr>
          <w:sz w:val="20"/>
          <w:szCs w:val="20"/>
          <w:color w:val="auto"/>
        </w:rPr>
      </w:pPr>
    </w:p>
    <w:p>
      <w:pPr>
        <w:ind w:right="40" w:firstLine="629"/>
        <w:spacing w:after="0" w:line="280" w:lineRule="auto"/>
        <w:rPr>
          <w:sz w:val="20"/>
          <w:szCs w:val="20"/>
          <w:color w:val="auto"/>
        </w:rPr>
      </w:pPr>
      <w:r>
        <w:rPr>
          <w:rFonts w:ascii="Times New Roman" w:cs="Times New Roman" w:eastAsia="Times New Roman" w:hAnsi="Times New Roman"/>
          <w:sz w:val="21"/>
          <w:szCs w:val="21"/>
          <w:color w:val="auto"/>
        </w:rPr>
        <w:t>To avoid even the appearance of impropriety, additional restrictions on trading Company securities apply to directors, officers and certain designated employees who have regular access</w:t>
      </w:r>
    </w:p>
    <w:p>
      <w:pPr>
        <w:sectPr>
          <w:pgSz w:w="11900" w:h="16838" w:orient="portrait"/>
          <w:cols w:equalWidth="0" w:num="1">
            <w:col w:w="11240"/>
          </w:cols>
          <w:pgMar w:left="320" w:top="1440" w:right="339" w:bottom="1440" w:gutter="0" w:footer="0" w:header="0"/>
        </w:sectPr>
      </w:pPr>
    </w:p>
    <w:bookmarkStart w:id="156" w:name="page157"/>
    <w:bookmarkEnd w:id="156"/>
    <w:p>
      <w:pPr>
        <w:ind w:right="340"/>
        <w:spacing w:after="0" w:line="264" w:lineRule="auto"/>
        <w:rPr>
          <w:sz w:val="20"/>
          <w:szCs w:val="20"/>
          <w:color w:val="auto"/>
        </w:rPr>
      </w:pPr>
      <w:r>
        <w:rPr>
          <w:rFonts w:ascii="Times New Roman" w:cs="Times New Roman" w:eastAsia="Times New Roman" w:hAnsi="Times New Roman"/>
          <w:sz w:val="21"/>
          <w:szCs w:val="21"/>
          <w:color w:val="auto"/>
        </w:rPr>
        <w:t>to material nonpublic information about the Company. These restrictions are set forth in Section X, “Additional Requirements for Directors, Officers and Designated Employees,” which prohibits directors, officers and designated employees from trading in Company securities outside of specified window periods and requires pre-clearance for all transactions in Company securities.</w:t>
      </w:r>
    </w:p>
    <w:p>
      <w:pPr>
        <w:spacing w:after="0" w:line="6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IV.</w:t>
        <w:tab/>
        <w:t>INDIVIDUAL RESPONSIBILITY</w:t>
      </w:r>
    </w:p>
    <w:p>
      <w:pPr>
        <w:spacing w:after="0" w:line="117" w:lineRule="exact"/>
        <w:rPr>
          <w:sz w:val="20"/>
          <w:szCs w:val="20"/>
          <w:color w:val="auto"/>
        </w:rPr>
      </w:pPr>
    </w:p>
    <w:p>
      <w:pPr>
        <w:ind w:right="40" w:firstLine="629"/>
        <w:spacing w:after="0" w:line="259" w:lineRule="auto"/>
        <w:rPr>
          <w:sz w:val="20"/>
          <w:szCs w:val="20"/>
          <w:color w:val="auto"/>
        </w:rPr>
      </w:pPr>
      <w:r>
        <w:rPr>
          <w:rFonts w:ascii="Times New Roman" w:cs="Times New Roman" w:eastAsia="Times New Roman" w:hAnsi="Times New Roman"/>
          <w:sz w:val="21"/>
          <w:szCs w:val="21"/>
          <w:color w:val="auto"/>
        </w:rPr>
        <w:t>Each person subject to this Policy is individually responsible for complying with this Policy and ensuring the compliance of any Related Insiders whose transactions are subject to this Policy. Accordingly, you should make your family and household members aware of the need to confer with you before they trade in Company securities, and you should treat all such transactions for purposes of this Policy and applicable securities laws concerning trading while in possession of material nonpublic information as if the transactions were for your own account.</w:t>
      </w:r>
    </w:p>
    <w:p>
      <w:pPr>
        <w:spacing w:after="0" w:line="61" w:lineRule="exact"/>
        <w:rPr>
          <w:sz w:val="20"/>
          <w:szCs w:val="20"/>
          <w:color w:val="auto"/>
        </w:rPr>
      </w:pPr>
    </w:p>
    <w:p>
      <w:pPr>
        <w:ind w:right="160" w:firstLine="629"/>
        <w:spacing w:after="0" w:line="264" w:lineRule="auto"/>
        <w:rPr>
          <w:sz w:val="20"/>
          <w:szCs w:val="20"/>
          <w:color w:val="auto"/>
        </w:rPr>
      </w:pPr>
      <w:r>
        <w:rPr>
          <w:rFonts w:ascii="Times New Roman" w:cs="Times New Roman" w:eastAsia="Times New Roman" w:hAnsi="Times New Roman"/>
          <w:sz w:val="21"/>
          <w:szCs w:val="21"/>
          <w:color w:val="auto"/>
        </w:rPr>
        <w:t>In all cases, the responsibility for determining whether an individual is in possession of material nonpublic information rests with that individual, and any action on the part of the Company or any other Company employee pursuant to this Policy (or otherwise) does not in any way constitute legal advice or insulate an individual from liability under applicable securities laws.</w:t>
      </w:r>
    </w:p>
    <w:p>
      <w:pPr>
        <w:spacing w:after="0" w:line="51" w:lineRule="exact"/>
        <w:rPr>
          <w:sz w:val="20"/>
          <w:szCs w:val="20"/>
          <w:color w:val="auto"/>
        </w:rPr>
      </w:pPr>
    </w:p>
    <w:p>
      <w:pPr>
        <w:ind w:left="600" w:hanging="595"/>
        <w:spacing w:after="0"/>
        <w:tabs>
          <w:tab w:leader="none" w:pos="600" w:val="left"/>
        </w:tabs>
        <w:numPr>
          <w:ilvl w:val="0"/>
          <w:numId w:val="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MATERIAL NONPUBLIC INFORMATION</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u w:val="single" w:color="auto"/>
          <w:color w:val="auto"/>
        </w:rPr>
        <w:t>What is Material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Company policy and United States laws, information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material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w:t>
      </w:r>
    </w:p>
    <w:p>
      <w:pPr>
        <w:spacing w:after="0" w:line="130" w:lineRule="exact"/>
        <w:rPr>
          <w:sz w:val="20"/>
          <w:szCs w:val="20"/>
          <w:color w:val="auto"/>
        </w:rPr>
      </w:pPr>
    </w:p>
    <w:p>
      <w:pPr>
        <w:ind w:left="640" w:hanging="320"/>
        <w:spacing w:after="0" w:line="279" w:lineRule="auto"/>
        <w:tabs>
          <w:tab w:leader="none" w:pos="635" w:val="left"/>
        </w:tabs>
        <w:numPr>
          <w:ilvl w:val="0"/>
          <w:numId w:val="99"/>
        </w:numPr>
        <w:rPr>
          <w:rFonts w:ascii="Arial" w:cs="Arial" w:eastAsia="Arial" w:hAnsi="Arial"/>
          <w:sz w:val="21"/>
          <w:szCs w:val="21"/>
          <w:color w:val="auto"/>
        </w:rPr>
      </w:pPr>
      <w:r>
        <w:rPr>
          <w:rFonts w:ascii="Times New Roman" w:cs="Times New Roman" w:eastAsia="Times New Roman" w:hAnsi="Times New Roman"/>
          <w:sz w:val="21"/>
          <w:szCs w:val="21"/>
          <w:color w:val="auto"/>
        </w:rPr>
        <w:t>there is a substantial likelihood that a reasonable investor would consider the information important in determining whether to trade in a security; or</w:t>
      </w:r>
    </w:p>
    <w:p>
      <w:pPr>
        <w:spacing w:after="0" w:line="40" w:lineRule="exact"/>
        <w:rPr>
          <w:rFonts w:ascii="Arial" w:cs="Arial" w:eastAsia="Arial" w:hAnsi="Arial"/>
          <w:sz w:val="21"/>
          <w:szCs w:val="21"/>
          <w:color w:val="auto"/>
        </w:rPr>
      </w:pPr>
    </w:p>
    <w:p>
      <w:pPr>
        <w:ind w:left="620" w:hanging="300"/>
        <w:spacing w:after="0"/>
        <w:tabs>
          <w:tab w:leader="none" w:pos="62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if made public, likely would affect the market price of a company’s securities.</w:t>
      </w:r>
    </w:p>
    <w:p>
      <w:pPr>
        <w:spacing w:after="0" w:line="113"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21"/>
          <w:szCs w:val="21"/>
          <w:color w:val="auto"/>
        </w:rPr>
        <w:t>Information may be material even if it relates to future, speculative or contingent events and even if it is significant only when considered in combination with publicly available information. Material information can be positive or negative. Nonpublic information can be material, even with respect to companies that do not have publicly-traded stock, such as those with outstanding bonds.</w:t>
      </w:r>
    </w:p>
    <w:p>
      <w:pPr>
        <w:spacing w:after="0" w:line="56" w:lineRule="exact"/>
        <w:rPr>
          <w:sz w:val="20"/>
          <w:szCs w:val="20"/>
          <w:color w:val="auto"/>
        </w:rPr>
      </w:pPr>
    </w:p>
    <w:p>
      <w:pPr>
        <w:ind w:right="560" w:firstLine="629"/>
        <w:spacing w:after="0" w:line="280" w:lineRule="auto"/>
        <w:rPr>
          <w:sz w:val="20"/>
          <w:szCs w:val="20"/>
          <w:color w:val="auto"/>
        </w:rPr>
      </w:pPr>
      <w:r>
        <w:rPr>
          <w:rFonts w:ascii="Times New Roman" w:cs="Times New Roman" w:eastAsia="Times New Roman" w:hAnsi="Times New Roman"/>
          <w:sz w:val="21"/>
          <w:szCs w:val="21"/>
          <w:color w:val="auto"/>
        </w:rPr>
        <w:t>Depending on the facts and circumstances, information that could be considered material includes, but is not limited to, information pertaining to the following:</w:t>
      </w:r>
    </w:p>
    <w:p>
      <w:pPr>
        <w:spacing w:after="0" w:line="40" w:lineRule="exact"/>
        <w:rPr>
          <w:sz w:val="20"/>
          <w:szCs w:val="20"/>
          <w:color w:val="auto"/>
        </w:rPr>
      </w:pPr>
    </w:p>
    <w:p>
      <w:pPr>
        <w:ind w:left="620" w:hanging="300"/>
        <w:spacing w:after="0"/>
        <w:tabs>
          <w:tab w:leader="none" w:pos="6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earnings announcements or guidance, or changes to previously released announcements or guidance;</w:t>
      </w:r>
    </w:p>
    <w:p>
      <w:pPr>
        <w:spacing w:after="0" w:line="125"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unpublished financial results;</w:t>
      </w:r>
    </w:p>
    <w:p>
      <w:pPr>
        <w:spacing w:after="0" w:line="112"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gain or loss of a substantial tenant;</w:t>
      </w:r>
    </w:p>
    <w:p>
      <w:pPr>
        <w:spacing w:after="0" w:line="112"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purchase or sale of property or assets;</w:t>
      </w:r>
    </w:p>
    <w:p>
      <w:pPr>
        <w:spacing w:after="0" w:line="112"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writedowns and additions to reserves for bad debts;</w:t>
      </w:r>
    </w:p>
    <w:p>
      <w:pPr>
        <w:spacing w:after="0" w:line="112"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expansion or curtailment of operations and business disruptions;</w:t>
      </w:r>
    </w:p>
    <w:p>
      <w:pPr>
        <w:sectPr>
          <w:pgSz w:w="11900" w:h="16838" w:orient="portrait"/>
          <w:cols w:equalWidth="0" w:num="1">
            <w:col w:w="11220"/>
          </w:cols>
          <w:pgMar w:left="320" w:top="1384" w:right="359" w:bottom="1440" w:gutter="0" w:footer="0" w:header="0"/>
        </w:sectPr>
      </w:pPr>
    </w:p>
    <w:bookmarkStart w:id="157" w:name="page158"/>
    <w:bookmarkEnd w:id="157"/>
    <w:p>
      <w:pPr>
        <w:ind w:left="620" w:hanging="300"/>
        <w:spacing w:after="0"/>
        <w:tabs>
          <w:tab w:leader="none" w:pos="62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cybersecurity incident or risk that may adversely impact the Company’s business, reputation or share value;</w:t>
      </w:r>
    </w:p>
    <w:p>
      <w:pPr>
        <w:spacing w:after="0" w:line="112"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pending or threatened significant litigation or government action, or the resolution thereof;</w:t>
      </w:r>
    </w:p>
    <w:p>
      <w:pPr>
        <w:spacing w:after="0" w:line="112"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pending or proposed merger, acquisition, tender offer or joint venture;</w:t>
      </w:r>
    </w:p>
    <w:p>
      <w:pPr>
        <w:spacing w:after="0" w:line="125"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analyst recommendations or debt ratings;</w:t>
      </w:r>
    </w:p>
    <w:p>
      <w:pPr>
        <w:spacing w:after="0" w:line="110" w:lineRule="exact"/>
        <w:rPr>
          <w:rFonts w:ascii="Times New Roman" w:cs="Times New Roman" w:eastAsia="Times New Roman" w:hAnsi="Times New Roman"/>
          <w:sz w:val="21"/>
          <w:szCs w:val="21"/>
          <w:color w:val="auto"/>
        </w:rPr>
      </w:pPr>
    </w:p>
    <w:p>
      <w:pPr>
        <w:ind w:left="640" w:right="280" w:hanging="320"/>
        <w:spacing w:after="0" w:line="309" w:lineRule="auto"/>
        <w:tabs>
          <w:tab w:leader="none" w:pos="63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events regarding the Company’s securities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defaults on senior securities, calls of securities for redemption, repurchase plans, stock splits, changes in dividends, changes to the rights of securityholders or an offering of additional securities);</w:t>
      </w:r>
    </w:p>
    <w:p>
      <w:pPr>
        <w:spacing w:after="0" w:line="13" w:lineRule="exact"/>
        <w:rPr>
          <w:rFonts w:ascii="Times New Roman" w:cs="Times New Roman" w:eastAsia="Times New Roman" w:hAnsi="Times New Roman"/>
          <w:sz w:val="20"/>
          <w:szCs w:val="20"/>
          <w:color w:val="auto"/>
        </w:rPr>
      </w:pPr>
    </w:p>
    <w:p>
      <w:pPr>
        <w:ind w:left="620" w:hanging="300"/>
        <w:spacing w:after="0"/>
        <w:tabs>
          <w:tab w:leader="none" w:pos="62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control of the Company or extraordinary management developments;</w:t>
      </w:r>
    </w:p>
    <w:p>
      <w:pPr>
        <w:spacing w:after="0" w:line="112"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extraordinary borrowing or other financing transactions out of the ordinary course;</w:t>
      </w:r>
    </w:p>
    <w:p>
      <w:pPr>
        <w:spacing w:after="0" w:line="125"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liquidity problems or impending bankruptcy; or</w:t>
      </w:r>
    </w:p>
    <w:p>
      <w:pPr>
        <w:spacing w:after="0" w:line="112"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auditors or auditor notification that the Company may no longer rely on an audit report.</w:t>
      </w:r>
    </w:p>
    <w:p>
      <w:pPr>
        <w:spacing w:after="0" w:line="109" w:lineRule="exact"/>
        <w:rPr>
          <w:sz w:val="20"/>
          <w:szCs w:val="20"/>
          <w:color w:val="auto"/>
        </w:rPr>
      </w:pPr>
    </w:p>
    <w:p>
      <w:pPr>
        <w:ind w:firstLine="629"/>
        <w:spacing w:after="0" w:line="266" w:lineRule="auto"/>
        <w:rPr>
          <w:sz w:val="20"/>
          <w:szCs w:val="20"/>
          <w:color w:val="auto"/>
        </w:rPr>
      </w:pPr>
      <w:r>
        <w:rPr>
          <w:rFonts w:ascii="Times New Roman" w:cs="Times New Roman" w:eastAsia="Times New Roman" w:hAnsi="Times New Roman"/>
          <w:sz w:val="21"/>
          <w:szCs w:val="21"/>
          <w:b w:val="1"/>
          <w:bCs w:val="1"/>
          <w:u w:val="single" w:color="auto"/>
          <w:color w:val="auto"/>
        </w:rPr>
        <w:t>What is Nonpublic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is considered to be nonpublic unless it has been adequately disclosed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public. This means that the information must be publicly disseminated and sufficient time must have passed for the securities markets to digest the information.</w:t>
      </w:r>
    </w:p>
    <w:p>
      <w:pPr>
        <w:spacing w:after="0" w:line="53"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21"/>
          <w:szCs w:val="21"/>
          <w:color w:val="auto"/>
        </w:rPr>
        <w:t>It is important to note that information is not necessarily public merely because it has been discussed in the press or on social media, which will sometimes report rumors. You should presume that information is nonpublic, unless you can point to the official release of that information by the Company in at least one of the following ways:</w:t>
      </w:r>
    </w:p>
    <w:p>
      <w:pPr>
        <w:spacing w:after="0" w:line="46" w:lineRule="exact"/>
        <w:rPr>
          <w:sz w:val="20"/>
          <w:szCs w:val="20"/>
          <w:color w:val="auto"/>
        </w:rPr>
      </w:pPr>
    </w:p>
    <w:p>
      <w:pPr>
        <w:ind w:left="620" w:hanging="300"/>
        <w:spacing w:after="0"/>
        <w:tabs>
          <w:tab w:leader="none" w:pos="6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publicly available filings with the U.S. Securities and Exchange Commission (the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or</w:t>
      </w:r>
    </w:p>
    <w:p>
      <w:pPr>
        <w:spacing w:after="0" w:line="116" w:lineRule="exact"/>
        <w:rPr>
          <w:rFonts w:ascii="Times New Roman" w:cs="Times New Roman" w:eastAsia="Times New Roman" w:hAnsi="Times New Roman"/>
          <w:sz w:val="21"/>
          <w:szCs w:val="21"/>
          <w:color w:val="auto"/>
        </w:rPr>
      </w:pPr>
    </w:p>
    <w:p>
      <w:pPr>
        <w:ind w:left="620" w:hanging="300"/>
        <w:spacing w:after="0"/>
        <w:tabs>
          <w:tab w:leader="none" w:pos="6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issuance of press releases via major newswire such as Dow Jones or Reuters.</w:t>
      </w:r>
    </w:p>
    <w:p>
      <w:pPr>
        <w:spacing w:after="0" w:line="113" w:lineRule="exact"/>
        <w:rPr>
          <w:sz w:val="20"/>
          <w:szCs w:val="20"/>
          <w:color w:val="auto"/>
        </w:rPr>
      </w:pPr>
    </w:p>
    <w:p>
      <w:pPr>
        <w:ind w:right="320" w:firstLine="629"/>
        <w:spacing w:after="0" w:line="263" w:lineRule="auto"/>
        <w:rPr>
          <w:sz w:val="20"/>
          <w:szCs w:val="20"/>
          <w:color w:val="auto"/>
        </w:rPr>
      </w:pPr>
      <w:r>
        <w:rPr>
          <w:rFonts w:ascii="Times New Roman" w:cs="Times New Roman" w:eastAsia="Times New Roman" w:hAnsi="Times New Roman"/>
          <w:sz w:val="21"/>
          <w:szCs w:val="21"/>
          <w:color w:val="auto"/>
        </w:rPr>
        <w:t>You may not attempt to “beat the market” by trading simultaneously with, or shortly after, the official release of material information. Although there is no fixed period for how long it takes the market to absorb information, out of prudence a person in possession of material nonpublic information should refrain from any trading activity until the second business day following the official release of such information.</w:t>
      </w:r>
    </w:p>
    <w:p>
      <w:pPr>
        <w:spacing w:after="0" w:line="52" w:lineRule="exact"/>
        <w:rPr>
          <w:sz w:val="20"/>
          <w:szCs w:val="20"/>
          <w:color w:val="auto"/>
        </w:rPr>
      </w:pPr>
    </w:p>
    <w:p>
      <w:pPr>
        <w:ind w:right="160" w:firstLine="629"/>
        <w:spacing w:after="0" w:line="264" w:lineRule="auto"/>
        <w:rPr>
          <w:sz w:val="20"/>
          <w:szCs w:val="20"/>
          <w:color w:val="auto"/>
        </w:rPr>
      </w:pPr>
      <w:r>
        <w:rPr>
          <w:rFonts w:ascii="Times New Roman" w:cs="Times New Roman" w:eastAsia="Times New Roman" w:hAnsi="Times New Roman"/>
          <w:sz w:val="21"/>
          <w:szCs w:val="21"/>
          <w:b w:val="1"/>
          <w:bCs w:val="1"/>
          <w:u w:val="single" w:color="auto"/>
          <w:color w:val="auto"/>
        </w:rPr>
        <w:t>Twenty-Twenty Hindsight</w:t>
      </w:r>
      <w:r>
        <w:rPr>
          <w:rFonts w:ascii="Times New Roman" w:cs="Times New Roman" w:eastAsia="Times New Roman" w:hAnsi="Times New Roman"/>
          <w:sz w:val="21"/>
          <w:szCs w:val="21"/>
          <w:color w:val="auto"/>
        </w:rPr>
        <w:t>. If securities transactions ever become the subject of scrutiny, they are likely to be viewed after-the-fact with the benefit of hindsight. As a result, before engaging in any transaction you should carefully consider how the transaction may be construed in hindsight. If you have any questions or uncertainties about this Policy or a proposed transaction, please ask the General Counsel.</w:t>
      </w:r>
    </w:p>
    <w:p>
      <w:pPr>
        <w:spacing w:after="0" w:line="5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VI.</w:t>
        <w:tab/>
        <w:t>“TIPPING” MATERIAL NONPUBLIC INFORMATION IS PROHIBITED</w:t>
      </w:r>
    </w:p>
    <w:p>
      <w:pPr>
        <w:spacing w:after="0" w:line="117" w:lineRule="exact"/>
        <w:rPr>
          <w:sz w:val="20"/>
          <w:szCs w:val="20"/>
          <w:color w:val="auto"/>
        </w:rPr>
      </w:pPr>
    </w:p>
    <w:p>
      <w:pPr>
        <w:ind w:right="120" w:firstLine="629"/>
        <w:spacing w:after="0" w:line="280" w:lineRule="auto"/>
        <w:rPr>
          <w:sz w:val="20"/>
          <w:szCs w:val="20"/>
          <w:color w:val="auto"/>
        </w:rPr>
      </w:pPr>
      <w:r>
        <w:rPr>
          <w:rFonts w:ascii="Times New Roman" w:cs="Times New Roman" w:eastAsia="Times New Roman" w:hAnsi="Times New Roman"/>
          <w:sz w:val="21"/>
          <w:szCs w:val="21"/>
          <w:color w:val="auto"/>
        </w:rPr>
        <w:t>In addition to trading while in possession of material nonpublic information, it is also illegal and a violation of this Policy, to provide such information to another (“</w:t>
      </w:r>
      <w:r>
        <w:rPr>
          <w:rFonts w:ascii="Times New Roman" w:cs="Times New Roman" w:eastAsia="Times New Roman" w:hAnsi="Times New Roman"/>
          <w:sz w:val="21"/>
          <w:szCs w:val="21"/>
          <w:b w:val="1"/>
          <w:bCs w:val="1"/>
          <w:i w:val="1"/>
          <w:iCs w:val="1"/>
          <w:color w:val="auto"/>
        </w:rPr>
        <w:t>tipping</w:t>
      </w:r>
      <w:r>
        <w:rPr>
          <w:rFonts w:ascii="Times New Roman" w:cs="Times New Roman" w:eastAsia="Times New Roman" w:hAnsi="Times New Roman"/>
          <w:sz w:val="21"/>
          <w:szCs w:val="21"/>
          <w:color w:val="auto"/>
        </w:rPr>
        <w:t>”) who may</w:t>
      </w:r>
    </w:p>
    <w:p>
      <w:pPr>
        <w:sectPr>
          <w:pgSz w:w="11900" w:h="16838" w:orient="portrait"/>
          <w:cols w:equalWidth="0" w:num="1">
            <w:col w:w="11220"/>
          </w:cols>
          <w:pgMar w:left="320" w:top="1384" w:right="359" w:bottom="1440" w:gutter="0" w:footer="0" w:header="0"/>
        </w:sectPr>
      </w:pPr>
    </w:p>
    <w:bookmarkStart w:id="158" w:name="page159"/>
    <w:bookmarkEnd w:id="158"/>
    <w:p>
      <w:pPr>
        <w:spacing w:after="0" w:line="306" w:lineRule="auto"/>
        <w:rPr>
          <w:sz w:val="20"/>
          <w:szCs w:val="20"/>
          <w:color w:val="auto"/>
        </w:rPr>
      </w:pPr>
      <w:r>
        <w:rPr>
          <w:rFonts w:ascii="Times New Roman" w:cs="Times New Roman" w:eastAsia="Times New Roman" w:hAnsi="Times New Roman"/>
          <w:sz w:val="20"/>
          <w:szCs w:val="20"/>
          <w:color w:val="auto"/>
        </w:rPr>
        <w:t>trade or to advise another to trade on the basis of such information. This Policy applies regardless of whether the person or entity who receives the information, the “tippee,” is related to you and regardless of whether you receive any monetary benefit from the tippee.</w:t>
      </w:r>
    </w:p>
    <w:p>
      <w:pPr>
        <w:spacing w:after="0" w:line="1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VII.</w:t>
        <w:tab/>
        <w:t>SPECIAL TRANSACTIONS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trading restrictions in this Policy do not apply in the case of the following transactions, except as specifically noted:</w:t>
      </w:r>
    </w:p>
    <w:p>
      <w:pPr>
        <w:spacing w:after="0" w:line="109" w:lineRule="exact"/>
        <w:rPr>
          <w:sz w:val="20"/>
          <w:szCs w:val="20"/>
          <w:color w:val="auto"/>
        </w:rPr>
      </w:pPr>
    </w:p>
    <w:p>
      <w:pPr>
        <w:ind w:left="1260" w:right="40" w:hanging="422"/>
        <w:spacing w:after="0" w:line="256" w:lineRule="auto"/>
        <w:tabs>
          <w:tab w:leader="none" w:pos="1260"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Employee Stock Purchase Plan. </w:t>
      </w:r>
      <w:r>
        <w:rPr>
          <w:rFonts w:ascii="Times New Roman" w:cs="Times New Roman" w:eastAsia="Times New Roman" w:hAnsi="Times New Roman"/>
          <w:sz w:val="21"/>
          <w:szCs w:val="21"/>
          <w:color w:val="auto"/>
        </w:rPr>
        <w:t>The trading restrictions in this Policy do not apply to purchases of Company stock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the employee stock purchase plan resulting from periodic payroll contributions to the plan under an election made at the time of enrollment in the plan. The trading restrictions also do not apply to purchases of Company securities resulting from lump sum contributions to the plan,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you elected to participate by lump sum payment at the beginning of the applicable enrollment period. The trading restrictions </w:t>
      </w:r>
      <w:r>
        <w:rPr>
          <w:rFonts w:ascii="Times New Roman" w:cs="Times New Roman" w:eastAsia="Times New Roman" w:hAnsi="Times New Roman"/>
          <w:sz w:val="21"/>
          <w:szCs w:val="21"/>
          <w:u w:val="single" w:color="auto"/>
          <w:color w:val="auto"/>
        </w:rPr>
        <w:t>do apply</w:t>
      </w:r>
      <w:r>
        <w:rPr>
          <w:rFonts w:ascii="Times New Roman" w:cs="Times New Roman" w:eastAsia="Times New Roman" w:hAnsi="Times New Roman"/>
          <w:sz w:val="21"/>
          <w:szCs w:val="21"/>
          <w:color w:val="auto"/>
        </w:rPr>
        <w:t>, however, to an election to participate in the plan or changes in payroll contributions made outside of an open enrollment period and to subsequent sales of Company stock purchased under the plan.</w:t>
      </w:r>
    </w:p>
    <w:p>
      <w:pPr>
        <w:spacing w:after="0" w:line="59" w:lineRule="exact"/>
        <w:rPr>
          <w:rFonts w:ascii="Times New Roman" w:cs="Times New Roman" w:eastAsia="Times New Roman" w:hAnsi="Times New Roman"/>
          <w:sz w:val="21"/>
          <w:szCs w:val="21"/>
          <w:color w:val="auto"/>
        </w:rPr>
      </w:pPr>
    </w:p>
    <w:p>
      <w:pPr>
        <w:ind w:left="1260" w:right="60" w:hanging="480"/>
        <w:spacing w:after="0" w:line="264" w:lineRule="auto"/>
        <w:tabs>
          <w:tab w:leader="none" w:pos="1260"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Operating Partnership Units. </w:t>
      </w:r>
      <w:r>
        <w:rPr>
          <w:rFonts w:ascii="Times New Roman" w:cs="Times New Roman" w:eastAsia="Times New Roman" w:hAnsi="Times New Roman"/>
          <w:sz w:val="21"/>
          <w:szCs w:val="21"/>
          <w:color w:val="auto"/>
        </w:rPr>
        <w:t>The trading restrictions in this Policy do not apply to (i) the conversion of LTIP units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SL Green Operating Partnership L.P. (the “</w:t>
      </w:r>
      <w:r>
        <w:rPr>
          <w:rFonts w:ascii="Times New Roman" w:cs="Times New Roman" w:eastAsia="Times New Roman" w:hAnsi="Times New Roman"/>
          <w:sz w:val="21"/>
          <w:szCs w:val="21"/>
          <w:b w:val="1"/>
          <w:bCs w:val="1"/>
          <w:i w:val="1"/>
          <w:iCs w:val="1"/>
          <w:color w:val="auto"/>
        </w:rPr>
        <w:t>Partnership</w:t>
      </w:r>
      <w:r>
        <w:rPr>
          <w:rFonts w:ascii="Times New Roman" w:cs="Times New Roman" w:eastAsia="Times New Roman" w:hAnsi="Times New Roman"/>
          <w:sz w:val="21"/>
          <w:szCs w:val="21"/>
          <w:color w:val="auto"/>
        </w:rPr>
        <w:t>”) into common units in the Partnership and (ii) the exchange of Partnership common units for Company common stock (but not cash) pursuant to the exchange right contained in the partnership agreement of the Partnership.</w:t>
      </w:r>
    </w:p>
    <w:p>
      <w:pPr>
        <w:spacing w:after="0" w:line="52" w:lineRule="exact"/>
        <w:rPr>
          <w:rFonts w:ascii="Times New Roman" w:cs="Times New Roman" w:eastAsia="Times New Roman" w:hAnsi="Times New Roman"/>
          <w:sz w:val="21"/>
          <w:szCs w:val="21"/>
          <w:color w:val="auto"/>
        </w:rPr>
      </w:pPr>
    </w:p>
    <w:p>
      <w:pPr>
        <w:ind w:left="1260" w:right="40" w:hanging="538"/>
        <w:spacing w:after="0" w:line="257" w:lineRule="auto"/>
        <w:tabs>
          <w:tab w:leader="none" w:pos="1260"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Stock Option Plans. </w:t>
      </w:r>
      <w:r>
        <w:rPr>
          <w:rFonts w:ascii="Times New Roman" w:cs="Times New Roman" w:eastAsia="Times New Roman" w:hAnsi="Times New Roman"/>
          <w:sz w:val="21"/>
          <w:szCs w:val="21"/>
          <w:color w:val="auto"/>
        </w:rPr>
        <w:t>The trading restrictions in this Policy do not apply to exercises of: (i) stock options where no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common stock is sold in the market to fund the option exercise price or related taxes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a net exercise or where cash is paid to exercise the option) or (ii) a tax withholding right pursuant to which a person has elected to have the Company withhold shares subject to an option to satisfy tax withholding requirements. The trading restrictions </w:t>
      </w:r>
      <w:r>
        <w:rPr>
          <w:rFonts w:ascii="Times New Roman" w:cs="Times New Roman" w:eastAsia="Times New Roman" w:hAnsi="Times New Roman"/>
          <w:sz w:val="21"/>
          <w:szCs w:val="21"/>
          <w:u w:val="single" w:color="auto"/>
          <w:color w:val="auto"/>
        </w:rPr>
        <w:t>do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apply</w:t>
      </w:r>
      <w:r>
        <w:rPr>
          <w:rFonts w:ascii="Times New Roman" w:cs="Times New Roman" w:eastAsia="Times New Roman" w:hAnsi="Times New Roman"/>
          <w:sz w:val="21"/>
          <w:szCs w:val="21"/>
          <w:color w:val="auto"/>
        </w:rPr>
        <w:t>, however, to subsequent sales of Company common stock received upon the exercise of options in which the proceeds are used to fund the option exercise price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a cashless exercise of options) or related taxes.</w:t>
      </w:r>
    </w:p>
    <w:p>
      <w:pPr>
        <w:spacing w:after="0" w:line="61" w:lineRule="exact"/>
        <w:rPr>
          <w:rFonts w:ascii="Times New Roman" w:cs="Times New Roman" w:eastAsia="Times New Roman" w:hAnsi="Times New Roman"/>
          <w:sz w:val="21"/>
          <w:szCs w:val="21"/>
          <w:color w:val="auto"/>
        </w:rPr>
      </w:pPr>
    </w:p>
    <w:p>
      <w:pPr>
        <w:ind w:left="1260" w:right="20" w:hanging="526"/>
        <w:spacing w:after="0" w:line="257" w:lineRule="auto"/>
        <w:tabs>
          <w:tab w:leader="none" w:pos="124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Restricted Stock Awards and Restricted Stock Units. </w:t>
      </w:r>
      <w:r>
        <w:rPr>
          <w:rFonts w:ascii="Times New Roman" w:cs="Times New Roman" w:eastAsia="Times New Roman" w:hAnsi="Times New Roman"/>
          <w:sz w:val="21"/>
          <w:szCs w:val="21"/>
          <w:color w:val="auto"/>
        </w:rPr>
        <w:t>The trading restrictions in this Policy do not apply to the vesting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of restricted stock or the settlement of restricted stock units, or the exercise of a tax withholding right pursuant to which you elect to have the Company withhold shares of stock to satisfy tax withholding requirements upon the vesting of any restricted stock or settlement of any restricted stock units. The trading restrictions </w:t>
      </w:r>
      <w:r>
        <w:rPr>
          <w:rFonts w:ascii="Times New Roman" w:cs="Times New Roman" w:eastAsia="Times New Roman" w:hAnsi="Times New Roman"/>
          <w:sz w:val="21"/>
          <w:szCs w:val="21"/>
          <w:u w:val="single" w:color="auto"/>
          <w:color w:val="auto"/>
        </w:rPr>
        <w:t>do apply</w:t>
      </w:r>
      <w:r>
        <w:rPr>
          <w:rFonts w:ascii="Times New Roman" w:cs="Times New Roman" w:eastAsia="Times New Roman" w:hAnsi="Times New Roman"/>
          <w:sz w:val="21"/>
          <w:szCs w:val="21"/>
          <w:color w:val="auto"/>
        </w:rPr>
        <w:t>, however, to any market sale of restricted stock or sale of Company common stock received upon the settlement of restricted stock units.</w:t>
      </w:r>
    </w:p>
    <w:p>
      <w:pPr>
        <w:spacing w:after="0" w:line="61" w:lineRule="exact"/>
        <w:rPr>
          <w:rFonts w:ascii="Times New Roman" w:cs="Times New Roman" w:eastAsia="Times New Roman" w:hAnsi="Times New Roman"/>
          <w:sz w:val="21"/>
          <w:szCs w:val="21"/>
          <w:color w:val="auto"/>
        </w:rPr>
      </w:pPr>
    </w:p>
    <w:p>
      <w:pPr>
        <w:ind w:left="1260" w:right="160" w:hanging="468"/>
        <w:spacing w:after="0" w:line="266" w:lineRule="auto"/>
        <w:tabs>
          <w:tab w:leader="none" w:pos="124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Dividend Reinvestment Plan. </w:t>
      </w:r>
      <w:r>
        <w:rPr>
          <w:rFonts w:ascii="Times New Roman" w:cs="Times New Roman" w:eastAsia="Times New Roman" w:hAnsi="Times New Roman"/>
          <w:sz w:val="21"/>
          <w:szCs w:val="21"/>
          <w:color w:val="auto"/>
        </w:rPr>
        <w:t>The trading restrictions in this Policy do not apply to purchases of Company securities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under the Company’s dividend reinvestment plan resulting from your reinvestment of dividends paid on Company securities. The trading restrictions </w:t>
      </w:r>
      <w:r>
        <w:rPr>
          <w:rFonts w:ascii="Times New Roman" w:cs="Times New Roman" w:eastAsia="Times New Roman" w:hAnsi="Times New Roman"/>
          <w:sz w:val="21"/>
          <w:szCs w:val="21"/>
          <w:u w:val="single" w:color="auto"/>
          <w:color w:val="auto"/>
        </w:rPr>
        <w:t>do apply</w:t>
      </w:r>
      <w:r>
        <w:rPr>
          <w:rFonts w:ascii="Times New Roman" w:cs="Times New Roman" w:eastAsia="Times New Roman" w:hAnsi="Times New Roman"/>
          <w:sz w:val="21"/>
          <w:szCs w:val="21"/>
          <w:color w:val="auto"/>
        </w:rPr>
        <w:t>, however, to: (i) voluntary purchases of</w:t>
      </w:r>
    </w:p>
    <w:p>
      <w:pPr>
        <w:sectPr>
          <w:pgSz w:w="11900" w:h="16838" w:orient="portrait"/>
          <w:cols w:equalWidth="0" w:num="1">
            <w:col w:w="11240"/>
          </w:cols>
          <w:pgMar w:left="320" w:top="1384" w:right="339" w:bottom="1440" w:gutter="0" w:footer="0" w:header="0"/>
        </w:sectPr>
      </w:pPr>
    </w:p>
    <w:bookmarkStart w:id="159" w:name="page160"/>
    <w:bookmarkEnd w:id="159"/>
    <w:p>
      <w:pPr>
        <w:ind w:left="1260" w:right="60"/>
        <w:spacing w:after="0" w:line="264" w:lineRule="auto"/>
        <w:rPr>
          <w:sz w:val="20"/>
          <w:szCs w:val="20"/>
          <w:color w:val="auto"/>
        </w:rPr>
      </w:pPr>
      <w:r>
        <w:rPr>
          <w:rFonts w:ascii="Times New Roman" w:cs="Times New Roman" w:eastAsia="Times New Roman" w:hAnsi="Times New Roman"/>
          <w:sz w:val="21"/>
          <w:szCs w:val="21"/>
          <w:color w:val="auto"/>
        </w:rPr>
        <w:t>Company securities resulting from additional contributions you choose to make to the dividend reinvestment plan; (ii) your election to participate in the plan or change your level of participation in the plan; and (iii) your sale of any Company securities purchased pursuant to the plan.</w:t>
      </w:r>
    </w:p>
    <w:p>
      <w:pPr>
        <w:spacing w:after="0" w:line="65" w:lineRule="exact"/>
        <w:rPr>
          <w:sz w:val="20"/>
          <w:szCs w:val="20"/>
          <w:color w:val="auto"/>
        </w:rPr>
      </w:pPr>
    </w:p>
    <w:p>
      <w:pPr>
        <w:jc w:val="both"/>
        <w:ind w:left="1260" w:right="680" w:hanging="526"/>
        <w:spacing w:after="0" w:line="266" w:lineRule="auto"/>
        <w:tabs>
          <w:tab w:leader="none" w:pos="126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Other Similar Transactions. </w:t>
      </w:r>
      <w:r>
        <w:rPr>
          <w:rFonts w:ascii="Times New Roman" w:cs="Times New Roman" w:eastAsia="Times New Roman" w:hAnsi="Times New Roman"/>
          <w:sz w:val="21"/>
          <w:szCs w:val="21"/>
          <w:color w:val="auto"/>
        </w:rPr>
        <w:t>Any other purchase of Company securities directly from the Company or sales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securities directly to the Company may be exempted from the trading restrictions of this Policy with approval by the General Counsel or the Board of Directors.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VIII.  PROHIBITED TRANSACTIONS</w:t>
      </w:r>
    </w:p>
    <w:p>
      <w:pPr>
        <w:spacing w:after="0" w:line="117" w:lineRule="exact"/>
        <w:rPr>
          <w:sz w:val="20"/>
          <w:szCs w:val="20"/>
          <w:color w:val="auto"/>
        </w:rPr>
      </w:pPr>
    </w:p>
    <w:p>
      <w:pPr>
        <w:ind w:right="480" w:firstLine="629"/>
        <w:spacing w:after="0" w:line="293" w:lineRule="auto"/>
        <w:rPr>
          <w:sz w:val="20"/>
          <w:szCs w:val="20"/>
          <w:color w:val="auto"/>
        </w:rPr>
      </w:pPr>
      <w:r>
        <w:rPr>
          <w:rFonts w:ascii="Times New Roman" w:cs="Times New Roman" w:eastAsia="Times New Roman" w:hAnsi="Times New Roman"/>
          <w:sz w:val="21"/>
          <w:szCs w:val="21"/>
          <w:color w:val="auto"/>
        </w:rPr>
        <w:t>Due to the heightened legal risk associated with the following transactions, the individuals subject to this Policy may not engage in the following:</w:t>
      </w:r>
    </w:p>
    <w:p>
      <w:pPr>
        <w:spacing w:after="0" w:line="23" w:lineRule="exact"/>
        <w:rPr>
          <w:sz w:val="20"/>
          <w:szCs w:val="20"/>
          <w:color w:val="auto"/>
        </w:rPr>
      </w:pPr>
    </w:p>
    <w:p>
      <w:pPr>
        <w:ind w:left="1260" w:hanging="422"/>
        <w:spacing w:after="0" w:line="256" w:lineRule="auto"/>
        <w:tabs>
          <w:tab w:leader="none" w:pos="126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Publicly-Traded Options. </w:t>
      </w:r>
      <w:r>
        <w:rPr>
          <w:rFonts w:ascii="Times New Roman" w:cs="Times New Roman" w:eastAsia="Times New Roman" w:hAnsi="Times New Roman"/>
          <w:sz w:val="21"/>
          <w:szCs w:val="21"/>
          <w:color w:val="auto"/>
        </w:rPr>
        <w:t>You may not trade in options, warrants, puts and calls or similar instruments on Company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securities. Given the relatively short term of publicly-traded options, transactions in options may create the appearance that a director, officer or other employee is trading based on material nonpublic information and focus a director’s, officer’s or other employee’s attention on short-term performance at the expense of the Company’s long-term objectives.</w:t>
      </w:r>
    </w:p>
    <w:p>
      <w:pPr>
        <w:spacing w:after="0" w:line="75" w:lineRule="exact"/>
        <w:rPr>
          <w:rFonts w:ascii="Times New Roman" w:cs="Times New Roman" w:eastAsia="Times New Roman" w:hAnsi="Times New Roman"/>
          <w:sz w:val="21"/>
          <w:szCs w:val="21"/>
          <w:color w:val="auto"/>
        </w:rPr>
      </w:pPr>
    </w:p>
    <w:p>
      <w:pPr>
        <w:ind w:left="1260" w:right="80" w:hanging="480"/>
        <w:spacing w:after="0" w:line="256" w:lineRule="auto"/>
        <w:tabs>
          <w:tab w:leader="none" w:pos="126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Short Sales. </w:t>
      </w:r>
      <w:r>
        <w:rPr>
          <w:rFonts w:ascii="Times New Roman" w:cs="Times New Roman" w:eastAsia="Times New Roman" w:hAnsi="Times New Roman"/>
          <w:sz w:val="21"/>
          <w:szCs w:val="21"/>
          <w:color w:val="auto"/>
        </w:rPr>
        <w:t>You may not engage in short sales of Company securities. A short sale has occurred if the seller (i) does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not own the securities sold or (ii) does own the securities sold, but does not deliver them within 20 days or place them in the mail within five days of the sale. Short sales may reduce a seller’s incentive to seek to improve the Company’s performance and often have the potential to signal to the market that the seller lacks confidence in the Company’s prospects.</w:t>
      </w:r>
    </w:p>
    <w:p>
      <w:pPr>
        <w:spacing w:after="0" w:line="75" w:lineRule="exact"/>
        <w:rPr>
          <w:rFonts w:ascii="Times New Roman" w:cs="Times New Roman" w:eastAsia="Times New Roman" w:hAnsi="Times New Roman"/>
          <w:sz w:val="21"/>
          <w:szCs w:val="21"/>
          <w:color w:val="auto"/>
        </w:rPr>
      </w:pPr>
    </w:p>
    <w:p>
      <w:pPr>
        <w:jc w:val="both"/>
        <w:ind w:left="1260" w:right="340" w:hanging="538"/>
        <w:spacing w:after="0" w:line="266" w:lineRule="auto"/>
        <w:tabs>
          <w:tab w:leader="none" w:pos="126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Margin Accounts and Pledges. </w:t>
      </w:r>
      <w:r>
        <w:rPr>
          <w:rFonts w:ascii="Times New Roman" w:cs="Times New Roman" w:eastAsia="Times New Roman" w:hAnsi="Times New Roman"/>
          <w:sz w:val="21"/>
          <w:szCs w:val="21"/>
          <w:color w:val="auto"/>
        </w:rPr>
        <w:t>Because a margin sale or foreclosure sale may occur at a time when the pledgor 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aware of material nonpublic information or otherwise is not permitted to trade in Company securities, you may not hold Company securities in a margin account or otherwise pledge Company securities as collateral for a loan.</w:t>
      </w:r>
    </w:p>
    <w:p>
      <w:pPr>
        <w:spacing w:after="0" w:line="49" w:lineRule="exact"/>
        <w:rPr>
          <w:rFonts w:ascii="Times New Roman" w:cs="Times New Roman" w:eastAsia="Times New Roman" w:hAnsi="Times New Roman"/>
          <w:sz w:val="21"/>
          <w:szCs w:val="21"/>
          <w:color w:val="auto"/>
        </w:rPr>
      </w:pPr>
    </w:p>
    <w:p>
      <w:pPr>
        <w:ind w:left="1260" w:right="100" w:hanging="526"/>
        <w:spacing w:after="0" w:line="257" w:lineRule="auto"/>
        <w:tabs>
          <w:tab w:leader="none" w:pos="1246"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Hedging Transactions. </w:t>
      </w:r>
      <w:r>
        <w:rPr>
          <w:rFonts w:ascii="Times New Roman" w:cs="Times New Roman" w:eastAsia="Times New Roman" w:hAnsi="Times New Roman"/>
          <w:sz w:val="21"/>
          <w:szCs w:val="21"/>
          <w:color w:val="auto"/>
        </w:rPr>
        <w:t>You may not engage (directly or indirectly) in hedging transactions, or otherwise engage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transactions that hedge or offset, or are designed to hedge or offset, any decrease in the market value of Company securities. Hedging transactions include (but are not limited to) collars, equity swaps, exchange funds and prepaid variable forward sale contracts. Hedging transactions may allow a director, officer or other employee to continue to own Company securities, but without the full risks and rewards of ownership. This may lead to the director, officer or other employee no longer having the same objectives as the Company’s other shareholders.</w:t>
      </w:r>
    </w:p>
    <w:p>
      <w:pPr>
        <w:spacing w:after="0" w:line="61" w:lineRule="exact"/>
        <w:rPr>
          <w:rFonts w:ascii="Times New Roman" w:cs="Times New Roman" w:eastAsia="Times New Roman" w:hAnsi="Times New Roman"/>
          <w:sz w:val="21"/>
          <w:szCs w:val="21"/>
          <w:color w:val="auto"/>
        </w:rPr>
      </w:pPr>
    </w:p>
    <w:p>
      <w:pPr>
        <w:ind w:left="1260" w:right="340" w:hanging="468"/>
        <w:spacing w:after="0" w:line="272" w:lineRule="auto"/>
        <w:tabs>
          <w:tab w:leader="none" w:pos="1246"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Standing and Limit Orders. </w:t>
      </w:r>
      <w:r>
        <w:rPr>
          <w:rFonts w:ascii="Times New Roman" w:cs="Times New Roman" w:eastAsia="Times New Roman" w:hAnsi="Times New Roman"/>
          <w:sz w:val="21"/>
          <w:szCs w:val="21"/>
          <w:color w:val="auto"/>
        </w:rPr>
        <w:t>You may not place standing or limit orders on Company securities, unless executed as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part of an approved Rule 10b5-1 Plan discussed in section IX of this Policy. Standing and limit orders create heightened risks for insider trading violations because there is no control over the timing of</w:t>
      </w:r>
    </w:p>
    <w:p>
      <w:pPr>
        <w:sectPr>
          <w:pgSz w:w="11900" w:h="16838" w:orient="portrait"/>
          <w:cols w:equalWidth="0" w:num="1">
            <w:col w:w="11240"/>
          </w:cols>
          <w:pgMar w:left="320" w:top="1384" w:right="339" w:bottom="1440" w:gutter="0" w:footer="0" w:header="0"/>
        </w:sectPr>
      </w:pPr>
    </w:p>
    <w:bookmarkStart w:id="160" w:name="page161"/>
    <w:bookmarkEnd w:id="160"/>
    <w:p>
      <w:pPr>
        <w:ind w:left="1260" w:right="680"/>
        <w:spacing w:after="0" w:line="280" w:lineRule="auto"/>
        <w:rPr>
          <w:sz w:val="20"/>
          <w:szCs w:val="20"/>
          <w:color w:val="auto"/>
        </w:rPr>
      </w:pPr>
      <w:r>
        <w:rPr>
          <w:rFonts w:ascii="Times New Roman" w:cs="Times New Roman" w:eastAsia="Times New Roman" w:hAnsi="Times New Roman"/>
          <w:sz w:val="21"/>
          <w:szCs w:val="21"/>
          <w:color w:val="auto"/>
        </w:rPr>
        <w:t>purchases or sales that result from standing instructions to a broker, and as a result, the broker could execute a transaction when you possess material nonpublic information.</w:t>
      </w:r>
    </w:p>
    <w:p>
      <w:pPr>
        <w:spacing w:after="0" w:line="3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IX.</w:t>
        <w:tab/>
        <w:t>RULE 10B5-1 TRADING PLANS</w:t>
      </w:r>
    </w:p>
    <w:p>
      <w:pPr>
        <w:spacing w:after="0" w:line="130" w:lineRule="exact"/>
        <w:rPr>
          <w:sz w:val="20"/>
          <w:szCs w:val="20"/>
          <w:color w:val="auto"/>
        </w:rPr>
      </w:pPr>
    </w:p>
    <w:p>
      <w:pPr>
        <w:ind w:right="60" w:firstLine="629"/>
        <w:spacing w:after="0" w:line="254" w:lineRule="auto"/>
        <w:rPr>
          <w:sz w:val="20"/>
          <w:szCs w:val="20"/>
          <w:color w:val="auto"/>
        </w:rPr>
      </w:pPr>
      <w:r>
        <w:rPr>
          <w:rFonts w:ascii="Times New Roman" w:cs="Times New Roman" w:eastAsia="Times New Roman" w:hAnsi="Times New Roman"/>
          <w:sz w:val="21"/>
          <w:szCs w:val="21"/>
          <w:color w:val="auto"/>
        </w:rPr>
        <w:t>Notwithstanding the prohibition against insider trading, SEC Rule 10b5-1 provides an affirmative defense against insider trading liability under Rule 10b-5. A person subject to this Policy can rely on this defense and trade in Company securities, regardless of their awareness of material nonpublic information, if the transaction occurs pursuant to a pre-arranged written trading plan (“</w:t>
      </w:r>
      <w:r>
        <w:rPr>
          <w:rFonts w:ascii="Times New Roman" w:cs="Times New Roman" w:eastAsia="Times New Roman" w:hAnsi="Times New Roman"/>
          <w:sz w:val="21"/>
          <w:szCs w:val="21"/>
          <w:b w:val="1"/>
          <w:bCs w:val="1"/>
          <w:i w:val="1"/>
          <w:iCs w:val="1"/>
          <w:color w:val="auto"/>
        </w:rPr>
        <w:t>Rule 10b5-1 Plan</w:t>
      </w:r>
      <w:r>
        <w:rPr>
          <w:rFonts w:ascii="Times New Roman" w:cs="Times New Roman" w:eastAsia="Times New Roman" w:hAnsi="Times New Roman"/>
          <w:sz w:val="21"/>
          <w:szCs w:val="21"/>
          <w:color w:val="auto"/>
        </w:rPr>
        <w:t>”) that was entered into when the person was not in possession of material nonpublic information and that complies with the requirements of Rule 10b5-1. Directors and officers subject to Section 16 of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(collectively, “</w:t>
      </w:r>
      <w:r>
        <w:rPr>
          <w:rFonts w:ascii="Times New Roman" w:cs="Times New Roman" w:eastAsia="Times New Roman" w:hAnsi="Times New Roman"/>
          <w:sz w:val="21"/>
          <w:szCs w:val="21"/>
          <w:b w:val="1"/>
          <w:bCs w:val="1"/>
          <w:i w:val="1"/>
          <w:iCs w:val="1"/>
          <w:color w:val="auto"/>
        </w:rPr>
        <w:t>Section 16 Insiders</w:t>
      </w:r>
      <w:r>
        <w:rPr>
          <w:rFonts w:ascii="Times New Roman" w:cs="Times New Roman" w:eastAsia="Times New Roman" w:hAnsi="Times New Roman"/>
          <w:sz w:val="21"/>
          <w:szCs w:val="21"/>
          <w:color w:val="auto"/>
        </w:rPr>
        <w:t>”) should be aware that the Company will be required to make quarterly disclosures regarding all Rule 10b5-1 Plans entered into, amended or terminated by Section 16 Insiders and to include the material terms of such plans, other than pricing information.</w:t>
      </w:r>
    </w:p>
    <w:p>
      <w:pPr>
        <w:spacing w:after="0" w:line="67" w:lineRule="exact"/>
        <w:rPr>
          <w:sz w:val="20"/>
          <w:szCs w:val="20"/>
          <w:color w:val="auto"/>
        </w:rPr>
      </w:pPr>
    </w:p>
    <w:p>
      <w:pPr>
        <w:jc w:val="both"/>
        <w:ind w:right="40" w:firstLine="629"/>
        <w:spacing w:after="0" w:line="259" w:lineRule="auto"/>
        <w:rPr>
          <w:sz w:val="20"/>
          <w:szCs w:val="20"/>
          <w:color w:val="auto"/>
        </w:rPr>
      </w:pPr>
      <w:r>
        <w:rPr>
          <w:rFonts w:ascii="Times New Roman" w:cs="Times New Roman" w:eastAsia="Times New Roman" w:hAnsi="Times New Roman"/>
          <w:sz w:val="21"/>
          <w:szCs w:val="21"/>
          <w:color w:val="auto"/>
        </w:rPr>
        <w:t>Anyone subject to this Policy who wishes to enter into a Rule 10b5-1 Plan must submit the Rule 10b5-1 Plan to the General Counsel for approval at least five business days prior to the planned entry into the Rule 10b5-1 Plan. Rule 10b5-1 Plans may not be adopted by a person when he or she is in possession of material nonpublic information about the Company or its securities and must comply with the requirements of Rule 10b5-1 (including specified waiting periods and limitations on multiple overlapping plans and single trade plans).</w:t>
      </w:r>
    </w:p>
    <w:p>
      <w:pPr>
        <w:spacing w:after="0" w:line="61" w:lineRule="exact"/>
        <w:rPr>
          <w:sz w:val="20"/>
          <w:szCs w:val="20"/>
          <w:color w:val="auto"/>
        </w:rPr>
      </w:pPr>
    </w:p>
    <w:p>
      <w:pPr>
        <w:ind w:right="40" w:firstLine="629"/>
        <w:spacing w:after="0" w:line="255" w:lineRule="auto"/>
        <w:rPr>
          <w:sz w:val="20"/>
          <w:szCs w:val="20"/>
          <w:color w:val="auto"/>
        </w:rPr>
      </w:pPr>
      <w:r>
        <w:rPr>
          <w:rFonts w:ascii="Times New Roman" w:cs="Times New Roman" w:eastAsia="Times New Roman" w:hAnsi="Times New Roman"/>
          <w:sz w:val="21"/>
          <w:szCs w:val="21"/>
          <w:color w:val="auto"/>
        </w:rPr>
        <w:t>Once the Rule 10b5-1 Plan is adopted, you must not exercise any subsequent influence over the amount of securities to be traded, the price at which they are to be traded or the date of the trade. You may amend or replace a Rule 10b5-1 Plan only during periods when trading is permitted in accordance with this Policy, and you must submit any proposed amendment or replacement of a Rule 10b5-1 Plan to the General Counsel for approval prior to adoption. You must provide notice to the General Counsel prior to terminating a Rule 10b5-1 Plan. You should understand that a modification or termination of a Rule 10b5-1 Plan may call into question your good faith in entering into and operating the plan (and therefore may jeopardize the availability of the affirmative defense against insider trading allegations).</w:t>
      </w:r>
    </w:p>
    <w:p>
      <w:pPr>
        <w:spacing w:after="0" w:line="62" w:lineRule="exact"/>
        <w:rPr>
          <w:sz w:val="20"/>
          <w:szCs w:val="20"/>
          <w:color w:val="auto"/>
        </w:rPr>
      </w:pPr>
    </w:p>
    <w:p>
      <w:pPr>
        <w:ind w:left="620" w:hanging="615"/>
        <w:spacing w:after="0"/>
        <w:tabs>
          <w:tab w:leader="none" w:pos="620" w:val="left"/>
        </w:tabs>
        <w:numPr>
          <w:ilvl w:val="0"/>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ADDITIONAL REQUIREMENTS FOR DIRECTORS, OFFICERS AND DESIGNATED EMPLOYEES</w:t>
      </w:r>
    </w:p>
    <w:p>
      <w:pPr>
        <w:spacing w:after="0" w:line="130" w:lineRule="exact"/>
        <w:rPr>
          <w:sz w:val="20"/>
          <w:szCs w:val="20"/>
          <w:color w:val="auto"/>
        </w:rPr>
      </w:pPr>
    </w:p>
    <w:p>
      <w:pPr>
        <w:jc w:val="both"/>
        <w:ind w:right="160" w:firstLine="629"/>
        <w:spacing w:after="0" w:line="258" w:lineRule="auto"/>
        <w:rPr>
          <w:sz w:val="20"/>
          <w:szCs w:val="20"/>
          <w:color w:val="auto"/>
        </w:rPr>
      </w:pPr>
      <w:r>
        <w:rPr>
          <w:rFonts w:ascii="Times New Roman" w:cs="Times New Roman" w:eastAsia="Times New Roman" w:hAnsi="Times New Roman"/>
          <w:sz w:val="21"/>
          <w:szCs w:val="21"/>
          <w:color w:val="auto"/>
        </w:rPr>
        <w:t>This Section X provides additional requirements and procedures that apply to all Company directors, all officers subject to Section 16 of the Exchange Act, all employees holding the title of Executive Vice President or higher and certain other employees designated by either the General Counsel or the Chief Financial Officer due to such employees having access to material nonpublic information about the Company.</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i w:val="1"/>
          <w:iCs w:val="1"/>
          <w:color w:val="auto"/>
        </w:rPr>
        <w:t>A. Pre-Clearance Procedures</w:t>
      </w:r>
    </w:p>
    <w:p>
      <w:pPr>
        <w:spacing w:after="0" w:line="117"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21"/>
          <w:szCs w:val="21"/>
          <w:color w:val="auto"/>
        </w:rPr>
        <w:t>Those persons subject to this Section X, as well as their Related Insiders, may not engage in any transaction involving the Company’s securities (including the exercise of stock options, gifts, loans, contributions to a trust or any other transfers) without first obtaining pre-clearance of</w:t>
      </w:r>
    </w:p>
    <w:p>
      <w:pPr>
        <w:sectPr>
          <w:pgSz w:w="11900" w:h="16838" w:orient="portrait"/>
          <w:cols w:equalWidth="0" w:num="1">
            <w:col w:w="11180"/>
          </w:cols>
          <w:pgMar w:left="320" w:top="1384" w:right="399" w:bottom="1440" w:gutter="0" w:footer="0" w:header="0"/>
        </w:sectPr>
      </w:pPr>
    </w:p>
    <w:bookmarkStart w:id="161" w:name="page162"/>
    <w:bookmarkEnd w:id="161"/>
    <w:p>
      <w:pPr>
        <w:ind w:right="260"/>
        <w:spacing w:after="0" w:line="259" w:lineRule="auto"/>
        <w:rPr>
          <w:sz w:val="20"/>
          <w:szCs w:val="20"/>
          <w:color w:val="auto"/>
        </w:rPr>
      </w:pPr>
      <w:r>
        <w:rPr>
          <w:rFonts w:ascii="Times New Roman" w:cs="Times New Roman" w:eastAsia="Times New Roman" w:hAnsi="Times New Roman"/>
          <w:sz w:val="21"/>
          <w:szCs w:val="21"/>
          <w:color w:val="auto"/>
        </w:rPr>
        <w:t>the transaction from the General Counsel. Each proposed transaction will be evaluated to determine if it raises insider trading concerns or other concerns under federal securities laws and regulations. Any advice will relate solely to the restraints imposed by law and will not constitute advice regarding the investment aspects of any transaction. Clearance of a transaction must be re-requested if the transaction order is not placed within 48 hours of obtaining pre-clearance. If clearance is denied, the fact of such denial must be kept confidential by the person requesting such clearance.</w:t>
      </w:r>
    </w:p>
    <w:p>
      <w:pPr>
        <w:spacing w:after="0" w:line="61" w:lineRule="exact"/>
        <w:rPr>
          <w:sz w:val="20"/>
          <w:szCs w:val="20"/>
          <w:color w:val="auto"/>
        </w:rPr>
      </w:pPr>
    </w:p>
    <w:p>
      <w:pPr>
        <w:ind w:right="40" w:firstLine="629"/>
        <w:spacing w:after="0" w:line="264" w:lineRule="auto"/>
        <w:rPr>
          <w:sz w:val="20"/>
          <w:szCs w:val="20"/>
          <w:color w:val="auto"/>
        </w:rPr>
      </w:pPr>
      <w:r>
        <w:rPr>
          <w:rFonts w:ascii="Times New Roman" w:cs="Times New Roman" w:eastAsia="Times New Roman" w:hAnsi="Times New Roman"/>
          <w:sz w:val="21"/>
          <w:szCs w:val="21"/>
          <w:color w:val="auto"/>
        </w:rPr>
        <w:t>When requesting pre-clearance, the requestor should carefully consider whether he or she may be aware of any material nonpublic information about the Company, and should describe fully those circumstances to the General Counsel. The requestor also should indicate whether he or she has effected any non-exempt “opposite-way” transactions within the past six months.</w:t>
      </w:r>
    </w:p>
    <w:p>
      <w:pPr>
        <w:spacing w:after="0" w:line="69" w:lineRule="exact"/>
        <w:rPr>
          <w:sz w:val="20"/>
          <w:szCs w:val="20"/>
          <w:color w:val="auto"/>
        </w:rPr>
      </w:pPr>
    </w:p>
    <w:p>
      <w:pPr>
        <w:jc w:val="both"/>
        <w:ind w:firstLine="629"/>
        <w:spacing w:after="0" w:line="264" w:lineRule="auto"/>
        <w:rPr>
          <w:sz w:val="20"/>
          <w:szCs w:val="20"/>
          <w:color w:val="auto"/>
        </w:rPr>
      </w:pPr>
      <w:r>
        <w:rPr>
          <w:rFonts w:ascii="Times New Roman" w:cs="Times New Roman" w:eastAsia="Times New Roman" w:hAnsi="Times New Roman"/>
          <w:sz w:val="21"/>
          <w:szCs w:val="21"/>
          <w:color w:val="auto"/>
        </w:rPr>
        <w:t>Notwithstanding the foregoing, pre-clearance is not required for any trades made pursuant to a pre-arranged Rule 10b5-1 Plan adopted in accordance with the requirements of this Policy. Pre-clearance also is not required for the “Special Transactions” to which the Policy does not apply, as described in section VI of this Policy.</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i w:val="1"/>
          <w:iCs w:val="1"/>
          <w:color w:val="auto"/>
        </w:rPr>
        <w:t>B. Window Periods</w:t>
      </w:r>
    </w:p>
    <w:p>
      <w:pPr>
        <w:spacing w:after="0" w:line="117" w:lineRule="exact"/>
        <w:rPr>
          <w:sz w:val="20"/>
          <w:szCs w:val="20"/>
          <w:color w:val="auto"/>
        </w:rPr>
      </w:pPr>
    </w:p>
    <w:p>
      <w:pPr>
        <w:ind w:right="40" w:firstLine="629"/>
        <w:spacing w:after="0" w:line="259" w:lineRule="auto"/>
        <w:rPr>
          <w:sz w:val="20"/>
          <w:szCs w:val="20"/>
          <w:color w:val="auto"/>
        </w:rPr>
      </w:pPr>
      <w:r>
        <w:rPr>
          <w:rFonts w:ascii="Times New Roman" w:cs="Times New Roman" w:eastAsia="Times New Roman" w:hAnsi="Times New Roman"/>
          <w:sz w:val="21"/>
          <w:szCs w:val="21"/>
          <w:color w:val="auto"/>
        </w:rPr>
        <w:t xml:space="preserve">Those persons subject to this Section X, as well as their Related Insiders, may not trade in the Company’s securities (except by means of pre-arranged Rule 10b5-1 Plans established in compliance with this Policy) other than during an open Window Period. </w:t>
      </w:r>
      <w:r>
        <w:rPr>
          <w:rFonts w:ascii="Times New Roman" w:cs="Times New Roman" w:eastAsia="Times New Roman" w:hAnsi="Times New Roman"/>
          <w:sz w:val="21"/>
          <w:szCs w:val="21"/>
          <w:b w:val="1"/>
          <w:bCs w:val="1"/>
          <w:i w:val="1"/>
          <w:iCs w:val="1"/>
          <w:color w:val="auto"/>
        </w:rPr>
        <w:t xml:space="preserve">“Window Period” </w:t>
      </w:r>
      <w:r>
        <w:rPr>
          <w:rFonts w:ascii="Times New Roman" w:cs="Times New Roman" w:eastAsia="Times New Roman" w:hAnsi="Times New Roman"/>
          <w:sz w:val="21"/>
          <w:szCs w:val="21"/>
          <w:color w:val="auto"/>
        </w:rPr>
        <w:t>means the period (i) beginning on the second business day following the release to the public of the Company’s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earnings for the preceding fiscal quarter and (ii) ending on the last day of the third month of the fiscal quarter in which such earnings were released.</w:t>
      </w:r>
    </w:p>
    <w:p>
      <w:pPr>
        <w:spacing w:after="0" w:line="61" w:lineRule="exact"/>
        <w:rPr>
          <w:sz w:val="20"/>
          <w:szCs w:val="20"/>
          <w:color w:val="auto"/>
        </w:rPr>
      </w:pPr>
    </w:p>
    <w:p>
      <w:pPr>
        <w:ind w:right="60" w:firstLine="629"/>
        <w:spacing w:after="0" w:line="256" w:lineRule="auto"/>
        <w:rPr>
          <w:sz w:val="20"/>
          <w:szCs w:val="20"/>
          <w:color w:val="auto"/>
        </w:rPr>
      </w:pPr>
      <w:r>
        <w:rPr>
          <w:rFonts w:ascii="Times New Roman" w:cs="Times New Roman" w:eastAsia="Times New Roman" w:hAnsi="Times New Roman"/>
          <w:sz w:val="21"/>
          <w:szCs w:val="21"/>
          <w:color w:val="auto"/>
        </w:rPr>
        <w:t>From time to time, an event may occur that is material to the Company and is known by only a few directors, officers and/or employees. The may cause the Company to not open the Window Period when it would normally commence or to close the Window Period earlier than it would otherwise close. The existence of an event-specific modification to the Window Period will not be announced. If, however, you request pre-clearance to trade in the Company’s securities and are informed by the General Counsel of an event-specific modification to the Window Period, without disclosing the reason for the blackout, you should not disclose the existence of the modification to any other person.</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b w:val="1"/>
          <w:bCs w:val="1"/>
          <w:i w:val="1"/>
          <w:iCs w:val="1"/>
          <w:color w:val="auto"/>
        </w:rPr>
        <w:t>C. Prohibition on Short-Term Trading</w:t>
      </w:r>
    </w:p>
    <w:p>
      <w:pPr>
        <w:spacing w:after="0" w:line="130" w:lineRule="exact"/>
        <w:rPr>
          <w:sz w:val="20"/>
          <w:szCs w:val="20"/>
          <w:color w:val="auto"/>
        </w:rPr>
      </w:pPr>
    </w:p>
    <w:p>
      <w:pPr>
        <w:jc w:val="both"/>
        <w:ind w:right="220" w:firstLine="629"/>
        <w:spacing w:after="0" w:line="264" w:lineRule="auto"/>
        <w:rPr>
          <w:sz w:val="20"/>
          <w:szCs w:val="20"/>
          <w:color w:val="auto"/>
        </w:rPr>
      </w:pPr>
      <w:r>
        <w:rPr>
          <w:rFonts w:ascii="Times New Roman" w:cs="Times New Roman" w:eastAsia="Times New Roman" w:hAnsi="Times New Roman"/>
          <w:sz w:val="21"/>
          <w:szCs w:val="21"/>
          <w:color w:val="auto"/>
        </w:rPr>
        <w:t>Those persons subject to this Section X, as well as their Related Insiders, may not sell any Company securities of the same class (which includes any other securities that are convertible or exchangeable into such class) during the six months following the purchase of Company securities (or vice versa).</w:t>
      </w:r>
    </w:p>
    <w:p>
      <w:pPr>
        <w:spacing w:after="0" w:line="55" w:lineRule="exact"/>
        <w:rPr>
          <w:sz w:val="20"/>
          <w:szCs w:val="20"/>
          <w:color w:val="auto"/>
        </w:rPr>
      </w:pPr>
    </w:p>
    <w:p>
      <w:pPr>
        <w:ind w:right="100" w:firstLine="629"/>
        <w:spacing w:after="0" w:line="264" w:lineRule="auto"/>
        <w:rPr>
          <w:sz w:val="20"/>
          <w:szCs w:val="20"/>
          <w:color w:val="auto"/>
        </w:rPr>
      </w:pPr>
      <w:r>
        <w:rPr>
          <w:rFonts w:ascii="Times New Roman" w:cs="Times New Roman" w:eastAsia="Times New Roman" w:hAnsi="Times New Roman"/>
          <w:sz w:val="21"/>
          <w:szCs w:val="21"/>
          <w:color w:val="auto"/>
        </w:rPr>
        <w:t>Section 16 Insiders shall comply with the reporting requirements of Section 16 of the Exchange Act and the SEC rules thereunder and, if applicable, Rule 144 under the Securities Act of 1933, as amended. The Company has implemented procedures to assist Section 16 Insiders in the timely filing of all required reports under Section 16 of the Exchange Act.</w:t>
      </w:r>
    </w:p>
    <w:p>
      <w:pPr>
        <w:spacing w:after="0" w:line="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XI.</w:t>
        <w:tab/>
        <w:t>REPORTING VIOLATIONS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You should refer suspected violations of this Policy to the General Counsel.</w:t>
      </w:r>
    </w:p>
    <w:p>
      <w:pPr>
        <w:sectPr>
          <w:pgSz w:w="11900" w:h="16838" w:orient="portrait"/>
          <w:cols w:equalWidth="0" w:num="1">
            <w:col w:w="11200"/>
          </w:cols>
          <w:pgMar w:left="320" w:top="1384" w:right="379" w:bottom="1440" w:gutter="0" w:footer="0" w:header="0"/>
        </w:sectPr>
      </w:pPr>
    </w:p>
    <w:bookmarkStart w:id="162" w:name="page163"/>
    <w:bookmarkEnd w:id="162"/>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XII.</w:t>
        <w:tab/>
        <w:t>POST-TERMINATION TRANSACTIONS</w:t>
      </w:r>
    </w:p>
    <w:p>
      <w:pPr>
        <w:spacing w:after="0" w:line="117" w:lineRule="exact"/>
        <w:rPr>
          <w:sz w:val="20"/>
          <w:szCs w:val="20"/>
          <w:color w:val="auto"/>
        </w:rPr>
      </w:pPr>
    </w:p>
    <w:p>
      <w:pPr>
        <w:ind w:right="40" w:firstLine="629"/>
        <w:spacing w:after="0" w:line="255" w:lineRule="auto"/>
        <w:rPr>
          <w:sz w:val="20"/>
          <w:szCs w:val="20"/>
          <w:color w:val="auto"/>
        </w:rPr>
      </w:pPr>
      <w:r>
        <w:rPr>
          <w:rFonts w:ascii="Times New Roman" w:cs="Times New Roman" w:eastAsia="Times New Roman" w:hAnsi="Times New Roman"/>
          <w:sz w:val="21"/>
          <w:szCs w:val="21"/>
          <w:color w:val="auto"/>
        </w:rPr>
        <w:t>This Policy continues to apply to transactions in Company securities even after a person’s service with the Company is terminated or concluded. If a person is in possession of material nonpublic information when his or her service terminates or concludes, that individual may not trade in Company securities until that information has become public or is no longer material. Questions or concerns on whether any continuing nonpublic information remains material should be directed to the General Counsel. Although the pre-clearance procedures specified in Section X will cease to apply upon termination of service, individuals subject to a quarterly Window Period at the time of termination or conclusion of service may not trade in Company securities until the Window Period opens (unless the Window Period is open at the time of such termination or conclusion).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XIII.  PENALTIES FOR VIOLATIONS OF THE INSIDER TRADING LAWS AND THIS POLICY</w:t>
      </w:r>
    </w:p>
    <w:p>
      <w:pPr>
        <w:spacing w:after="0" w:line="117" w:lineRule="exact"/>
        <w:rPr>
          <w:sz w:val="20"/>
          <w:szCs w:val="20"/>
          <w:color w:val="auto"/>
        </w:rPr>
      </w:pPr>
    </w:p>
    <w:p>
      <w:pPr>
        <w:ind w:right="140" w:firstLine="629"/>
        <w:spacing w:after="0" w:line="256" w:lineRule="auto"/>
        <w:rPr>
          <w:sz w:val="20"/>
          <w:szCs w:val="20"/>
          <w:color w:val="auto"/>
        </w:rPr>
      </w:pPr>
      <w:r>
        <w:rPr>
          <w:rFonts w:ascii="Times New Roman" w:cs="Times New Roman" w:eastAsia="Times New Roman" w:hAnsi="Times New Roman"/>
          <w:sz w:val="21"/>
          <w:szCs w:val="21"/>
          <w:color w:val="auto"/>
        </w:rPr>
        <w:t>In the United States and many other countries, the personal consequences to you of illegal insider trading can be severe. In addition to injunctive relief, disgorgement and other ancillary remedies, U.S. law empowers the government to seek significant civil penalties against persons found liable of insider trading, including as tippers or tippees. The amount of a penalty could total three times the profits made or losses avoided. The maximum penalty may be assessed even against tippers for the profits made or losses avoided by all tippees, including remote tippees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others who may have been tipped by the tippee). Further, civil penalties can be imposed on any person who “controls” a person who engages in illegal insider trading.</w:t>
      </w:r>
    </w:p>
    <w:p>
      <w:pPr>
        <w:spacing w:after="0" w:line="67"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21"/>
          <w:szCs w:val="21"/>
          <w:color w:val="auto"/>
        </w:rPr>
        <w:t>Criminal penalties also may be assessed for insider trading. Any person who “willfully” violates certain provisions of the U.S. federal securities laws may be fined up to $5 million ($25 million for entities) and/or imprisoned for up to 20 years. Subject to applicable law, Company employees who violate this Policy also may be subject to discipline by the Company, up to and including termination of employment. Needless to say, a violation of law, or even a governmental or regulatory investigation that does not result in prosecution, can tarnish a person’s reputation and irreparably damage a person’s career.</w:t>
      </w:r>
    </w:p>
    <w:p>
      <w:pPr>
        <w:spacing w:after="0" w:line="5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1"/>
          <w:szCs w:val="21"/>
          <w:b w:val="1"/>
          <w:bCs w:val="1"/>
          <w:color w:val="auto"/>
        </w:rPr>
        <w:t>XIV.</w:t>
      </w:r>
      <w:r>
        <w:rPr>
          <w:sz w:val="20"/>
          <w:szCs w:val="20"/>
          <w:color w:val="auto"/>
        </w:rPr>
        <w:tab/>
      </w:r>
      <w:r>
        <w:rPr>
          <w:rFonts w:ascii="Times New Roman" w:cs="Times New Roman" w:eastAsia="Times New Roman" w:hAnsi="Times New Roman"/>
          <w:sz w:val="20"/>
          <w:szCs w:val="20"/>
          <w:b w:val="1"/>
          <w:bCs w:val="1"/>
          <w:color w:val="auto"/>
        </w:rPr>
        <w:t>ADMINISTRATION</w:t>
      </w:r>
    </w:p>
    <w:p>
      <w:pPr>
        <w:spacing w:after="0" w:line="117" w:lineRule="exact"/>
        <w:rPr>
          <w:sz w:val="20"/>
          <w:szCs w:val="20"/>
          <w:color w:val="auto"/>
        </w:rPr>
      </w:pPr>
    </w:p>
    <w:p>
      <w:pPr>
        <w:ind w:right="240" w:firstLine="629"/>
        <w:spacing w:after="0" w:line="280" w:lineRule="auto"/>
        <w:rPr>
          <w:sz w:val="20"/>
          <w:szCs w:val="20"/>
          <w:color w:val="auto"/>
        </w:rPr>
      </w:pPr>
      <w:r>
        <w:rPr>
          <w:rFonts w:ascii="Times New Roman" w:cs="Times New Roman" w:eastAsia="Times New Roman" w:hAnsi="Times New Roman"/>
          <w:sz w:val="21"/>
          <w:szCs w:val="21"/>
          <w:color w:val="auto"/>
        </w:rPr>
        <w:t>The General Counsel may adopt such reasonable procedures as he or she shall deem necessary or desirable to implement or administer this Policy.</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 * *</w:t>
      </w:r>
    </w:p>
    <w:p>
      <w:pPr>
        <w:sectPr>
          <w:pgSz w:w="11900" w:h="16838" w:orient="portrait"/>
          <w:cols w:equalWidth="0" w:num="1">
            <w:col w:w="11240"/>
          </w:cols>
          <w:pgMar w:left="320" w:top="1380"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ind w:left="1580"/>
              <w:spacing w:after="0"/>
              <w:rPr>
                <w:sz w:val="20"/>
                <w:szCs w:val="20"/>
                <w:color w:val="auto"/>
              </w:rPr>
            </w:pPr>
            <w:r>
              <w:rPr>
                <w:rFonts w:ascii="Times New Roman" w:cs="Times New Roman" w:eastAsia="Times New Roman" w:hAnsi="Times New Roman"/>
                <w:sz w:val="17"/>
                <w:szCs w:val="17"/>
                <w:b w:val="1"/>
                <w:bCs w:val="1"/>
                <w:color w:val="auto"/>
              </w:rPr>
              <w:t>Exhibit 21.1</w:t>
            </w:r>
          </w:p>
        </w:tc>
      </w:tr>
      <w:tr>
        <w:trPr>
          <w:trHeight w:val="446"/>
        </w:trPr>
        <w:tc>
          <w:tcPr>
            <w:tcW w:w="300" w:type="dxa"/>
            <w:vAlign w:val="bottom"/>
          </w:tcPr>
          <w:p>
            <w:pPr>
              <w:spacing w:after="0"/>
              <w:rPr>
                <w:sz w:val="24"/>
                <w:szCs w:val="24"/>
                <w:color w:val="auto"/>
              </w:rPr>
            </w:pPr>
          </w:p>
        </w:tc>
        <w:tc>
          <w:tcPr>
            <w:tcW w:w="8460" w:type="dxa"/>
            <w:vAlign w:val="bottom"/>
            <w:gridSpan w:val="2"/>
          </w:tcPr>
          <w:p>
            <w:pPr>
              <w:ind w:left="3440"/>
              <w:spacing w:after="0"/>
              <w:rPr>
                <w:sz w:val="20"/>
                <w:szCs w:val="20"/>
                <w:color w:val="auto"/>
              </w:rPr>
            </w:pPr>
            <w:r>
              <w:rPr>
                <w:rFonts w:ascii="Times New Roman" w:cs="Times New Roman" w:eastAsia="Times New Roman" w:hAnsi="Times New Roman"/>
                <w:sz w:val="17"/>
                <w:szCs w:val="17"/>
                <w:b w:val="1"/>
                <w:bCs w:val="1"/>
                <w:color w:val="auto"/>
              </w:rPr>
              <w:t>SUBSIDIARIES OF SL GREEN REALTY CORP.</w:t>
            </w:r>
          </w:p>
        </w:tc>
        <w:tc>
          <w:tcPr>
            <w:tcW w:w="2480" w:type="dxa"/>
            <w:vAlign w:val="bottom"/>
          </w:tcPr>
          <w:p>
            <w:pPr>
              <w:spacing w:after="0"/>
              <w:rPr>
                <w:sz w:val="24"/>
                <w:szCs w:val="24"/>
                <w:color w:val="auto"/>
              </w:rPr>
            </w:pPr>
          </w:p>
        </w:tc>
      </w:tr>
      <w:tr>
        <w:trPr>
          <w:trHeight w:val="485"/>
        </w:trPr>
        <w:tc>
          <w:tcPr>
            <w:tcW w:w="300" w:type="dxa"/>
            <w:vAlign w:val="bottom"/>
          </w:tcPr>
          <w:p>
            <w:pPr>
              <w:spacing w:after="0"/>
              <w:rPr>
                <w:sz w:val="24"/>
                <w:szCs w:val="24"/>
                <w:color w:val="auto"/>
              </w:rPr>
            </w:pPr>
          </w:p>
        </w:tc>
        <w:tc>
          <w:tcPr>
            <w:tcW w:w="8460" w:type="dxa"/>
            <w:vAlign w:val="bottom"/>
            <w:gridSpan w:val="2"/>
          </w:tcPr>
          <w:p>
            <w:pPr>
              <w:ind w:left="3560"/>
              <w:spacing w:after="0"/>
              <w:rPr>
                <w:sz w:val="20"/>
                <w:szCs w:val="20"/>
                <w:color w:val="auto"/>
              </w:rPr>
            </w:pPr>
            <w:r>
              <w:rPr>
                <w:rFonts w:ascii="Times New Roman" w:cs="Times New Roman" w:eastAsia="Times New Roman" w:hAnsi="Times New Roman"/>
                <w:sz w:val="17"/>
                <w:szCs w:val="17"/>
                <w:b w:val="1"/>
                <w:bCs w:val="1"/>
                <w:color w:val="auto"/>
              </w:rPr>
              <w:t>Entity Name</w:t>
            </w:r>
          </w:p>
        </w:tc>
        <w:tc>
          <w:tcPr>
            <w:tcW w:w="248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State of Incorporation</w:t>
            </w:r>
          </w:p>
        </w:tc>
      </w:tr>
      <w:tr>
        <w:trPr>
          <w:trHeight w:val="216"/>
        </w:trPr>
        <w:tc>
          <w:tcPr>
            <w:tcW w:w="8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 Madison Office Fee LLC</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 E 53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10E53 Partner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100 Church Fee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Church Retail I Lessee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100</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Church Retail II Lessee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107-30 Rockaway Blvd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11 MADISON AVENUE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11 Madison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11 Madison Investor II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11 Madison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110 Greene Fee Owner LP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11W34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11 West 34th Street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Investor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115 Spring Purchaser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121 GREENE RETAIL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125</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Park Owner LLC (f/k/a SLG 125 Park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126 Nassau Green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126</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Nassau Holding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126</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Nassau Lessee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126</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Nassau New Sublessee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126</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Nassau Sublessee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183 BROADWAY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1350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1515 Broadway GP,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1515 Broadway Owner LP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1515 Promote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1515 SLG Optionee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1515 SLG Private REIT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1552 Broadway Retail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19E65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21E66 LT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21E66 MM Investor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21E66 MM TRS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21 East 66th Street Commercial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21 West 34 Lender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220 News Asset Management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245</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Park Avenue Property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245 Park Asset Management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245</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Park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245 Park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33/34 West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36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304 PAS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11240"/>
          </w:cols>
          <w:pgMar w:left="320" w:top="866" w:right="339" w:bottom="1440" w:gutter="0" w:footer="0" w:header="0"/>
        </w:sectPr>
      </w:pPr>
    </w:p>
    <w:bookmarkStart w:id="164" w:name="page165"/>
    <w:bookmarkEnd w:id="1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8460" w:type="dxa"/>
            <w:vAlign w:val="bottom"/>
            <w:gridSpan w:val="2"/>
          </w:tcPr>
          <w:p>
            <w:pPr>
              <w:ind w:left="3560"/>
              <w:spacing w:after="0"/>
              <w:rPr>
                <w:sz w:val="20"/>
                <w:szCs w:val="20"/>
                <w:color w:val="auto"/>
              </w:rPr>
            </w:pPr>
            <w:r>
              <w:rPr>
                <w:rFonts w:ascii="Times New Roman" w:cs="Times New Roman" w:eastAsia="Times New Roman" w:hAnsi="Times New Roman"/>
                <w:sz w:val="17"/>
                <w:szCs w:val="17"/>
                <w:b w:val="1"/>
                <w:bCs w:val="1"/>
                <w:color w:val="auto"/>
              </w:rPr>
              <w:t>Entity Name</w:t>
            </w:r>
          </w:p>
        </w:tc>
        <w:tc>
          <w:tcPr>
            <w:tcW w:w="248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State of Incorporation</w:t>
            </w:r>
          </w:p>
        </w:tc>
      </w:tr>
      <w:tr>
        <w:trPr>
          <w:trHeight w:val="216"/>
        </w:trPr>
        <w:tc>
          <w:tcPr>
            <w:tcW w:w="8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315 W 36 Member LLC</w:t>
            </w:r>
          </w:p>
        </w:tc>
        <w:tc>
          <w:tcPr>
            <w:tcW w:w="100" w:type="dxa"/>
            <w:vAlign w:val="bottom"/>
          </w:tcPr>
          <w:p>
            <w:pPr>
              <w:spacing w:after="0"/>
              <w:rPr>
                <w:sz w:val="18"/>
                <w:szCs w:val="18"/>
                <w:color w:val="auto"/>
              </w:rPr>
            </w:pPr>
          </w:p>
        </w:tc>
        <w:tc>
          <w:tcPr>
            <w:tcW w:w="2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360 Asset Manager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360</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360</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Manager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450 Park Asset Management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450 GP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450 Park Fee Owner LP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461 FIFTH HOLDING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461 FIFTH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461 FIFTH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5 TS Investor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500</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Park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540W21 Asset Management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540W21 Funding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50 East 72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625</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Participation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650</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Fifth Lessee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690 Madison Avenue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690 Green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711 Mortgage Manager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747</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Madison Retail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750 Third Owner LLC (f/k/a GREEN 750 THIRD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752 Development Fee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760</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 Member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760 Retail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85 Fifth Avenue Retail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85 FIFTH GREEN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762 Madison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Third Avenue Associates,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885</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3rd Avenue Fee- Leasehold JV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885</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3rd Avenue Master Lessee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919 Ground Lease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919 Ground Lease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919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985</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Third Development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Casino TRS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Coalition Support Base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Concept Space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eEMERGE, Inc.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Events on 72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Galleria City Holding Company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Galleria City GP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Galleria City LP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121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Green 141 Fifth Participation Corp.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155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Green 1552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1604 Investment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11240"/>
          </w:cols>
          <w:pgMar w:left="320" w:top="906" w:right="339" w:bottom="1440" w:gutter="0" w:footer="0" w:header="0"/>
        </w:sectPr>
      </w:pPr>
    </w:p>
    <w:bookmarkStart w:id="165" w:name="page166"/>
    <w:bookmarkEnd w:id="1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gridSpan w:val="2"/>
          </w:tcPr>
          <w:p>
            <w:pPr>
              <w:ind w:left="3860"/>
              <w:spacing w:after="0"/>
              <w:rPr>
                <w:sz w:val="20"/>
                <w:szCs w:val="20"/>
                <w:color w:val="auto"/>
              </w:rPr>
            </w:pPr>
            <w:r>
              <w:rPr>
                <w:rFonts w:ascii="Times New Roman" w:cs="Times New Roman" w:eastAsia="Times New Roman" w:hAnsi="Times New Roman"/>
                <w:sz w:val="17"/>
                <w:szCs w:val="17"/>
                <w:b w:val="1"/>
                <w:bCs w:val="1"/>
                <w:color w:val="auto"/>
              </w:rPr>
              <w:t>Entity Name</w:t>
            </w:r>
          </w:p>
        </w:tc>
        <w:tc>
          <w:tcPr>
            <w:tcW w:w="248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State of Incorporation</w:t>
            </w:r>
          </w:p>
        </w:tc>
      </w:tr>
      <w:tr>
        <w:trPr>
          <w:trHeight w:val="216"/>
        </w:trPr>
        <w:tc>
          <w:tcPr>
            <w:tcW w:w="8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Green 461 Fifth Lessee LLC</w:t>
            </w:r>
          </w:p>
        </w:tc>
        <w:tc>
          <w:tcPr>
            <w:tcW w:w="100" w:type="dxa"/>
            <w:vAlign w:val="bottom"/>
          </w:tcPr>
          <w:p>
            <w:pPr>
              <w:spacing w:after="0"/>
              <w:rPr>
                <w:sz w:val="18"/>
                <w:szCs w:val="18"/>
                <w:color w:val="auto"/>
              </w:rPr>
            </w:pPr>
          </w:p>
        </w:tc>
        <w:tc>
          <w:tcPr>
            <w:tcW w:w="2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485 Mezz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Green 485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650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Green 711 LM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724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Green 747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800 Third Interest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Green 800 Third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BROADWAY/34 INVESTMENT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Green Loan Services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W. 57TH ST.,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Herald Square Acquisition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Herald Square GP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Herald Square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Hospitality TRS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Landmark Square 1-6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Landmark Square 1-6 Mezz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Meadow Funding Corp.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METROPOLITAN PARTNERS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METROPOLITAN 919 3RD AVENUE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NYC Investment TRS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OMA Commons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OMA Developer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OMA Investment GP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OMA Promote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OMA Restaurant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OMA Rooftop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OMA Sushi Box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One Vanderbilt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One Vanderbilt PI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OVA Cafe Mezz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OVA Developer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OVA REIT Manager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OVA Restaurant Mezz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OVA Sushi Mezz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Palisades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Reckson Mezzanine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RECKSON OPERATING PARTNERSHIP, L.P.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RXR 5TS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 Green Management Corp.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 Green 100 Park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 Green Funding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 Green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 Green Management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 Green Operating Partnership, L.P.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 Green Realty Acquisition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 Green Servicing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11240"/>
          </w:cols>
          <w:pgMar w:left="320" w:top="906" w:right="33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gridSpan w:val="2"/>
          </w:tcPr>
          <w:p>
            <w:pPr>
              <w:ind w:left="3860"/>
              <w:spacing w:after="0"/>
              <w:rPr>
                <w:sz w:val="20"/>
                <w:szCs w:val="20"/>
                <w:color w:val="auto"/>
              </w:rPr>
            </w:pPr>
            <w:r>
              <w:rPr>
                <w:rFonts w:ascii="Times New Roman" w:cs="Times New Roman" w:eastAsia="Times New Roman" w:hAnsi="Times New Roman"/>
                <w:sz w:val="17"/>
                <w:szCs w:val="17"/>
                <w:b w:val="1"/>
                <w:bCs w:val="1"/>
                <w:color w:val="auto"/>
              </w:rPr>
              <w:t>Entity Name</w:t>
            </w:r>
          </w:p>
        </w:tc>
        <w:tc>
          <w:tcPr>
            <w:tcW w:w="248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State of Incorporation</w:t>
            </w:r>
          </w:p>
        </w:tc>
      </w:tr>
      <w:tr>
        <w:trPr>
          <w:trHeight w:val="216"/>
        </w:trPr>
        <w:tc>
          <w:tcPr>
            <w:tcW w:w="8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SLG 100 Park LLC</w:t>
            </w:r>
          </w:p>
        </w:tc>
        <w:tc>
          <w:tcPr>
            <w:tcW w:w="100" w:type="dxa"/>
            <w:vAlign w:val="bottom"/>
          </w:tcPr>
          <w:p>
            <w:pPr>
              <w:spacing w:after="0"/>
              <w:rPr>
                <w:sz w:val="18"/>
                <w:szCs w:val="18"/>
                <w:color w:val="auto"/>
              </w:rPr>
            </w:pPr>
          </w:p>
        </w:tc>
        <w:tc>
          <w:tcPr>
            <w:tcW w:w="2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125 Park Mezz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1185 Sixth A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1515 Broadway Finance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220 NEWS LESSEE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220 News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711 Fee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711 Third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711 Third Sublandlord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717 FIFTH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810 Seventh Lessee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885 Third Manager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Asset Management Fee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Debt Fund GP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Debt Fund LP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Debt Fund TRS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Elevator Holdings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Funding REIT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Gramercy Services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Graybar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Graybar Mesne Lease Corp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Graybar Mesne Lease I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Graybar Mesne Lease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Graybar New Ground Lessee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Graybar New Lessee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Graybar Sublease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Graybar Sublease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LeaseCo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Lightpath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MADISON INVESTMENT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One Park Shareholder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One Park Shareholder II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One Park Shareholder III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OpCo Holdings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OpCo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Park Avenue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Protective TRS Corp.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RSVP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SHP Holding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 West 33-34 Hotel Parcel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Structured Finance TRS Corp.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SubCo Holding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Summit Manager Mezzanine Corp.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Summit OVA Tenant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Summit Observatory Investor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Studio City EQX Sublessor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WWP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WWP Office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11240"/>
          </w:cols>
          <w:pgMar w:left="320" w:top="906"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5"/>
          <w:szCs w:val="15"/>
          <w:color w:val="auto"/>
        </w:rPr>
        <w:t>* The purpose of this entity is to engage in debt and preferred equity finance investments through various wholly-owned subsidiaries which are not included on this list.</w:t>
      </w:r>
    </w:p>
    <w:p>
      <w:pPr>
        <w:sectPr>
          <w:pgSz w:w="11900" w:h="16838" w:orient="portrait"/>
          <w:cols w:equalWidth="0" w:num="1">
            <w:col w:w="10580"/>
          </w:cols>
          <w:pgMar w:left="320" w:top="1109" w:right="99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ind w:left="1580"/>
              <w:spacing w:after="0"/>
              <w:rPr>
                <w:sz w:val="20"/>
                <w:szCs w:val="20"/>
                <w:color w:val="auto"/>
              </w:rPr>
            </w:pPr>
            <w:r>
              <w:rPr>
                <w:rFonts w:ascii="Times New Roman" w:cs="Times New Roman" w:eastAsia="Times New Roman" w:hAnsi="Times New Roman"/>
                <w:sz w:val="17"/>
                <w:szCs w:val="17"/>
                <w:b w:val="1"/>
                <w:bCs w:val="1"/>
                <w:color w:val="auto"/>
              </w:rPr>
              <w:t>Exhibit 21.2</w:t>
            </w:r>
          </w:p>
        </w:tc>
      </w:tr>
      <w:tr>
        <w:trPr>
          <w:trHeight w:val="446"/>
        </w:trPr>
        <w:tc>
          <w:tcPr>
            <w:tcW w:w="300" w:type="dxa"/>
            <w:vAlign w:val="bottom"/>
          </w:tcPr>
          <w:p>
            <w:pPr>
              <w:spacing w:after="0"/>
              <w:rPr>
                <w:sz w:val="24"/>
                <w:szCs w:val="24"/>
                <w:color w:val="auto"/>
              </w:rPr>
            </w:pPr>
          </w:p>
        </w:tc>
        <w:tc>
          <w:tcPr>
            <w:tcW w:w="8460" w:type="dxa"/>
            <w:vAlign w:val="bottom"/>
            <w:gridSpan w:val="2"/>
          </w:tcPr>
          <w:p>
            <w:pPr>
              <w:ind w:left="2740"/>
              <w:spacing w:after="0"/>
              <w:rPr>
                <w:sz w:val="20"/>
                <w:szCs w:val="20"/>
                <w:color w:val="auto"/>
              </w:rPr>
            </w:pPr>
            <w:r>
              <w:rPr>
                <w:rFonts w:ascii="Times New Roman" w:cs="Times New Roman" w:eastAsia="Times New Roman" w:hAnsi="Times New Roman"/>
                <w:sz w:val="17"/>
                <w:szCs w:val="17"/>
                <w:b w:val="1"/>
                <w:bCs w:val="1"/>
                <w:color w:val="auto"/>
              </w:rPr>
              <w:t>SUBSIDIARIES OF SL GREEN OPERATING PARTNERSHIP, L.P.</w:t>
            </w:r>
          </w:p>
        </w:tc>
        <w:tc>
          <w:tcPr>
            <w:tcW w:w="2480" w:type="dxa"/>
            <w:vAlign w:val="bottom"/>
          </w:tcPr>
          <w:p>
            <w:pPr>
              <w:spacing w:after="0"/>
              <w:rPr>
                <w:sz w:val="24"/>
                <w:szCs w:val="24"/>
                <w:color w:val="auto"/>
              </w:rPr>
            </w:pPr>
          </w:p>
        </w:tc>
      </w:tr>
      <w:tr>
        <w:trPr>
          <w:trHeight w:val="577"/>
        </w:trPr>
        <w:tc>
          <w:tcPr>
            <w:tcW w:w="300" w:type="dxa"/>
            <w:vAlign w:val="bottom"/>
          </w:tcPr>
          <w:p>
            <w:pPr>
              <w:spacing w:after="0"/>
              <w:rPr>
                <w:sz w:val="24"/>
                <w:szCs w:val="24"/>
                <w:color w:val="auto"/>
              </w:rPr>
            </w:pPr>
          </w:p>
        </w:tc>
        <w:tc>
          <w:tcPr>
            <w:tcW w:w="8460" w:type="dxa"/>
            <w:vAlign w:val="bottom"/>
            <w:gridSpan w:val="2"/>
          </w:tcPr>
          <w:p>
            <w:pPr>
              <w:ind w:left="3560"/>
              <w:spacing w:after="0"/>
              <w:rPr>
                <w:sz w:val="20"/>
                <w:szCs w:val="20"/>
                <w:color w:val="auto"/>
              </w:rPr>
            </w:pPr>
            <w:r>
              <w:rPr>
                <w:rFonts w:ascii="Times New Roman" w:cs="Times New Roman" w:eastAsia="Times New Roman" w:hAnsi="Times New Roman"/>
                <w:sz w:val="17"/>
                <w:szCs w:val="17"/>
                <w:b w:val="1"/>
                <w:bCs w:val="1"/>
                <w:color w:val="auto"/>
              </w:rPr>
              <w:t>Entity Name</w:t>
            </w:r>
          </w:p>
        </w:tc>
        <w:tc>
          <w:tcPr>
            <w:tcW w:w="248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State of Incorporation</w:t>
            </w:r>
          </w:p>
        </w:tc>
      </w:tr>
      <w:tr>
        <w:trPr>
          <w:trHeight w:val="216"/>
        </w:trPr>
        <w:tc>
          <w:tcPr>
            <w:tcW w:w="8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 Madison Office Fee LLC</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 E 53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10E53 Partner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100 Church Fee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Church Retail I Lessee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100</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Church Retail II Lessee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107-30 Rockaway Blvd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11 MADISON AVENUE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11 Madison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11 Madison Investor II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11 Madison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110 Greene Fee Owner LP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11W34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11 West 34th Street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Investor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115 Spring Purchaser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121 GREENE RETAIL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125</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Park Owner LLC (f/k/a SLG 125 Park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126 Nassau Green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126</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Nassau Holding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126</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Nassau Lessee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126</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Nassau New Sublessee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126</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Nassau Sublessee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183 BROADWAY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1350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1515 Broadway GP,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1515 Broadway Owner LP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1515 Promote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1515 SLG Optionee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1515 SLG Private REIT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1552 Broadway Retail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19E65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21E66 LT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21E66 MM Investor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21E66 MM TRS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21 East 66th Street Commercial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21 West 34 Lender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220 News Asset Management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245</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Park Avenue Property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245 Park Asset Management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245</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Park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245 Park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11240"/>
          </w:cols>
          <w:pgMar w:left="320" w:top="866" w:right="339"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8460" w:type="dxa"/>
            <w:vAlign w:val="bottom"/>
            <w:gridSpan w:val="2"/>
          </w:tcPr>
          <w:p>
            <w:pPr>
              <w:ind w:left="3560"/>
              <w:spacing w:after="0"/>
              <w:rPr>
                <w:sz w:val="20"/>
                <w:szCs w:val="20"/>
                <w:color w:val="auto"/>
              </w:rPr>
            </w:pPr>
            <w:r>
              <w:rPr>
                <w:rFonts w:ascii="Times New Roman" w:cs="Times New Roman" w:eastAsia="Times New Roman" w:hAnsi="Times New Roman"/>
                <w:sz w:val="17"/>
                <w:szCs w:val="17"/>
                <w:b w:val="1"/>
                <w:bCs w:val="1"/>
                <w:color w:val="auto"/>
              </w:rPr>
              <w:t>Entity Name</w:t>
            </w:r>
          </w:p>
        </w:tc>
        <w:tc>
          <w:tcPr>
            <w:tcW w:w="248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State of Incorporation</w:t>
            </w:r>
          </w:p>
        </w:tc>
      </w:tr>
      <w:tr>
        <w:trPr>
          <w:trHeight w:val="216"/>
        </w:trPr>
        <w:tc>
          <w:tcPr>
            <w:tcW w:w="8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33/34 West Owner LLC</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36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304 PAS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315 W 36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360 Asset Manager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360</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360</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Manager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450 Park Asset Management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450 GP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450 Park Fee Owner LP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461 FIFTH HOLDING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461 FIFTH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461 FIFTH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5 TS Investor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500</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Park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540W21 Asset Management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540W21 Funding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50 East 72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625</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Participation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650</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Fifth Lessee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690 Madison Avenue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690 Green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711 Mortgage Manager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747</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Madison Retail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750 Third Owner LLC (f/k/a GREEN 750 THIRD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752 Development Fee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760</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 Member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760 Retail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85 Fifth Avenue Retail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85 FIFTH GREEN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762 Madison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800</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Third Avenue Associates,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885</w:t>
            </w:r>
          </w:p>
        </w:tc>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3rd Avenue Fee- Leasehold JV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885</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3rd Avenue Master Lessee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919 Ground Lease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919 Ground Lease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919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985</w:t>
            </w:r>
          </w:p>
        </w:tc>
        <w:tc>
          <w:tcPr>
            <w:tcW w:w="8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Third Development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Casino TRS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Coalition Support Base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Concept Space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eEMERGE, Inc.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Events on 72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Galleria City Holding Company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Galleria City GP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87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Galleria City LP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11240"/>
          </w:cols>
          <w:pgMar w:left="320" w:top="998" w:right="339" w:bottom="144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gridSpan w:val="2"/>
          </w:tcPr>
          <w:p>
            <w:pPr>
              <w:ind w:left="3860"/>
              <w:spacing w:after="0"/>
              <w:rPr>
                <w:sz w:val="20"/>
                <w:szCs w:val="20"/>
                <w:color w:val="auto"/>
              </w:rPr>
            </w:pPr>
            <w:r>
              <w:rPr>
                <w:rFonts w:ascii="Times New Roman" w:cs="Times New Roman" w:eastAsia="Times New Roman" w:hAnsi="Times New Roman"/>
                <w:sz w:val="17"/>
                <w:szCs w:val="17"/>
                <w:b w:val="1"/>
                <w:bCs w:val="1"/>
                <w:color w:val="auto"/>
              </w:rPr>
              <w:t>Entity Name</w:t>
            </w:r>
          </w:p>
        </w:tc>
        <w:tc>
          <w:tcPr>
            <w:tcW w:w="248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State of Incorporation</w:t>
            </w:r>
          </w:p>
        </w:tc>
      </w:tr>
      <w:tr>
        <w:trPr>
          <w:trHeight w:val="216"/>
        </w:trPr>
        <w:tc>
          <w:tcPr>
            <w:tcW w:w="8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121 Member LLC</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Green 141 Fifth Participation Corp.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155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Green 1552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1604 Investment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Green 461 Fifth Lessee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485 Mezz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Green 485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650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Green 711 LM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724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Green 747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800 Third Interest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Green 800 Third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BROADWAY/34 INVESTMENT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Green Loan Services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GREEN W. 57TH ST.,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Herald Square Acquisition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Herald Square GP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Herald Square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Hospitality TRS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Landmark Square 1-6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Landmark Square 1-6 Mezz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Meadow Funding Corp.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METROPOLITAN PARTNERS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METROPOLITAN 919 3RD AVENUE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NYC Investment TRS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OMA Commons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OMA Developer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OMA Investment GP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OMA Promote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49"/>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OMA Restaurant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OMA Rooftop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OMA Sushi Box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One Vanderbilt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One Vanderbilt PI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OVA Cafe Mezz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OVA Developer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OVA REIT Manager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OVA Restaurant Mezz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OVA Sushi Mezz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Palisades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Reckson Mezzanine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RECKSON OPERATING PARTNERSHIP, L.P.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RXR 5TS Owner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 Green Management Corp.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w:t>
            </w:r>
          </w:p>
        </w:tc>
      </w:tr>
    </w:tbl>
    <w:p>
      <w:pPr>
        <w:sectPr>
          <w:pgSz w:w="11900" w:h="16838" w:orient="portrait"/>
          <w:cols w:equalWidth="0" w:num="1">
            <w:col w:w="11240"/>
          </w:cols>
          <w:pgMar w:left="320" w:top="998" w:right="339"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gridSpan w:val="2"/>
          </w:tcPr>
          <w:p>
            <w:pPr>
              <w:ind w:left="3860"/>
              <w:spacing w:after="0"/>
              <w:rPr>
                <w:sz w:val="20"/>
                <w:szCs w:val="20"/>
                <w:color w:val="auto"/>
              </w:rPr>
            </w:pPr>
            <w:r>
              <w:rPr>
                <w:rFonts w:ascii="Times New Roman" w:cs="Times New Roman" w:eastAsia="Times New Roman" w:hAnsi="Times New Roman"/>
                <w:sz w:val="17"/>
                <w:szCs w:val="17"/>
                <w:b w:val="1"/>
                <w:bCs w:val="1"/>
                <w:color w:val="auto"/>
              </w:rPr>
              <w:t>Entity Name</w:t>
            </w:r>
          </w:p>
        </w:tc>
        <w:tc>
          <w:tcPr>
            <w:tcW w:w="248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State of Incorporation</w:t>
            </w:r>
          </w:p>
        </w:tc>
      </w:tr>
      <w:tr>
        <w:trPr>
          <w:trHeight w:val="216"/>
        </w:trPr>
        <w:tc>
          <w:tcPr>
            <w:tcW w:w="8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 Green 100 Park LLC</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 Green Funding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 Green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 Green Management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 Green Realty Acquisition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 Green Servicing Corp.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100 Park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125 Park Mezz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1185 Sixth A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1515 Broadway Finance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220 NEWS LESSEE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220 News Owner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711 Fee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711 Third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711 Third Sublandlord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717 FIFTH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810 Seventh Lessee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885 Third Manager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Asset Management Fee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Debt Fund GP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Debt Fund LP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Debt Fund TRS Corp.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Elevator Holdings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Funding REIT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Gramercy Services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Graybar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Graybar Mesne Lease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Graybar Mesne Lease I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Graybar Mesne Lease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Graybar New Ground Lessee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Graybar New Lessee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Graybar Sublease Corp</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Graybar Sublease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LeaseCo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Lightpath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MADISON INVESTMENT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One Park Shareholder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One Park Shareholder II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One Park Shareholder III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OpCo Holdings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OpCo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Park Avenue Investor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Protective TRS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 New York</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SLG RSVP Member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SLG SHP Holding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SP West 33-34 Hotel Parcel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11240"/>
          </w:cols>
          <w:pgMar w:left="320" w:top="998" w:right="339" w:bottom="144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gridSpan w:val="2"/>
          </w:tcPr>
          <w:p>
            <w:pPr>
              <w:ind w:left="3860"/>
              <w:spacing w:after="0"/>
              <w:rPr>
                <w:sz w:val="20"/>
                <w:szCs w:val="20"/>
                <w:color w:val="auto"/>
              </w:rPr>
            </w:pPr>
            <w:r>
              <w:rPr>
                <w:rFonts w:ascii="Times New Roman" w:cs="Times New Roman" w:eastAsia="Times New Roman" w:hAnsi="Times New Roman"/>
                <w:sz w:val="17"/>
                <w:szCs w:val="17"/>
                <w:b w:val="1"/>
                <w:bCs w:val="1"/>
                <w:color w:val="auto"/>
              </w:rPr>
              <w:t>Entity Name</w:t>
            </w:r>
          </w:p>
        </w:tc>
        <w:tc>
          <w:tcPr>
            <w:tcW w:w="248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State of Incorporation</w:t>
            </w:r>
          </w:p>
        </w:tc>
      </w:tr>
      <w:tr>
        <w:trPr>
          <w:trHeight w:val="216"/>
        </w:trPr>
        <w:tc>
          <w:tcPr>
            <w:tcW w:w="8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Structured Finance TRS Corp.</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SubCo Holding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Summit Manager Mezzanine Corp.</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Summit OVA Tenant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Summit Observatory Investor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Studio City EQX Sublessor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WWP MEMBER LLC</w:t>
            </w:r>
          </w:p>
        </w:tc>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Delaware</w:t>
            </w:r>
          </w:p>
        </w:tc>
      </w:tr>
      <w:tr>
        <w:trPr>
          <w:trHeight w:val="22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WWP Office LLC</w:t>
            </w:r>
          </w:p>
        </w:tc>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Delaware</w:t>
            </w: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The purpose of this entity is to engage in debt and preferred equity finance investments through various wholly-owned subsidiaries which are not included on this list.</w:t>
      </w:r>
    </w:p>
    <w:p>
      <w:pPr>
        <w:sectPr>
          <w:pgSz w:w="11900" w:h="16838" w:orient="portrait"/>
          <w:cols w:equalWidth="0" w:num="1">
            <w:col w:w="11240"/>
          </w:cols>
          <w:pgMar w:left="320" w:top="998"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6" w:lineRule="exact"/>
        <w:rPr>
          <w:sz w:val="20"/>
          <w:szCs w:val="20"/>
          <w:color w:val="auto"/>
        </w:rPr>
      </w:pPr>
    </w:p>
    <w:p>
      <w:pPr>
        <w:jc w:val="both"/>
        <w:ind w:firstLine="201"/>
        <w:spacing w:after="0" w:line="270"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333-283381, 333-277343, 333-70111, 333-30394, 333-62434, and 333-126058 on Form S-3 and Registration Statement Nos. 333-265707 and 333-148973 on Form S-8 of our reports dated February 14, 2025, relating to the financial statements of SL Green Realty Corp. and the effectiveness of SL Green Realty Corp.'s internal control over financial reporting appearing in this Annual Report on Form 10-K for the year ended December 31, 2024.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ectPr>
          <w:pgSz w:w="11900" w:h="16838" w:orient="portrait"/>
          <w:cols w:equalWidth="0" w:num="1">
            <w:col w:w="11240"/>
          </w:cols>
          <w:pgMar w:left="320" w:top="867"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39" w:lineRule="exact"/>
        <w:rPr>
          <w:sz w:val="20"/>
          <w:szCs w:val="20"/>
          <w:color w:val="auto"/>
        </w:rPr>
      </w:pPr>
    </w:p>
    <w:p>
      <w:pPr>
        <w:ind w:right="180" w:firstLine="172"/>
        <w:spacing w:after="0" w:line="261"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 333-283381 on Form S-3 of our reports dated February 14, 2025, relating to the financial statements of SL Green Operating Partnership, L.P. and the effectiveness of SL Green Operating Partnership, L.P.’s internal control over financial reporting appearing in this Annual Report on Form 10-K for the year ended December 31, 2024.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ectPr>
          <w:pgSz w:w="11900" w:h="16838" w:orient="portrait"/>
          <w:cols w:equalWidth="0" w:num="1">
            <w:col w:w="11240"/>
          </w:cols>
          <w:pgMar w:left="320" w:top="867"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7"/>
          <w:szCs w:val="17"/>
          <w:b w:val="1"/>
          <w:bCs w:val="1"/>
          <w:color w:val="auto"/>
        </w:rPr>
        <w:t>Exhibit 23.3</w:t>
      </w:r>
    </w:p>
    <w:p>
      <w:pPr>
        <w:spacing w:after="0" w:line="22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81" w:lineRule="exact"/>
        <w:rPr>
          <w:sz w:val="20"/>
          <w:szCs w:val="20"/>
          <w:color w:val="auto"/>
        </w:rPr>
      </w:pPr>
    </w:p>
    <w:p>
      <w:pPr>
        <w:ind w:left="880" w:right="280" w:hanging="560"/>
        <w:spacing w:after="0" w:line="238" w:lineRule="exact"/>
        <w:tabs>
          <w:tab w:leader="none" w:pos="756"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S-3 Nos. 333-70111, 333-30394,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62434, 333-126058, 333-277343, and 333-283381) of SL Green Realty Corp. and the related Prospectuses,</w:t>
      </w:r>
    </w:p>
    <w:p>
      <w:pPr>
        <w:spacing w:after="0" w:line="87" w:lineRule="exact"/>
        <w:rPr>
          <w:rFonts w:ascii="Times New Roman" w:cs="Times New Roman" w:eastAsia="Times New Roman" w:hAnsi="Times New Roman"/>
          <w:sz w:val="17"/>
          <w:szCs w:val="17"/>
          <w:color w:val="auto"/>
        </w:rPr>
      </w:pPr>
    </w:p>
    <w:p>
      <w:pPr>
        <w:ind w:left="760" w:hanging="440"/>
        <w:spacing w:after="0"/>
        <w:tabs>
          <w:tab w:leader="none" w:pos="76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333-265707) pertaining to the Stock Option and Incentive Plans of SL Green Realty Corp., and</w:t>
      </w:r>
    </w:p>
    <w:p>
      <w:pPr>
        <w:spacing w:after="0" w:line="119" w:lineRule="exact"/>
        <w:rPr>
          <w:rFonts w:ascii="Times New Roman" w:cs="Times New Roman" w:eastAsia="Times New Roman" w:hAnsi="Times New Roman"/>
          <w:sz w:val="17"/>
          <w:szCs w:val="17"/>
          <w:color w:val="auto"/>
        </w:rPr>
      </w:pPr>
    </w:p>
    <w:p>
      <w:pPr>
        <w:ind w:left="800" w:hanging="480"/>
        <w:spacing w:after="0"/>
        <w:tabs>
          <w:tab w:leader="none" w:pos="8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333-148973) pertaining to the 2008 Employee Stock Purchase Plan of SL Green Realty Corp.;</w:t>
      </w:r>
    </w:p>
    <w:p>
      <w:pPr>
        <w:spacing w:after="0" w:line="119"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7"/>
          <w:szCs w:val="17"/>
          <w:color w:val="auto"/>
        </w:rPr>
        <w:t>of our report dated February 23, 2024, with respect to the consolidated financial statements of SL Green Realty Corp. included in this Annual Report (Form 10-K) of SL Green Realty Corp. for the year ended December 31, 2024.</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ectPr>
          <w:pgSz w:w="11900" w:h="16838" w:orient="portrait"/>
          <w:cols w:equalWidth="0" w:num="1">
            <w:col w:w="11240"/>
          </w:cols>
          <w:pgMar w:left="320" w:top="867"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7"/>
          <w:szCs w:val="17"/>
          <w:b w:val="1"/>
          <w:bCs w:val="1"/>
          <w:color w:val="auto"/>
        </w:rPr>
        <w:t>Exhibit 23.4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52" w:lineRule="exact"/>
        <w:rPr>
          <w:sz w:val="20"/>
          <w:szCs w:val="20"/>
          <w:color w:val="auto"/>
        </w:rPr>
      </w:pPr>
    </w:p>
    <w:p>
      <w:pPr>
        <w:ind w:right="40" w:firstLine="172"/>
        <w:spacing w:after="0" w:line="277"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S-3 No. 333-283381) of SL Green Operating Partnership, L.P. and in the related Prospectus of our report dated February 23, 2024, with respect to the consolidated financial statements of SL Green Operating Partnership, L.P. included in this Annual Report (Form 10-K) for the year ended December 31, 2024.</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ectPr>
          <w:pgSz w:w="11900" w:h="16838" w:orient="portrait"/>
          <w:cols w:equalWidth="0" w:num="1">
            <w:col w:w="11240"/>
          </w:cols>
          <w:pgMar w:left="320" w:top="867"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Marc Holliday, certify that:</w:t>
      </w:r>
    </w:p>
    <w:p>
      <w:pPr>
        <w:spacing w:after="0" w:line="252" w:lineRule="exact"/>
        <w:rPr>
          <w:sz w:val="20"/>
          <w:szCs w:val="20"/>
          <w:color w:val="auto"/>
        </w:rPr>
      </w:pPr>
    </w:p>
    <w:p>
      <w:pPr>
        <w:ind w:left="640" w:hanging="635"/>
        <w:spacing w:after="0"/>
        <w:tabs>
          <w:tab w:leader="none" w:pos="6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SL Green Realty Corp. (the “registrant”);</w:t>
      </w:r>
    </w:p>
    <w:p>
      <w:pPr>
        <w:spacing w:after="0" w:line="171" w:lineRule="exact"/>
        <w:rPr>
          <w:rFonts w:ascii="Times New Roman" w:cs="Times New Roman" w:eastAsia="Times New Roman" w:hAnsi="Times New Roman"/>
          <w:sz w:val="17"/>
          <w:szCs w:val="17"/>
          <w:color w:val="auto"/>
        </w:rPr>
      </w:pPr>
    </w:p>
    <w:p>
      <w:pPr>
        <w:jc w:val="both"/>
        <w:ind w:left="640" w:hanging="635"/>
        <w:spacing w:after="0" w:line="289" w:lineRule="auto"/>
        <w:tabs>
          <w:tab w:leader="none" w:pos="6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6"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17"/>
          <w:szCs w:val="17"/>
          <w:color w:val="auto"/>
        </w:rPr>
      </w:pPr>
    </w:p>
    <w:p>
      <w:pPr>
        <w:jc w:val="both"/>
        <w:ind w:left="640" w:hanging="635"/>
        <w:spacing w:after="0" w:line="277" w:lineRule="auto"/>
        <w:tabs>
          <w:tab w:leader="none" w:pos="6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7"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 w:lineRule="exact"/>
        <w:rPr>
          <w:rFonts w:ascii="Times New Roman" w:cs="Times New Roman" w:eastAsia="Times New Roman" w:hAnsi="Times New Roman"/>
          <w:sz w:val="17"/>
          <w:szCs w:val="17"/>
          <w:color w:val="auto"/>
        </w:rPr>
      </w:pPr>
    </w:p>
    <w:p>
      <w:pPr>
        <w:ind w:left="1260" w:hanging="626"/>
        <w:spacing w:after="0" w:line="289" w:lineRule="auto"/>
        <w:tabs>
          <w:tab w:leader="none" w:pos="1257"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hanging="626"/>
        <w:spacing w:after="0" w:line="268" w:lineRule="auto"/>
        <w:tabs>
          <w:tab w:leader="none" w:pos="1257"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626"/>
        <w:spacing w:after="0" w:line="275" w:lineRule="auto"/>
        <w:tabs>
          <w:tab w:leader="none" w:pos="1254"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Date: February 14, 2025</w:t>
      </w:r>
    </w:p>
    <w:p>
      <w:pPr>
        <w:spacing w:after="0" w:line="3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37465</wp:posOffset>
            </wp:positionV>
            <wp:extent cx="27813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9">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47" w:lineRule="exact"/>
        <w:rPr>
          <w:sz w:val="20"/>
          <w:szCs w:val="20"/>
          <w:color w:val="auto"/>
        </w:rPr>
      </w:pPr>
    </w:p>
    <w:p>
      <w:pPr>
        <w:ind w:left="1160"/>
        <w:spacing w:after="0"/>
        <w:tabs>
          <w:tab w:leader="none" w:pos="194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Marc Holliday</w:t>
      </w:r>
    </w:p>
    <w:p>
      <w:pPr>
        <w:spacing w:after="0" w:line="41" w:lineRule="exact"/>
        <w:rPr>
          <w:sz w:val="20"/>
          <w:szCs w:val="20"/>
          <w:color w:val="auto"/>
        </w:rPr>
      </w:pPr>
    </w:p>
    <w:p>
      <w:pPr>
        <w:ind w:left="1160"/>
        <w:spacing w:after="0"/>
        <w:tabs>
          <w:tab w:leader="none" w:pos="194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ectPr>
          <w:pgSz w:w="11900" w:h="16838" w:orient="portrait"/>
          <w:cols w:equalWidth="0" w:num="1">
            <w:col w:w="11240"/>
          </w:cols>
          <w:pgMar w:left="320" w:top="867"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Matthew J. DiLiberto, certify that:</w:t>
      </w:r>
    </w:p>
    <w:p>
      <w:pPr>
        <w:spacing w:after="0" w:line="226" w:lineRule="exact"/>
        <w:rPr>
          <w:sz w:val="20"/>
          <w:szCs w:val="20"/>
          <w:color w:val="auto"/>
        </w:rPr>
      </w:pPr>
    </w:p>
    <w:p>
      <w:pPr>
        <w:ind w:left="640" w:hanging="635"/>
        <w:spacing w:after="0"/>
        <w:tabs>
          <w:tab w:leader="none" w:pos="6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SL Green Realty Corp. (the “registrant”);</w:t>
      </w:r>
    </w:p>
    <w:p>
      <w:pPr>
        <w:spacing w:after="0" w:line="171" w:lineRule="exact"/>
        <w:rPr>
          <w:rFonts w:ascii="Times New Roman" w:cs="Times New Roman" w:eastAsia="Times New Roman" w:hAnsi="Times New Roman"/>
          <w:sz w:val="17"/>
          <w:szCs w:val="17"/>
          <w:color w:val="auto"/>
        </w:rPr>
      </w:pPr>
    </w:p>
    <w:p>
      <w:pPr>
        <w:jc w:val="both"/>
        <w:ind w:left="640" w:hanging="635"/>
        <w:spacing w:after="0" w:line="289" w:lineRule="auto"/>
        <w:tabs>
          <w:tab w:leader="none" w:pos="6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6"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17"/>
          <w:szCs w:val="17"/>
          <w:color w:val="auto"/>
        </w:rPr>
      </w:pPr>
    </w:p>
    <w:p>
      <w:pPr>
        <w:jc w:val="both"/>
        <w:ind w:left="640" w:hanging="635"/>
        <w:spacing w:after="0" w:line="277" w:lineRule="auto"/>
        <w:tabs>
          <w:tab w:leader="none" w:pos="6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7"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 w:lineRule="exact"/>
        <w:rPr>
          <w:rFonts w:ascii="Times New Roman" w:cs="Times New Roman" w:eastAsia="Times New Roman" w:hAnsi="Times New Roman"/>
          <w:sz w:val="17"/>
          <w:szCs w:val="17"/>
          <w:color w:val="auto"/>
        </w:rPr>
      </w:pPr>
    </w:p>
    <w:p>
      <w:pPr>
        <w:ind w:left="1260" w:hanging="626"/>
        <w:spacing w:after="0" w:line="289" w:lineRule="auto"/>
        <w:tabs>
          <w:tab w:leader="none" w:pos="1257"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hanging="626"/>
        <w:spacing w:after="0" w:line="268" w:lineRule="auto"/>
        <w:tabs>
          <w:tab w:leader="none" w:pos="1257"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626"/>
        <w:spacing w:after="0" w:line="275" w:lineRule="auto"/>
        <w:tabs>
          <w:tab w:leader="none" w:pos="1254"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February 14,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 Matthew J. DiLiberto</w:t>
            </w:r>
          </w:p>
        </w:tc>
      </w:tr>
      <w:tr>
        <w:trPr>
          <w:trHeight w:val="211"/>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Matthew J. DiLiberto</w:t>
            </w:r>
          </w:p>
        </w:tc>
      </w:tr>
      <w:tr>
        <w:trPr>
          <w:trHeight w:val="228"/>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66"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7"/>
          <w:szCs w:val="17"/>
          <w:b w:val="1"/>
          <w:bCs w:val="1"/>
          <w:color w:val="auto"/>
        </w:rPr>
        <w:t>Exhibit 31.3</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Marc Holliday, certify that:</w:t>
      </w:r>
    </w:p>
    <w:p>
      <w:pPr>
        <w:spacing w:after="0" w:line="252" w:lineRule="exact"/>
        <w:rPr>
          <w:sz w:val="20"/>
          <w:szCs w:val="20"/>
          <w:color w:val="auto"/>
        </w:rPr>
      </w:pPr>
    </w:p>
    <w:p>
      <w:pPr>
        <w:ind w:left="640" w:hanging="635"/>
        <w:spacing w:after="0"/>
        <w:tabs>
          <w:tab w:leader="none" w:pos="64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SL Green Operating Partnership, L.P. (the “registrant”);</w:t>
      </w:r>
    </w:p>
    <w:p>
      <w:pPr>
        <w:spacing w:after="0" w:line="171" w:lineRule="exact"/>
        <w:rPr>
          <w:rFonts w:ascii="Times New Roman" w:cs="Times New Roman" w:eastAsia="Times New Roman" w:hAnsi="Times New Roman"/>
          <w:sz w:val="17"/>
          <w:szCs w:val="17"/>
          <w:color w:val="auto"/>
        </w:rPr>
      </w:pPr>
    </w:p>
    <w:p>
      <w:pPr>
        <w:jc w:val="both"/>
        <w:ind w:left="640" w:hanging="635"/>
        <w:spacing w:after="0" w:line="289" w:lineRule="auto"/>
        <w:tabs>
          <w:tab w:leader="none" w:pos="64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6"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17"/>
          <w:szCs w:val="17"/>
          <w:color w:val="auto"/>
        </w:rPr>
      </w:pPr>
    </w:p>
    <w:p>
      <w:pPr>
        <w:jc w:val="both"/>
        <w:ind w:left="640" w:hanging="635"/>
        <w:spacing w:after="0" w:line="277" w:lineRule="auto"/>
        <w:tabs>
          <w:tab w:leader="none" w:pos="64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7"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 w:lineRule="exact"/>
        <w:rPr>
          <w:rFonts w:ascii="Times New Roman" w:cs="Times New Roman" w:eastAsia="Times New Roman" w:hAnsi="Times New Roman"/>
          <w:sz w:val="17"/>
          <w:szCs w:val="17"/>
          <w:color w:val="auto"/>
        </w:rPr>
      </w:pPr>
    </w:p>
    <w:p>
      <w:pPr>
        <w:ind w:left="1260" w:hanging="626"/>
        <w:spacing w:after="0" w:line="289" w:lineRule="auto"/>
        <w:tabs>
          <w:tab w:leader="none" w:pos="1257"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hanging="626"/>
        <w:spacing w:after="0" w:line="268" w:lineRule="auto"/>
        <w:tabs>
          <w:tab w:leader="none" w:pos="1257"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626"/>
        <w:spacing w:after="0" w:line="275" w:lineRule="auto"/>
        <w:tabs>
          <w:tab w:leader="none" w:pos="1254"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Date: February 14, 2025</w:t>
      </w:r>
    </w:p>
    <w:p>
      <w:pPr>
        <w:spacing w:after="0" w:line="30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37465</wp:posOffset>
            </wp:positionV>
            <wp:extent cx="27813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0">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47" w:lineRule="exact"/>
        <w:rPr>
          <w:sz w:val="20"/>
          <w:szCs w:val="20"/>
          <w:color w:val="auto"/>
        </w:rPr>
      </w:pPr>
    </w:p>
    <w:p>
      <w:pPr>
        <w:ind w:left="1160"/>
        <w:spacing w:after="0"/>
        <w:tabs>
          <w:tab w:leader="none" w:pos="194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Marc Holliday</w:t>
      </w:r>
    </w:p>
    <w:p>
      <w:pPr>
        <w:spacing w:after="0" w:line="41" w:lineRule="exact"/>
        <w:rPr>
          <w:sz w:val="20"/>
          <w:szCs w:val="20"/>
          <w:color w:val="auto"/>
        </w:rPr>
      </w:pPr>
    </w:p>
    <w:p>
      <w:pPr>
        <w:ind w:left="1160"/>
        <w:spacing w:after="0"/>
        <w:tabs>
          <w:tab w:leader="none" w:pos="194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of SL Green Realty Corp., the</w:t>
      </w:r>
    </w:p>
    <w:p>
      <w:pPr>
        <w:spacing w:after="0" w:line="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general partner of the registrant</w:t>
      </w:r>
    </w:p>
    <w:p>
      <w:pPr>
        <w:sectPr>
          <w:pgSz w:w="11900" w:h="16838" w:orient="portrait"/>
          <w:cols w:equalWidth="0" w:num="1">
            <w:col w:w="11240"/>
          </w:cols>
          <w:pgMar w:left="320" w:top="866"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7"/>
          <w:szCs w:val="17"/>
          <w:b w:val="1"/>
          <w:bCs w:val="1"/>
          <w:color w:val="auto"/>
        </w:rPr>
        <w:t>Exhibit 31.4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Matthew J. DiLiberto, certify that:</w:t>
      </w:r>
    </w:p>
    <w:p>
      <w:pPr>
        <w:spacing w:after="0" w:line="252" w:lineRule="exact"/>
        <w:rPr>
          <w:sz w:val="20"/>
          <w:szCs w:val="20"/>
          <w:color w:val="auto"/>
        </w:rPr>
      </w:pPr>
    </w:p>
    <w:p>
      <w:pPr>
        <w:ind w:left="640" w:hanging="635"/>
        <w:spacing w:after="0"/>
        <w:tabs>
          <w:tab w:leader="none" w:pos="6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SL Green Operating Partnership, L.P. (the “registrant”);</w:t>
      </w:r>
    </w:p>
    <w:p>
      <w:pPr>
        <w:spacing w:after="0" w:line="171" w:lineRule="exact"/>
        <w:rPr>
          <w:rFonts w:ascii="Times New Roman" w:cs="Times New Roman" w:eastAsia="Times New Roman" w:hAnsi="Times New Roman"/>
          <w:sz w:val="17"/>
          <w:szCs w:val="17"/>
          <w:color w:val="auto"/>
        </w:rPr>
      </w:pPr>
    </w:p>
    <w:p>
      <w:pPr>
        <w:jc w:val="both"/>
        <w:ind w:left="640" w:hanging="635"/>
        <w:spacing w:after="0" w:line="289" w:lineRule="auto"/>
        <w:tabs>
          <w:tab w:leader="none" w:pos="6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6"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17"/>
          <w:szCs w:val="17"/>
          <w:color w:val="auto"/>
        </w:rPr>
      </w:pPr>
    </w:p>
    <w:p>
      <w:pPr>
        <w:jc w:val="both"/>
        <w:ind w:left="640" w:hanging="635"/>
        <w:spacing w:after="0" w:line="277" w:lineRule="auto"/>
        <w:tabs>
          <w:tab w:leader="none" w:pos="6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7"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 w:lineRule="exact"/>
        <w:rPr>
          <w:rFonts w:ascii="Times New Roman" w:cs="Times New Roman" w:eastAsia="Times New Roman" w:hAnsi="Times New Roman"/>
          <w:sz w:val="17"/>
          <w:szCs w:val="17"/>
          <w:color w:val="auto"/>
        </w:rPr>
      </w:pPr>
    </w:p>
    <w:p>
      <w:pPr>
        <w:ind w:left="1260" w:hanging="626"/>
        <w:spacing w:after="0" w:line="289" w:lineRule="auto"/>
        <w:tabs>
          <w:tab w:leader="none" w:pos="1257"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60" w:hanging="626"/>
        <w:spacing w:after="0" w:line="277" w:lineRule="auto"/>
        <w:tabs>
          <w:tab w:leader="none" w:pos="1254"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 w:lineRule="exact"/>
        <w:rPr>
          <w:rFonts w:ascii="Times New Roman" w:cs="Times New Roman" w:eastAsia="Times New Roman" w:hAnsi="Times New Roman"/>
          <w:sz w:val="17"/>
          <w:szCs w:val="17"/>
          <w:color w:val="auto"/>
        </w:rPr>
      </w:pPr>
    </w:p>
    <w:p>
      <w:pPr>
        <w:ind w:left="640" w:hanging="635"/>
        <w:spacing w:after="0" w:line="297" w:lineRule="auto"/>
        <w:tabs>
          <w:tab w:leader="none" w:pos="6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hanging="626"/>
        <w:spacing w:after="0" w:line="268" w:lineRule="auto"/>
        <w:tabs>
          <w:tab w:leader="none" w:pos="1257"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hanging="626"/>
        <w:spacing w:after="0" w:line="275" w:lineRule="auto"/>
        <w:tabs>
          <w:tab w:leader="none" w:pos="1254"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February 14, 2025</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 Matthew J. DiLiberto</w:t>
            </w:r>
          </w:p>
        </w:tc>
      </w:tr>
      <w:tr>
        <w:trPr>
          <w:trHeight w:val="211"/>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Matthew J. DiLiberto</w:t>
            </w:r>
          </w:p>
        </w:tc>
      </w:tr>
      <w:tr>
        <w:trPr>
          <w:trHeight w:val="223"/>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of SL Green Realty Corp., the</w:t>
            </w:r>
          </w:p>
        </w:tc>
      </w:tr>
      <w:tr>
        <w:trPr>
          <w:trHeight w:val="228"/>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partner of the registrant</w:t>
            </w:r>
          </w:p>
        </w:tc>
      </w:tr>
    </w:tbl>
    <w:p>
      <w:pPr>
        <w:sectPr>
          <w:pgSz w:w="11900" w:h="16838" w:orient="portrait"/>
          <w:cols w:equalWidth="0" w:num="1">
            <w:col w:w="11240"/>
          </w:cols>
          <w:pgMar w:left="320" w:top="867"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connection with the Annual Report of SL Green Realty Corp. (the “Company”) on Form 10-K as filed with the Securities and Exchange Commission on the date hereof (the “Report”), I, Marc Holliday, Chairman and Chief Executive Officer of the Company, hereby certify, pursuant to 18 U.S.C. Section 1350, as adopted pursuant to Section 906 of the Sarbanes-Oxley Act of 2002, that:</w:t>
      </w:r>
    </w:p>
    <w:p>
      <w:pPr>
        <w:spacing w:after="0" w:line="162" w:lineRule="exact"/>
        <w:rPr>
          <w:sz w:val="20"/>
          <w:szCs w:val="20"/>
          <w:color w:val="auto"/>
        </w:rPr>
      </w:pPr>
    </w:p>
    <w:p>
      <w:pPr>
        <w:ind w:left="640" w:hanging="635"/>
        <w:spacing w:after="0"/>
        <w:tabs>
          <w:tab w:leader="none" w:pos="6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171"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 Marc Holliday</w:t>
            </w:r>
          </w:p>
        </w:tc>
      </w:tr>
      <w:tr>
        <w:trPr>
          <w:trHeight w:val="211"/>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Marc Holliday</w:t>
            </w:r>
          </w:p>
        </w:tc>
      </w:tr>
      <w:tr>
        <w:trPr>
          <w:trHeight w:val="228"/>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Chairman and Chief Executive Officer</w:t>
            </w:r>
          </w:p>
        </w:tc>
      </w:tr>
    </w:tbl>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February 14, 2025</w:t>
      </w:r>
    </w:p>
    <w:p>
      <w:pPr>
        <w:sectPr>
          <w:pgSz w:w="11900" w:h="16838" w:orient="portrait"/>
          <w:cols w:equalWidth="0" w:num="1">
            <w:col w:w="11240"/>
          </w:cols>
          <w:pgMar w:left="320" w:top="867"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connection with the Annual Report of SL Green Realty Corp. (the “Company”) on Form 10-K as filed with the Securities and Exchange Commission on the date hereof (the “Report”), I, Matthew J. DiLiberto, Chief Financial Officer of the Company, hereby certify, pursuant to 18 U.S.C. Section 1350, as adopted pursuant to Section 906 of the Sarbanes-Oxley Act of 2002, that:</w:t>
      </w:r>
    </w:p>
    <w:p>
      <w:pPr>
        <w:spacing w:after="0" w:line="162" w:lineRule="exact"/>
        <w:rPr>
          <w:sz w:val="20"/>
          <w:szCs w:val="20"/>
          <w:color w:val="auto"/>
        </w:rPr>
      </w:pPr>
    </w:p>
    <w:p>
      <w:pPr>
        <w:ind w:left="640" w:hanging="635"/>
        <w:spacing w:after="0"/>
        <w:tabs>
          <w:tab w:leader="none" w:pos="6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171" w:lineRule="exact"/>
        <w:rPr>
          <w:rFonts w:ascii="Times New Roman" w:cs="Times New Roman" w:eastAsia="Times New Roman" w:hAnsi="Times New Roman"/>
          <w:sz w:val="17"/>
          <w:szCs w:val="17"/>
          <w:color w:val="auto"/>
        </w:rPr>
      </w:pPr>
    </w:p>
    <w:p>
      <w:pPr>
        <w:ind w:left="640" w:hanging="635"/>
        <w:spacing w:after="0"/>
        <w:tabs>
          <w:tab w:leader="none" w:pos="64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 Matthew J. DiLiberto</w:t>
            </w:r>
          </w:p>
        </w:tc>
      </w:tr>
      <w:tr>
        <w:trPr>
          <w:trHeight w:val="211"/>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Matthew J. DiLiberto</w:t>
            </w:r>
          </w:p>
        </w:tc>
      </w:tr>
      <w:tr>
        <w:trPr>
          <w:trHeight w:val="228"/>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February 14, 2025</w:t>
      </w:r>
    </w:p>
    <w:p>
      <w:pPr>
        <w:sectPr>
          <w:pgSz w:w="11900" w:h="16838" w:orient="portrait"/>
          <w:cols w:equalWidth="0" w:num="1">
            <w:col w:w="11240"/>
          </w:cols>
          <w:pgMar w:left="320" w:top="867"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7"/>
          <w:szCs w:val="17"/>
          <w:b w:val="1"/>
          <w:bCs w:val="1"/>
          <w:color w:val="auto"/>
        </w:rPr>
        <w:t>Exhibit 32.3</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3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connection with the Annual Report of SL Green Operating Partnership, L.P. (the “Operating Partnership”) on Form 10-K as filed with the Securities and Exchange Commission on the date hereof (the “Report”), I, Marc Holliday, Chairman and Chief Executive Officer of SL Green Realty Corp, the sole general partner of the Operating Partnership, hereby certify, pursuant to 18 U.S.C. Section 1350, as adopted pursuant to Section 906 of the Sarbanes-Oxley Act of 2002, that:</w:t>
      </w:r>
    </w:p>
    <w:p>
      <w:pPr>
        <w:spacing w:after="0" w:line="200" w:lineRule="exact"/>
        <w:rPr>
          <w:sz w:val="20"/>
          <w:szCs w:val="20"/>
          <w:color w:val="auto"/>
        </w:rPr>
      </w:pPr>
    </w:p>
    <w:p>
      <w:pPr>
        <w:spacing w:after="0" w:line="206" w:lineRule="exact"/>
        <w:rPr>
          <w:sz w:val="20"/>
          <w:szCs w:val="20"/>
          <w:color w:val="auto"/>
        </w:rPr>
      </w:pPr>
    </w:p>
    <w:p>
      <w:pPr>
        <w:ind w:left="300" w:hanging="295"/>
        <w:spacing w:after="0"/>
        <w:tabs>
          <w:tab w:leader="none" w:pos="30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50" w:lineRule="exact"/>
        <w:rPr>
          <w:rFonts w:ascii="Times New Roman" w:cs="Times New Roman" w:eastAsia="Times New Roman" w:hAnsi="Times New Roman"/>
          <w:sz w:val="17"/>
          <w:szCs w:val="17"/>
          <w:color w:val="auto"/>
        </w:rPr>
      </w:pPr>
    </w:p>
    <w:p>
      <w:pPr>
        <w:ind w:left="640" w:hanging="635"/>
        <w:spacing w:after="0" w:line="268" w:lineRule="auto"/>
        <w:tabs>
          <w:tab w:leader="none" w:pos="441"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 Marc Holliday</w:t>
            </w:r>
          </w:p>
        </w:tc>
      </w:tr>
      <w:tr>
        <w:trPr>
          <w:trHeight w:val="211"/>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Marc Holliday</w:t>
            </w:r>
          </w:p>
        </w:tc>
      </w:tr>
      <w:tr>
        <w:trPr>
          <w:trHeight w:val="223"/>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Chairman and Chief Executive Officer</w:t>
            </w:r>
          </w:p>
        </w:tc>
      </w:tr>
      <w:tr>
        <w:trPr>
          <w:trHeight w:val="223"/>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of SL Green Realty Corp., the</w:t>
            </w:r>
          </w:p>
        </w:tc>
      </w:tr>
      <w:tr>
        <w:trPr>
          <w:trHeight w:val="228"/>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partner of the Operating Partnership</w:t>
            </w:r>
          </w:p>
        </w:tc>
      </w:tr>
    </w:tbl>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February 14, 2025</w:t>
      </w:r>
    </w:p>
    <w:p>
      <w:pPr>
        <w:sectPr>
          <w:pgSz w:w="11900" w:h="16838" w:orient="portrait"/>
          <w:cols w:equalWidth="0" w:num="1">
            <w:col w:w="11240"/>
          </w:cols>
          <w:pgMar w:left="320" w:top="867"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7"/>
          <w:szCs w:val="17"/>
          <w:b w:val="1"/>
          <w:bCs w:val="1"/>
          <w:color w:val="auto"/>
        </w:rPr>
        <w:t>Exhibit 32.4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3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connection with the Annual Report of SL Green Operating Partnership, L.P. (the “Operating Partnership”) on Form 10-K as filed with the Securities and Exchange Commission on the date hereof (the “Report”), I, Matthew J. DiLiberto, Chief Financial Officer of SL Green Realty Corp, the sole general partner of the Operating Partnership, hereby certify, pursuant to 18 U.S.C. Section 1350, as adopted pursuant to Section 906 of the Sarbanes-Oxley Act of 2002, that:</w:t>
      </w:r>
    </w:p>
    <w:p>
      <w:pPr>
        <w:spacing w:after="0" w:line="189" w:lineRule="exact"/>
        <w:rPr>
          <w:sz w:val="20"/>
          <w:szCs w:val="20"/>
          <w:color w:val="auto"/>
        </w:rPr>
      </w:pPr>
    </w:p>
    <w:p>
      <w:pPr>
        <w:ind w:left="300" w:hanging="295"/>
        <w:spacing w:after="0"/>
        <w:tabs>
          <w:tab w:leader="none" w:pos="3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50" w:lineRule="exact"/>
        <w:rPr>
          <w:rFonts w:ascii="Times New Roman" w:cs="Times New Roman" w:eastAsia="Times New Roman" w:hAnsi="Times New Roman"/>
          <w:sz w:val="17"/>
          <w:szCs w:val="17"/>
          <w:color w:val="auto"/>
        </w:rPr>
      </w:pPr>
    </w:p>
    <w:p>
      <w:pPr>
        <w:ind w:left="640" w:hanging="635"/>
        <w:spacing w:after="0" w:line="268" w:lineRule="auto"/>
        <w:tabs>
          <w:tab w:leader="none" w:pos="441"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Operating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 Matthew J. DiLiberto</w:t>
            </w:r>
          </w:p>
        </w:tc>
      </w:tr>
      <w:tr>
        <w:trPr>
          <w:trHeight w:val="211"/>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Matthew J. DiLiberto</w:t>
            </w:r>
          </w:p>
        </w:tc>
      </w:tr>
      <w:tr>
        <w:trPr>
          <w:trHeight w:val="223"/>
        </w:trPr>
        <w:tc>
          <w:tcPr>
            <w:tcW w:w="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Title:</w:t>
            </w: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of SL Green Realty Corp., the</w:t>
            </w:r>
          </w:p>
        </w:tc>
      </w:tr>
      <w:tr>
        <w:trPr>
          <w:trHeight w:val="228"/>
        </w:trPr>
        <w:tc>
          <w:tcPr>
            <w:tcW w:w="720" w:type="dxa"/>
            <w:vAlign w:val="bottom"/>
          </w:tcPr>
          <w:p>
            <w:pPr>
              <w:spacing w:after="0"/>
              <w:rPr>
                <w:sz w:val="19"/>
                <w:szCs w:val="19"/>
                <w:color w:val="auto"/>
              </w:rPr>
            </w:pPr>
          </w:p>
        </w:tc>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partner of the Operating Partnership</w:t>
            </w:r>
          </w:p>
        </w:tc>
      </w:tr>
    </w:tbl>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February 14, 2025</w:t>
      </w:r>
    </w:p>
    <w:sectPr>
      <w:pgSz w:w="11900" w:h="16838" w:orient="portrait"/>
      <w:cols w:equalWidth="0" w:num="1">
        <w:col w:w="11240"/>
      </w:cols>
      <w:pgMar w:left="320" w:top="8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lvl w:ilvl="1">
      <w:lvlJc w:val="left"/>
      <w:lvlText w:val="◦"/>
      <w:numFmt w:val="bullet"/>
      <w:start w:val="1"/>
    </w:lvl>
  </w:abstractNum>
  <w:abstractNum w:abstractNumId="4">
    <w:nsid w:val="10233C99"/>
    <w:multiLevelType w:val="hybridMultilevel"/>
    <w:lvl w:ilvl="0">
      <w:lvlJc w:val="left"/>
      <w:lvlText w:val="(%1)"/>
      <w:numFmt w:val="decimal"/>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1)"/>
      <w:numFmt w:val="decimal"/>
      <w:start w:val="1"/>
    </w:lvl>
  </w:abstractNum>
  <w:abstractNum w:abstractNumId="9">
    <w:nsid w:val="579BE4F1"/>
    <w:multiLevelType w:val="hybridMultilevel"/>
    <w:lvl w:ilvl="0">
      <w:lvlJc w:val="left"/>
      <w:lvlText w:val="(%1)"/>
      <w:numFmt w:val="decimal"/>
      <w:start w:val="1"/>
    </w:lvl>
  </w:abstractNum>
  <w:abstractNum w:abstractNumId="10">
    <w:nsid w:val="310C50B3"/>
    <w:multiLevelType w:val="hybridMultilevel"/>
    <w:lvl w:ilvl="0">
      <w:lvlJc w:val="left"/>
      <w:lvlText w:val="(%1)"/>
      <w:numFmt w:val="decimal"/>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1)"/>
      <w:numFmt w:val="decimal"/>
      <w:start w:val="1"/>
    </w:lvl>
  </w:abstractNum>
  <w:abstractNum w:abstractNumId="25">
    <w:nsid w:val="6B94764"/>
    <w:multiLevelType w:val="hybridMultilevel"/>
    <w:lvl w:ilvl="0">
      <w:lvlJc w:val="left"/>
      <w:lvlText w:val="(%1)"/>
      <w:numFmt w:val="decimal"/>
      <w:start w:val="1"/>
    </w:lvl>
  </w:abstractNum>
  <w:abstractNum w:abstractNumId="26">
    <w:nsid w:val="42C296BD"/>
    <w:multiLevelType w:val="hybridMultilevel"/>
    <w:lvl w:ilvl="0">
      <w:lvlJc w:val="left"/>
      <w:lvlText w:val="(%1)"/>
      <w:numFmt w:val="decimal"/>
      <w:start w:val="1"/>
    </w:lvl>
  </w:abstractNum>
  <w:abstractNum w:abstractNumId="27">
    <w:nsid w:val="168E121F"/>
    <w:multiLevelType w:val="hybridMultilevel"/>
    <w:lvl w:ilvl="0">
      <w:lvlJc w:val="left"/>
      <w:lvlText w:val="(%1)"/>
      <w:numFmt w:val="decimal"/>
      <w:start w:val="1"/>
    </w:lvl>
  </w:abstractNum>
  <w:abstractNum w:abstractNumId="28">
    <w:nsid w:val="1EBA5D23"/>
    <w:multiLevelType w:val="hybridMultilevel"/>
    <w:lvl w:ilvl="0">
      <w:lvlJc w:val="left"/>
      <w:lvlText w:val="(%1)"/>
      <w:numFmt w:val="decimal"/>
      <w:start w:val="1"/>
    </w:lvl>
  </w:abstractNum>
  <w:abstractNum w:abstractNumId="29">
    <w:nsid w:val="661E3F1E"/>
    <w:multiLevelType w:val="hybridMultilevel"/>
    <w:lvl w:ilvl="0">
      <w:lvlJc w:val="left"/>
      <w:lvlText w:val="%1."/>
      <w:numFmt w:val="lowerRoman"/>
      <w:start w:val="1"/>
    </w:lvl>
  </w:abstractNum>
  <w:abstractNum w:abstractNumId="30">
    <w:nsid w:val="5DC79EA8"/>
    <w:multiLevelType w:val="hybridMultilevel"/>
    <w:lvl w:ilvl="0">
      <w:lvlJc w:val="left"/>
      <w:lvlText w:val="(%1)"/>
      <w:numFmt w:val="decimal"/>
      <w:start w:val="1"/>
    </w:lvl>
  </w:abstractNum>
  <w:abstractNum w:abstractNumId="31">
    <w:nsid w:val="540A471C"/>
    <w:multiLevelType w:val="hybridMultilevel"/>
    <w:lvl w:ilvl="0">
      <w:lvlJc w:val="left"/>
      <w:lvlText w:val="(%1)"/>
      <w:numFmt w:val="decimal"/>
      <w:start w:val="1"/>
    </w:lvl>
  </w:abstractNum>
  <w:abstractNum w:abstractNumId="32">
    <w:nsid w:val="7BD3EE7B"/>
    <w:multiLevelType w:val="hybridMultilevel"/>
    <w:lvl w:ilvl="0">
      <w:lvlJc w:val="left"/>
      <w:lvlText w:val="(%1)"/>
      <w:numFmt w:val="decimal"/>
      <w:start w:val="1"/>
    </w:lvl>
  </w:abstractNum>
  <w:abstractNum w:abstractNumId="33">
    <w:nsid w:val="51D9C564"/>
    <w:multiLevelType w:val="hybridMultilevel"/>
    <w:lvl w:ilvl="0">
      <w:lvlJc w:val="left"/>
      <w:lvlText w:val="(%1)"/>
      <w:numFmt w:val="decimal"/>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1)"/>
      <w:numFmt w:val="decimal"/>
      <w:start w:val="1"/>
    </w:lvl>
  </w:abstractNum>
  <w:abstractNum w:abstractNumId="36">
    <w:nsid w:val="11447B73"/>
    <w:multiLevelType w:val="hybridMultilevel"/>
    <w:lvl w:ilvl="0">
      <w:lvlJc w:val="left"/>
      <w:lvlText w:val="•"/>
      <w:numFmt w:val="bullet"/>
      <w:start w:val="1"/>
    </w:lvl>
    <w:lvl w:ilvl="1">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1)"/>
      <w:numFmt w:val="decimal"/>
      <w:start w:val="1"/>
    </w:lvl>
  </w:abstractNum>
  <w:abstractNum w:abstractNumId="40">
    <w:nsid w:val="1A32234B"/>
    <w:multiLevelType w:val="hybridMultilevel"/>
    <w:lvl w:ilvl="0">
      <w:lvlJc w:val="left"/>
      <w:lvlText w:val="•"/>
      <w:numFmt w:val="bullet"/>
      <w:start w:val="1"/>
    </w:lvl>
    <w:lvl w:ilvl="1">
      <w:lvlJc w:val="left"/>
      <w:lvlText w:val="◦"/>
      <w:numFmt w:val="bullet"/>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lvl w:ilvl="1">
      <w:lvlJc w:val="left"/>
      <w:lvlText w:val="◦"/>
      <w:numFmt w:val="bullet"/>
      <w:start w:val="1"/>
    </w:lvl>
  </w:abstractNum>
  <w:abstractNum w:abstractNumId="43">
    <w:nsid w:val="4962813B"/>
    <w:multiLevelType w:val="hybridMultilevel"/>
    <w:lvl w:ilvl="0">
      <w:lvlJc w:val="left"/>
      <w:lvlText w:val="(%1)"/>
      <w:numFmt w:val="decimal"/>
      <w:start w:val="1"/>
    </w:lvl>
  </w:abstractNum>
  <w:abstractNum w:abstractNumId="44">
    <w:nsid w:val="60B6DF70"/>
    <w:multiLevelType w:val="hybridMultilevel"/>
    <w:lvl w:ilvl="0">
      <w:lvlJc w:val="left"/>
      <w:lvlText w:val="(%1)"/>
      <w:numFmt w:val="decimal"/>
      <w:start w:val="1"/>
    </w:lvl>
  </w:abstractNum>
  <w:abstractNum w:abstractNumId="45">
    <w:nsid w:val="6A5EE64"/>
    <w:multiLevelType w:val="hybridMultilevel"/>
    <w:lvl w:ilvl="0">
      <w:lvlJc w:val="left"/>
      <w:lvlText w:val="(%1)"/>
      <w:numFmt w:val="decimal"/>
      <w:start w:val="2"/>
    </w:lvl>
  </w:abstractNum>
  <w:abstractNum w:abstractNumId="46">
    <w:nsid w:val="14330624"/>
    <w:multiLevelType w:val="hybridMultilevel"/>
    <w:lvl w:ilvl="0">
      <w:lvlJc w:val="left"/>
      <w:lvlText w:val="%1."/>
      <w:numFmt w:val="decimal"/>
      <w:start w:val="2"/>
    </w:lvl>
  </w:abstractNum>
  <w:abstractNum w:abstractNumId="47">
    <w:nsid w:val="7FFFCA11"/>
    <w:multiLevelType w:val="hybridMultilevel"/>
    <w:lvl w:ilvl="0">
      <w:lvlJc w:val="left"/>
      <w:lvlText w:val="(%1)"/>
      <w:numFmt w:val="decimal"/>
      <w:start w:val="1"/>
    </w:lvl>
  </w:abstractNum>
  <w:abstractNum w:abstractNumId="48">
    <w:nsid w:val="1A27709E"/>
    <w:multiLevelType w:val="hybridMultilevel"/>
    <w:lvl w:ilvl="0">
      <w:lvlJc w:val="left"/>
      <w:lvlText w:val="%1."/>
      <w:numFmt w:val="decimal"/>
      <w:start w:val="20"/>
    </w:lvl>
  </w:abstractNum>
  <w:abstractNum w:abstractNumId="49">
    <w:nsid w:val="71EA1109"/>
    <w:multiLevelType w:val="hybridMultilevel"/>
    <w:lvl w:ilvl="0">
      <w:lvlJc w:val="left"/>
      <w:lvlText w:val="%1"/>
      <w:numFmt w:val="decimal"/>
      <w:start w:val="2"/>
    </w:lvl>
  </w:abstractNum>
  <w:abstractNum w:abstractNumId="50">
    <w:nsid w:val="100F59DC"/>
    <w:multiLevelType w:val="hybridMultilevel"/>
    <w:lvl w:ilvl="0">
      <w:lvlJc w:val="left"/>
      <w:lvlText w:val="%1."/>
      <w:numFmt w:val="decimal"/>
      <w:start w:val="3"/>
    </w:lvl>
  </w:abstractNum>
  <w:abstractNum w:abstractNumId="51">
    <w:nsid w:val="7FB7E0AA"/>
    <w:multiLevelType w:val="hybridMultilevel"/>
    <w:lvl w:ilvl="0">
      <w:lvlJc w:val="left"/>
      <w:lvlText w:val="(%1)"/>
      <w:numFmt w:val="decimal"/>
      <w:start w:val="1"/>
    </w:lvl>
  </w:abstractNum>
  <w:abstractNum w:abstractNumId="52">
    <w:nsid w:val="6EB5BD4"/>
    <w:multiLevelType w:val="hybridMultilevel"/>
    <w:lvl w:ilvl="0">
      <w:lvlJc w:val="left"/>
      <w:lvlText w:val="(%1)"/>
      <w:numFmt w:val="decimal"/>
      <w:start w:val="1"/>
    </w:lvl>
  </w:abstractNum>
  <w:abstractNum w:abstractNumId="53">
    <w:nsid w:val="6F6DD9AC"/>
    <w:multiLevelType w:val="hybridMultilevel"/>
    <w:lvl w:ilvl="0">
      <w:lvlJc w:val="left"/>
      <w:lvlText w:val="%1."/>
      <w:numFmt w:val="decimal"/>
      <w:start w:val="4"/>
    </w:lvl>
  </w:abstractNum>
  <w:abstractNum w:abstractNumId="54">
    <w:nsid w:val="94211F2"/>
    <w:multiLevelType w:val="hybridMultilevel"/>
    <w:lvl w:ilvl="0">
      <w:lvlJc w:val="left"/>
      <w:lvlText w:val="(%1)"/>
      <w:numFmt w:val="decimal"/>
      <w:start w:val="1"/>
    </w:lvl>
  </w:abstractNum>
  <w:abstractNum w:abstractNumId="55">
    <w:nsid w:val="885E1B"/>
    <w:multiLevelType w:val="hybridMultilevel"/>
    <w:lvl w:ilvl="0">
      <w:lvlJc w:val="left"/>
      <w:lvlText w:val="(%1)"/>
      <w:numFmt w:val="decimal"/>
      <w:start w:val="1"/>
    </w:lvl>
  </w:abstractNum>
  <w:abstractNum w:abstractNumId="56">
    <w:nsid w:val="76272110"/>
    <w:multiLevelType w:val="hybridMultilevel"/>
    <w:lvl w:ilvl="0">
      <w:lvlJc w:val="left"/>
      <w:lvlText w:val="(%1)"/>
      <w:numFmt w:val="decimal"/>
      <w:start w:val="1"/>
    </w:lvl>
  </w:abstractNum>
  <w:abstractNum w:abstractNumId="57">
    <w:nsid w:val="4C04A8AF"/>
    <w:multiLevelType w:val="hybridMultilevel"/>
    <w:lvl w:ilvl="0">
      <w:lvlJc w:val="left"/>
      <w:lvlText w:val="(%1)"/>
      <w:numFmt w:val="decimal"/>
      <w:start w:val="1"/>
    </w:lvl>
  </w:abstractNum>
  <w:abstractNum w:abstractNumId="58">
    <w:nsid w:val="1716703B"/>
    <w:multiLevelType w:val="hybridMultilevel"/>
    <w:lvl w:ilvl="0">
      <w:lvlJc w:val="left"/>
      <w:lvlText w:val="(%1)"/>
      <w:numFmt w:val="decimal"/>
      <w:start w:val="1"/>
    </w:lvl>
  </w:abstractNum>
  <w:abstractNum w:abstractNumId="59">
    <w:nsid w:val="14E17E33"/>
    <w:multiLevelType w:val="hybridMultilevel"/>
    <w:lvl w:ilvl="0">
      <w:lvlJc w:val="left"/>
      <w:lvlText w:val="(%1)"/>
      <w:numFmt w:val="decimal"/>
      <w:start w:val="1"/>
    </w:lvl>
  </w:abstractNum>
  <w:abstractNum w:abstractNumId="60">
    <w:nsid w:val="3222E7CD"/>
    <w:multiLevelType w:val="hybridMultilevel"/>
    <w:lvl w:ilvl="0">
      <w:lvlJc w:val="left"/>
      <w:lvlText w:val="(%1)"/>
      <w:numFmt w:val="decimal"/>
      <w:start w:val="1"/>
    </w:lvl>
  </w:abstractNum>
  <w:abstractNum w:abstractNumId="61">
    <w:nsid w:val="74DE0EE3"/>
    <w:multiLevelType w:val="hybridMultilevel"/>
    <w:lvl w:ilvl="0">
      <w:lvlJc w:val="left"/>
      <w:lvlText w:val="(%1)"/>
      <w:numFmt w:val="decimal"/>
      <w:start w:val="1"/>
    </w:lvl>
  </w:abstractNum>
  <w:abstractNum w:abstractNumId="62">
    <w:nsid w:val="68EBC550"/>
    <w:multiLevelType w:val="hybridMultilevel"/>
    <w:lvl w:ilvl="0">
      <w:lvlJc w:val="left"/>
      <w:lvlText w:val="(%1)"/>
      <w:numFmt w:val="decimal"/>
      <w:start w:val="1"/>
    </w:lvl>
  </w:abstractNum>
  <w:abstractNum w:abstractNumId="63">
    <w:nsid w:val="2DF6D648"/>
    <w:multiLevelType w:val="hybridMultilevel"/>
    <w:lvl w:ilvl="0">
      <w:lvlJc w:val="left"/>
      <w:lvlText w:val="(%1)"/>
      <w:numFmt w:val="decimal"/>
      <w:start w:val="9"/>
    </w:lvl>
  </w:abstractNum>
  <w:abstractNum w:abstractNumId="64">
    <w:nsid w:val="46B7D447"/>
    <w:multiLevelType w:val="hybridMultilevel"/>
    <w:lvl w:ilvl="0">
      <w:lvlJc w:val="left"/>
      <w:lvlText w:val="(%1)"/>
      <w:numFmt w:val="decimal"/>
      <w:start w:val="1"/>
    </w:lvl>
  </w:abstractNum>
  <w:abstractNum w:abstractNumId="65">
    <w:nsid w:val="4A2AC315"/>
    <w:multiLevelType w:val="hybridMultilevel"/>
    <w:lvl w:ilvl="0">
      <w:lvlJc w:val="left"/>
      <w:lvlText w:val="(%1)"/>
      <w:numFmt w:val="decimal"/>
      <w:start w:val="1"/>
    </w:lvl>
  </w:abstractNum>
  <w:abstractNum w:abstractNumId="66">
    <w:nsid w:val="39EE015C"/>
    <w:multiLevelType w:val="hybridMultilevel"/>
    <w:lvl w:ilvl="0">
      <w:lvlJc w:val="left"/>
      <w:lvlText w:val="(%1)"/>
      <w:numFmt w:val="decimal"/>
      <w:start w:val="8"/>
    </w:lvl>
  </w:abstractNum>
  <w:abstractNum w:abstractNumId="67">
    <w:nsid w:val="57FC4FBB"/>
    <w:multiLevelType w:val="hybridMultilevel"/>
    <w:lvl w:ilvl="0">
      <w:lvlJc w:val="left"/>
      <w:lvlText w:val="(%1)"/>
      <w:numFmt w:val="decimal"/>
      <w:start w:val="1"/>
    </w:lvl>
  </w:abstractNum>
  <w:abstractNum w:abstractNumId="68">
    <w:nsid w:val="CC1016F"/>
    <w:multiLevelType w:val="hybridMultilevel"/>
    <w:lvl w:ilvl="0">
      <w:lvlJc w:val="left"/>
      <w:lvlText w:val="(%1)"/>
      <w:numFmt w:val="decimal"/>
      <w:start w:val="1"/>
    </w:lvl>
  </w:abstractNum>
  <w:abstractNum w:abstractNumId="69">
    <w:nsid w:val="43F18422"/>
    <w:multiLevelType w:val="hybridMultilevel"/>
    <w:lvl w:ilvl="0">
      <w:lvlJc w:val="left"/>
      <w:lvlText w:val="%1."/>
      <w:numFmt w:val="decimal"/>
      <w:start w:val="9"/>
    </w:lvl>
  </w:abstractNum>
  <w:abstractNum w:abstractNumId="70">
    <w:nsid w:val="60EF0119"/>
    <w:multiLevelType w:val="hybridMultilevel"/>
    <w:lvl w:ilvl="0">
      <w:lvlJc w:val="left"/>
      <w:lvlText w:val="(%1)"/>
      <w:numFmt w:val="decimal"/>
      <w:start w:val="1"/>
    </w:lvl>
  </w:abstractNum>
  <w:abstractNum w:abstractNumId="71">
    <w:nsid w:val="26F324BA"/>
    <w:multiLevelType w:val="hybridMultilevel"/>
    <w:lvl w:ilvl="0">
      <w:lvlJc w:val="left"/>
      <w:lvlText w:val="%1."/>
      <w:numFmt w:val="decimal"/>
      <w:start w:val="10"/>
    </w:lvl>
  </w:abstractNum>
  <w:abstractNum w:abstractNumId="72">
    <w:nsid w:val="7F01579B"/>
    <w:multiLevelType w:val="hybridMultilevel"/>
    <w:lvl w:ilvl="0">
      <w:lvlJc w:val="left"/>
      <w:lvlText w:val="(%1)"/>
      <w:numFmt w:val="decimal"/>
      <w:start w:val="1"/>
    </w:lvl>
  </w:abstractNum>
  <w:abstractNum w:abstractNumId="73">
    <w:nsid w:val="49DA307D"/>
    <w:multiLevelType w:val="hybridMultilevel"/>
    <w:lvl w:ilvl="0">
      <w:lvlJc w:val="left"/>
      <w:lvlText w:val="%1."/>
      <w:numFmt w:val="decimal"/>
      <w:start w:val="12"/>
    </w:lvl>
  </w:abstractNum>
  <w:abstractNum w:abstractNumId="74">
    <w:nsid w:val="7055A5F5"/>
    <w:multiLevelType w:val="hybridMultilevel"/>
    <w:lvl w:ilvl="0">
      <w:lvlJc w:val="left"/>
      <w:lvlText w:val="(%1)"/>
      <w:numFmt w:val="decimal"/>
      <w:start w:val="1"/>
    </w:lvl>
  </w:abstractNum>
  <w:abstractNum w:abstractNumId="75">
    <w:nsid w:val="5FB8370B"/>
    <w:multiLevelType w:val="hybridMultilevel"/>
    <w:lvl w:ilvl="0">
      <w:lvlJc w:val="left"/>
      <w:lvlText w:val="(%1)"/>
      <w:numFmt w:val="decimal"/>
      <w:start w:val="1"/>
    </w:lvl>
  </w:abstractNum>
  <w:abstractNum w:abstractNumId="76">
    <w:nsid w:val="50801EE1"/>
    <w:multiLevelType w:val="hybridMultilevel"/>
    <w:lvl w:ilvl="0">
      <w:lvlJc w:val="left"/>
      <w:lvlText w:val="(%1)"/>
      <w:numFmt w:val="decimal"/>
      <w:start w:val="1"/>
    </w:lvl>
  </w:abstractNum>
  <w:abstractNum w:abstractNumId="77">
    <w:nsid w:val="488AC1A"/>
    <w:multiLevelType w:val="hybridMultilevel"/>
    <w:lvl w:ilvl="0">
      <w:lvlJc w:val="left"/>
      <w:lvlText w:val="(%1)"/>
      <w:numFmt w:val="decimal"/>
      <w:start w:val="1"/>
    </w:lvl>
  </w:abstractNum>
  <w:abstractNum w:abstractNumId="78">
    <w:nsid w:val="5FB8011C"/>
    <w:multiLevelType w:val="hybridMultilevel"/>
    <w:lvl w:ilvl="0">
      <w:lvlJc w:val="left"/>
      <w:lvlText w:val="(%1)"/>
      <w:numFmt w:val="decimal"/>
      <w:start w:val="1"/>
    </w:lvl>
  </w:abstractNum>
  <w:abstractNum w:abstractNumId="79">
    <w:nsid w:val="6AA78F7F"/>
    <w:multiLevelType w:val="hybridMultilevel"/>
    <w:lvl w:ilvl="0">
      <w:lvlJc w:val="left"/>
      <w:lvlText w:val="(%1)"/>
      <w:numFmt w:val="decimal"/>
      <w:start w:val="1"/>
    </w:lvl>
  </w:abstractNum>
  <w:abstractNum w:abstractNumId="80">
    <w:nsid w:val="7672BD23"/>
    <w:multiLevelType w:val="hybridMultilevel"/>
    <w:lvl w:ilvl="0">
      <w:lvlJc w:val="left"/>
      <w:lvlText w:val="(%1)"/>
      <w:numFmt w:val="decimal"/>
      <w:start w:val="1"/>
    </w:lvl>
  </w:abstractNum>
  <w:abstractNum w:abstractNumId="81">
    <w:nsid w:val="6FC75AF8"/>
    <w:multiLevelType w:val="hybridMultilevel"/>
    <w:lvl w:ilvl="0">
      <w:lvlJc w:val="left"/>
      <w:lvlText w:val="%1."/>
      <w:numFmt w:val="decimal"/>
      <w:start w:val="20"/>
    </w:lvl>
  </w:abstractNum>
  <w:abstractNum w:abstractNumId="82">
    <w:nsid w:val="6A5F7029"/>
    <w:multiLevelType w:val="hybridMultilevel"/>
    <w:lvl w:ilvl="0">
      <w:lvlJc w:val="left"/>
      <w:lvlText w:val="(%1)"/>
      <w:numFmt w:val="decimal"/>
      <w:start w:val="1"/>
    </w:lvl>
  </w:abstractNum>
  <w:abstractNum w:abstractNumId="83">
    <w:nsid w:val="7D5E18F8"/>
    <w:multiLevelType w:val="hybridMultilevel"/>
    <w:lvl w:ilvl="0">
      <w:lvlJc w:val="left"/>
      <w:lvlText w:val="(%1)"/>
      <w:numFmt w:val="decimal"/>
      <w:start w:val="1"/>
    </w:lvl>
  </w:abstractNum>
  <w:abstractNum w:abstractNumId="84">
    <w:nsid w:val="5F3534A4"/>
    <w:multiLevelType w:val="hybridMultilevel"/>
    <w:lvl w:ilvl="0">
      <w:lvlJc w:val="left"/>
      <w:lvlText w:val="(%1)"/>
      <w:numFmt w:val="decimal"/>
      <w:start w:val="1"/>
    </w:lvl>
  </w:abstractNum>
  <w:abstractNum w:abstractNumId="85">
    <w:nsid w:val="73A1821B"/>
    <w:multiLevelType w:val="hybridMultilevel"/>
    <w:lvl w:ilvl="0">
      <w:lvlJc w:val="left"/>
      <w:lvlText w:val="(%1)"/>
      <w:numFmt w:val="decimal"/>
      <w:start w:val="1"/>
    </w:lvl>
  </w:abstractNum>
  <w:abstractNum w:abstractNumId="86">
    <w:nsid w:val="7DE67713"/>
    <w:multiLevelType w:val="hybridMultilevel"/>
    <w:lvl w:ilvl="0">
      <w:lvlJc w:val="left"/>
      <w:lvlText w:val="(%1)"/>
      <w:numFmt w:val="decimal"/>
      <w:start w:val="1"/>
    </w:lvl>
  </w:abstractNum>
  <w:abstractNum w:abstractNumId="87">
    <w:nsid w:val="555C55B5"/>
    <w:multiLevelType w:val="hybridMultilevel"/>
    <w:lvl w:ilvl="0">
      <w:lvlJc w:val="left"/>
      <w:lvlText w:val="(%1)"/>
      <w:numFmt w:val="decimal"/>
      <w:start w:val="1"/>
    </w:lvl>
  </w:abstractNum>
  <w:abstractNum w:abstractNumId="88">
    <w:nsid w:val="3FA62ACA"/>
    <w:multiLevelType w:val="hybridMultilevel"/>
    <w:lvl w:ilvl="0">
      <w:lvlJc w:val="left"/>
      <w:lvlText w:val="•"/>
      <w:numFmt w:val="bullet"/>
      <w:start w:val="1"/>
    </w:lvl>
  </w:abstractNum>
  <w:abstractNum w:abstractNumId="89">
    <w:nsid w:val="14FCE74E"/>
    <w:multiLevelType w:val="hybridMultilevel"/>
    <w:lvl w:ilvl="0">
      <w:lvlJc w:val="left"/>
      <w:lvlText w:val="•"/>
      <w:numFmt w:val="bullet"/>
      <w:start w:val="1"/>
    </w:lvl>
  </w:abstractNum>
  <w:abstractNum w:abstractNumId="90">
    <w:nsid w:val="6A3DD3E8"/>
    <w:multiLevelType w:val="hybridMultilevel"/>
    <w:lvl w:ilvl="0">
      <w:lvlJc w:val="left"/>
      <w:lvlText w:val="•"/>
      <w:numFmt w:val="bullet"/>
      <w:start w:val="1"/>
    </w:lvl>
  </w:abstractNum>
  <w:abstractNum w:abstractNumId="91">
    <w:nsid w:val="71C91298"/>
    <w:multiLevelType w:val="hybridMultilevel"/>
    <w:lvl w:ilvl="0">
      <w:lvlJc w:val="left"/>
      <w:lvlText w:val="(%1)"/>
      <w:numFmt w:val="lowerRoman"/>
      <w:start w:val="4"/>
    </w:lvl>
  </w:abstractNum>
  <w:abstractNum w:abstractNumId="92">
    <w:nsid w:val="9DAF632"/>
    <w:multiLevelType w:val="hybridMultilevel"/>
    <w:lvl w:ilvl="0">
      <w:lvlJc w:val="left"/>
      <w:lvlText w:val="(%1)"/>
      <w:numFmt w:val="lowerRoman"/>
      <w:start w:val="1"/>
    </w:lvl>
  </w:abstractNum>
  <w:abstractNum w:abstractNumId="93">
    <w:nsid w:val="53299938"/>
    <w:multiLevelType w:val="hybridMultilevel"/>
    <w:lvl w:ilvl="0">
      <w:lvlJc w:val="left"/>
      <w:lvlText w:val="(%1)"/>
      <w:numFmt w:val="lowerRoman"/>
      <w:start w:val="10"/>
    </w:lvl>
  </w:abstractNum>
  <w:abstractNum w:abstractNumId="94">
    <w:nsid w:val="1FBFE8E0"/>
    <w:multiLevelType w:val="hybridMultilevel"/>
    <w:lvl w:ilvl="0">
      <w:lvlJc w:val="left"/>
      <w:lvlText w:val="%1."/>
      <w:numFmt w:val="upperLetter"/>
      <w:start w:val="9"/>
    </w:lvl>
  </w:abstractNum>
  <w:abstractNum w:abstractNumId="95">
    <w:nsid w:val="5092CA79"/>
    <w:multiLevelType w:val="hybridMultilevel"/>
    <w:lvl w:ilvl="0">
      <w:lvlJc w:val="left"/>
      <w:lvlText w:val="%1."/>
      <w:numFmt w:val="upperLetter"/>
      <w:start w:val="35"/>
    </w:lvl>
  </w:abstractNum>
  <w:abstractNum w:abstractNumId="96">
    <w:nsid w:val="1D545C4D"/>
    <w:multiLevelType w:val="hybridMultilevel"/>
    <w:lvl w:ilvl="0">
      <w:lvlJc w:val="left"/>
      <w:lvlText w:val="%1."/>
      <w:numFmt w:val="upperLetter"/>
      <w:start w:val="61"/>
    </w:lvl>
  </w:abstractNum>
  <w:abstractNum w:abstractNumId="97">
    <w:nsid w:val="59ADEA3D"/>
    <w:multiLevelType w:val="hybridMultilevel"/>
    <w:lvl w:ilvl="0">
      <w:lvlJc w:val="left"/>
      <w:lvlText w:val="%1."/>
      <w:numFmt w:val="upperLetter"/>
      <w:start w:val="22"/>
    </w:lvl>
  </w:abstractNum>
  <w:abstractNum w:abstractNumId="98">
    <w:nsid w:val="288F1A34"/>
    <w:multiLevelType w:val="hybridMultilevel"/>
    <w:lvl w:ilvl="0">
      <w:lvlJc w:val="left"/>
      <w:lvlText w:val="•"/>
      <w:numFmt w:val="bullet"/>
      <w:start w:val="1"/>
    </w:lvl>
  </w:abstractNum>
  <w:abstractNum w:abstractNumId="99">
    <w:nsid w:val="2A155DBC"/>
    <w:multiLevelType w:val="hybridMultilevel"/>
    <w:lvl w:ilvl="0">
      <w:lvlJc w:val="left"/>
      <w:lvlText w:val="•"/>
      <w:numFmt w:val="bullet"/>
      <w:start w:val="1"/>
    </w:lvl>
  </w:abstractNum>
  <w:abstractNum w:abstractNumId="100">
    <w:nsid w:val="1D9F6E5F"/>
    <w:multiLevelType w:val="hybridMultilevel"/>
    <w:lvl w:ilvl="0">
      <w:lvlJc w:val="left"/>
      <w:lvlText w:val="•"/>
      <w:numFmt w:val="bullet"/>
      <w:start w:val="1"/>
    </w:lvl>
  </w:abstractNum>
  <w:abstractNum w:abstractNumId="101">
    <w:nsid w:val="97E1B4E"/>
    <w:multiLevelType w:val="hybridMultilevel"/>
    <w:lvl w:ilvl="0">
      <w:lvlJc w:val="left"/>
      <w:lvlText w:val="•"/>
      <w:numFmt w:val="bullet"/>
      <w:start w:val="1"/>
    </w:lvl>
  </w:abstractNum>
  <w:abstractNum w:abstractNumId="102">
    <w:nsid w:val="51088277"/>
    <w:multiLevelType w:val="hybridMultilevel"/>
    <w:lvl w:ilvl="0">
      <w:lvlJc w:val="left"/>
      <w:lvlText w:val="%1"/>
      <w:numFmt w:val="lowerRoman"/>
      <w:start w:val="1"/>
    </w:lvl>
    <w:lvl w:ilvl="1">
      <w:lvlJc w:val="left"/>
      <w:lvlText w:val="%2."/>
      <w:numFmt w:val="lowerRoman"/>
      <w:start w:val="1"/>
    </w:lvl>
  </w:abstractNum>
  <w:abstractNum w:abstractNumId="103">
    <w:nsid w:val="1CA0C5FA"/>
    <w:multiLevelType w:val="hybridMultilevel"/>
    <w:lvl w:ilvl="0">
      <w:lvlJc w:val="left"/>
      <w:lvlText w:val="%1."/>
      <w:numFmt w:val="lowerRoman"/>
      <w:start w:val="4"/>
    </w:lvl>
    <w:lvl w:ilvl="1">
      <w:lvlJc w:val="left"/>
      <w:lvlText w:val="%2"/>
      <w:numFmt w:val="lowerRoman"/>
      <w:start w:val="1"/>
    </w:lvl>
  </w:abstractNum>
  <w:abstractNum w:abstractNumId="104">
    <w:nsid w:val="53584BCB"/>
    <w:multiLevelType w:val="hybridMultilevel"/>
    <w:lvl w:ilvl="0">
      <w:lvlJc w:val="left"/>
      <w:lvlText w:val="%1."/>
      <w:numFmt w:val="lowerRoman"/>
      <w:start w:val="6"/>
    </w:lvl>
  </w:abstractNum>
  <w:abstractNum w:abstractNumId="105">
    <w:nsid w:val="415E286C"/>
    <w:multiLevelType w:val="hybridMultilevel"/>
    <w:lvl w:ilvl="0">
      <w:lvlJc w:val="left"/>
      <w:lvlText w:val="%1"/>
      <w:numFmt w:val="lowerRoman"/>
      <w:start w:val="1"/>
    </w:lvl>
    <w:lvl w:ilvl="1">
      <w:lvlJc w:val="left"/>
      <w:lvlText w:val="%2."/>
      <w:numFmt w:val="lowerRoman"/>
      <w:start w:val="1"/>
    </w:lvl>
  </w:abstractNum>
  <w:abstractNum w:abstractNumId="106">
    <w:nsid w:val="7C58FD05"/>
    <w:multiLevelType w:val="hybridMultilevel"/>
    <w:lvl w:ilvl="0">
      <w:lvlJc w:val="left"/>
      <w:lvlText w:val="%1."/>
      <w:numFmt w:val="lowerRoman"/>
      <w:start w:val="4"/>
    </w:lvl>
    <w:lvl w:ilvl="1">
      <w:lvlJc w:val="left"/>
      <w:lvlText w:val="%2"/>
      <w:numFmt w:val="lowerRoman"/>
      <w:start w:val="1"/>
    </w:lvl>
  </w:abstractNum>
  <w:abstractNum w:abstractNumId="107">
    <w:nsid w:val="23D86AAC"/>
    <w:multiLevelType w:val="hybridMultilevel"/>
    <w:lvl w:ilvl="0">
      <w:lvlJc w:val="left"/>
      <w:lvlText w:val="%1."/>
      <w:numFmt w:val="upperLetter"/>
      <w:start w:val="24"/>
    </w:lvl>
  </w:abstractNum>
  <w:abstractNum w:abstractNumId="108">
    <w:nsid w:val="45E6D486"/>
    <w:multiLevelType w:val="hybridMultilevel"/>
    <w:lvl w:ilvl="0">
      <w:lvlJc w:val="left"/>
      <w:lvlText w:val="(%1)"/>
      <w:numFmt w:val="lowerRoman"/>
      <w:start w:val="1"/>
    </w:lvl>
  </w:abstractNum>
  <w:abstractNum w:abstractNumId="109">
    <w:nsid w:val="5C10FE21"/>
    <w:multiLevelType w:val="hybridMultilevel"/>
    <w:lvl w:ilvl="0">
      <w:lvlJc w:val="left"/>
      <w:lvlText w:val="%1."/>
      <w:numFmt w:val="decimal"/>
      <w:start w:val="1"/>
    </w:lvl>
    <w:lvl w:ilvl="1">
      <w:lvlJc w:val="left"/>
      <w:lvlText w:val="(%2)"/>
      <w:numFmt w:val="lowerLetter"/>
      <w:start w:val="1"/>
    </w:lvl>
  </w:abstractNum>
  <w:abstractNum w:abstractNumId="110">
    <w:nsid w:val="E7FFA2B"/>
    <w:multiLevelType w:val="hybridMultilevel"/>
    <w:lvl w:ilvl="0">
      <w:lvlJc w:val="left"/>
      <w:lvlText w:val="%1."/>
      <w:numFmt w:val="decimal"/>
      <w:start w:val="1"/>
    </w:lvl>
    <w:lvl w:ilvl="1">
      <w:lvlJc w:val="left"/>
      <w:lvlText w:val="(%2)"/>
      <w:numFmt w:val="lowerLetter"/>
      <w:start w:val="1"/>
    </w:lvl>
  </w:abstractNum>
  <w:abstractNum w:abstractNumId="111">
    <w:nsid w:val="3C5991AA"/>
    <w:multiLevelType w:val="hybridMultilevel"/>
    <w:lvl w:ilvl="0">
      <w:lvlJc w:val="left"/>
      <w:lvlText w:val="%1."/>
      <w:numFmt w:val="decimal"/>
      <w:start w:val="1"/>
    </w:lvl>
    <w:lvl w:ilvl="1">
      <w:lvlJc w:val="left"/>
      <w:lvlText w:val="(%2)"/>
      <w:numFmt w:val="lowerLetter"/>
      <w:start w:val="1"/>
    </w:lvl>
  </w:abstractNum>
  <w:abstractNum w:abstractNumId="112">
    <w:nsid w:val="4BD8591A"/>
    <w:multiLevelType w:val="hybridMultilevel"/>
    <w:lvl w:ilvl="0">
      <w:lvlJc w:val="left"/>
      <w:lvlText w:val="%1."/>
      <w:numFmt w:val="decimal"/>
      <w:start w:val="1"/>
    </w:lvl>
    <w:lvl w:ilvl="1">
      <w:lvlJc w:val="left"/>
      <w:lvlText w:val="(%2)"/>
      <w:numFmt w:val="lowerLetter"/>
      <w:start w:val="1"/>
    </w:lvl>
  </w:abstractNum>
  <w:abstractNum w:abstractNumId="113">
    <w:nsid w:val="78DF6A55"/>
    <w:multiLevelType w:val="hybridMultilevel"/>
    <w:lvl w:ilvl="0">
      <w:lvlJc w:val="left"/>
      <w:lvlText w:val="%1."/>
      <w:numFmt w:val="decimal"/>
      <w:start w:val="1"/>
    </w:lvl>
  </w:abstractNum>
  <w:abstractNum w:abstractNumId="114">
    <w:nsid w:val="39B7AAA2"/>
    <w:multiLevelType w:val="hybridMultilevel"/>
    <w:lvl w:ilvl="0">
      <w:lvlJc w:val="left"/>
      <w:lvlText w:val="%1."/>
      <w:numFmt w:val="decimal"/>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70" Type="http://schemas.openxmlformats.org/officeDocument/2006/relationships/image" Target="media/image142.png"/><Relationship Id="rId189" Type="http://schemas.openxmlformats.org/officeDocument/2006/relationships/image" Target="media/image143.png"/><Relationship Id="rId206" Type="http://schemas.openxmlformats.org/officeDocument/2006/relationships/image" Target="media/image144.png"/><Relationship Id="rId209" Type="http://schemas.openxmlformats.org/officeDocument/2006/relationships/image" Target="media/image145.png"/><Relationship Id="rId210" Type="http://schemas.openxmlformats.org/officeDocument/2006/relationships/image" Target="media/image146.png"/><Relationship Id="rId211" Type="http://schemas.openxmlformats.org/officeDocument/2006/relationships/image" Target="media/image147.png"/><Relationship Id="rId212" Type="http://schemas.openxmlformats.org/officeDocument/2006/relationships/image" Target="media/image148.png"/><Relationship Id="rId213" Type="http://schemas.openxmlformats.org/officeDocument/2006/relationships/image" Target="media/image149.png"/><Relationship Id="rId214" Type="http://schemas.openxmlformats.org/officeDocument/2006/relationships/image" Target="media/image150.png"/><Relationship Id="rId215" Type="http://schemas.openxmlformats.org/officeDocument/2006/relationships/image" Target="media/image151.png"/><Relationship Id="rId216" Type="http://schemas.openxmlformats.org/officeDocument/2006/relationships/image" Target="media/image152.png"/><Relationship Id="rId217" Type="http://schemas.openxmlformats.org/officeDocument/2006/relationships/image" Target="media/image153.png"/><Relationship Id="rId218" Type="http://schemas.openxmlformats.org/officeDocument/2006/relationships/image" Target="media/image154.png"/><Relationship Id="rId219" Type="http://schemas.openxmlformats.org/officeDocument/2006/relationships/image" Target="media/image155.png"/><Relationship Id="rId220" Type="http://schemas.openxmlformats.org/officeDocument/2006/relationships/image" Target="media/image156.png"/><Relationship Id="rId221" Type="http://schemas.openxmlformats.org/officeDocument/2006/relationships/image" Target="media/image157.png"/><Relationship Id="rId222" Type="http://schemas.openxmlformats.org/officeDocument/2006/relationships/image" Target="media/image158.png"/><Relationship Id="rId223" Type="http://schemas.openxmlformats.org/officeDocument/2006/relationships/image" Target="media/image159.png"/><Relationship Id="rId224" Type="http://schemas.openxmlformats.org/officeDocument/2006/relationships/image" Target="media/image160.png"/><Relationship Id="rId225" Type="http://schemas.openxmlformats.org/officeDocument/2006/relationships/image" Target="media/image161.png"/><Relationship Id="rId226" Type="http://schemas.openxmlformats.org/officeDocument/2006/relationships/image" Target="media/image162.png"/><Relationship Id="rId227" Type="http://schemas.openxmlformats.org/officeDocument/2006/relationships/image" Target="media/image163.png"/><Relationship Id="rId228" Type="http://schemas.openxmlformats.org/officeDocument/2006/relationships/image" Target="media/image164.png"/><Relationship Id="rId229" Type="http://schemas.openxmlformats.org/officeDocument/2006/relationships/image" Target="media/image165.png"/><Relationship Id="rId230" Type="http://schemas.openxmlformats.org/officeDocument/2006/relationships/image" Target="media/image166.png"/><Relationship Id="rId149" Type="http://schemas.openxmlformats.org/officeDocument/2006/relationships/hyperlink" Target="https://www.sec.gov/Archives/edgar/data/1040971/000104097114000012/slg-20140630x10qex31.htm" TargetMode="External"/><Relationship Id="rId150" Type="http://schemas.openxmlformats.org/officeDocument/2006/relationships/hyperlink" Target="https://www.sec.gov/Archives/edgar/data/1040971/000110465917045611/a17-18075_1ex3d1.htm" TargetMode="External"/><Relationship Id="rId151" Type="http://schemas.openxmlformats.org/officeDocument/2006/relationships/hyperlink" Target="https://www.sec.gov/Archives/edgar/data/1040971/000110465921005909/tm212226d2_ex3-1.htm" TargetMode="External"/><Relationship Id="rId152" Type="http://schemas.openxmlformats.org/officeDocument/2006/relationships/hyperlink" Target="https://www.sec.gov/Archives/edgar/data/1040971/000110465921005909/tm212226d2_ex3-2.htm" TargetMode="External"/><Relationship Id="rId153" Type="http://schemas.openxmlformats.org/officeDocument/2006/relationships/hyperlink" Target="https://www.sec.gov/Archives/edgar/data/1040971/000110465922006456/tm224122d1_ex3-1.htm" TargetMode="External"/><Relationship Id="rId154" Type="http://schemas.openxmlformats.org/officeDocument/2006/relationships/hyperlink" Target="https://www.sec.gov/Archives/edgar/data/1040971/000110465922006456/tm224122d1_ex3-2.htm" TargetMode="External"/><Relationship Id="rId155" Type="http://schemas.openxmlformats.org/officeDocument/2006/relationships/hyperlink" Target="https://www.sec.gov/Archives/edgar/data/1040971/000110465918075152/a18-42091_1ex3d1.htm" TargetMode="External"/><Relationship Id="rId156" Type="http://schemas.openxmlformats.org/officeDocument/2006/relationships/hyperlink" Target="https://www.sec.gov/Archives/edgar/data/1040971/000110465920060922/tm2019604d1_ex3-1.htm" TargetMode="External"/><Relationship Id="rId157" Type="http://schemas.openxmlformats.org/officeDocument/2006/relationships/hyperlink" Target="https://www.sec.gov/Archives/edgar/data/1040971/000134100409001928/slgreen_ex3-2.htm" TargetMode="External"/><Relationship Id="rId158" Type="http://schemas.openxmlformats.org/officeDocument/2006/relationships/hyperlink" Target="https://www.sec.gov/Archives/edgar/data/1040971/000110465912056689/a12-17764_6ex3d1.htm" TargetMode="External"/><Relationship Id="rId159" Type="http://schemas.openxmlformats.org/officeDocument/2006/relationships/hyperlink" Target="https://www.sec.gov/Archives/edgar/data/1040971/000110465912056689/a12-17764_6ex3d2.htm" TargetMode="External"/><Relationship Id="rId160" Type="http://schemas.openxmlformats.org/officeDocument/2006/relationships/hyperlink" Target="https://www.sec.gov/Archives/edgar/data/1040971/000091205702039492/a2091718zex-10_1.htm" TargetMode="External"/><Relationship Id="rId161" Type="http://schemas.openxmlformats.org/officeDocument/2006/relationships/hyperlink" Target="https://www.sec.gov/Archives/edgar/data/1040971/000091205702039492/a2091718zex-10_2.htm" TargetMode="External"/><Relationship Id="rId162" Type="http://schemas.openxmlformats.org/officeDocument/2006/relationships/hyperlink" Target="https://www.sec.gov/Archives/edgar/data/1040971/000091205702029427/a2085564zex-10_1.htm" TargetMode="External"/><Relationship Id="rId163" Type="http://schemas.openxmlformats.org/officeDocument/2006/relationships/hyperlink" Target="https://www.sec.gov/Archives/edgar/data/1040971/000110465906016962/a06-1960_1ex10d39.htm" TargetMode="External"/><Relationship Id="rId164" Type="http://schemas.openxmlformats.org/officeDocument/2006/relationships/hyperlink" Target="https://www.sec.gov/Archives/edgar/data/1040971/000110465907005677/a07-2707_1ex10d5.htm" TargetMode="External"/><Relationship Id="rId165" Type="http://schemas.openxmlformats.org/officeDocument/2006/relationships/hyperlink" Target="https://www.sec.gov/Archives/edgar/data/1040971/000110465910002296/a10-1710_5ex10d1.htm" TargetMode="External"/><Relationship Id="rId166" Type="http://schemas.openxmlformats.org/officeDocument/2006/relationships/hyperlink" Target="https://www.sec.gov/Archives/edgar/data/1040971/000110465912006242/a12-3716_1ex10d1.htm" TargetMode="External"/><Relationship Id="rId167" Type="http://schemas.openxmlformats.org/officeDocument/2006/relationships/hyperlink" Target="https://www.sec.gov/Archives/edgar/data/1040971/000110465912035934/a12-8516_1ex10d2.htm" TargetMode="External"/><Relationship Id="rId168" Type="http://schemas.openxmlformats.org/officeDocument/2006/relationships/hyperlink" Target="https://www.sec.gov/Archives/edgar/data/1040971/000110465912057046/a12-18124_1ex10d1.htm" TargetMode="External"/><Relationship Id="rId169" Type="http://schemas.openxmlformats.org/officeDocument/2006/relationships/hyperlink" Target="https://www.sec.gov/Archives/edgar/data/1040971/000110465914049963/a14-16300_1ex10d1.htm" TargetMode="External"/><Relationship Id="rId171" Type="http://schemas.openxmlformats.org/officeDocument/2006/relationships/hyperlink" Target="https://www.sec.gov/Archives/edgar/data/1040971/000110465914049963/a14-16300_1ex10d2.htm" TargetMode="External"/><Relationship Id="rId172" Type="http://schemas.openxmlformats.org/officeDocument/2006/relationships/hyperlink" Target="https://www.sec.gov/Archives/edgar/data/1040971/000104097122000014/slg-20211231x10kex323a.htm" TargetMode="External"/><Relationship Id="rId173" Type="http://schemas.openxmlformats.org/officeDocument/2006/relationships/hyperlink" Target="https://www.sec.gov/Archives/edgar/data/1040971/000110465915053109/a15-15633_1ex10d1.htm" TargetMode="External"/><Relationship Id="rId174" Type="http://schemas.openxmlformats.org/officeDocument/2006/relationships/hyperlink" Target="https://www.sec.gov/Archives/edgar/data/1040971/000110465915053109/a15-15633_1ex10d2.htm" TargetMode="External"/><Relationship Id="rId175" Type="http://schemas.openxmlformats.org/officeDocument/2006/relationships/hyperlink" Target="https://www.sec.gov/Archives/edgar/data/1040971/000110465915061340/a15-17634_1ex10d1.htm" TargetMode="External"/><Relationship Id="rId176" Type="http://schemas.openxmlformats.org/officeDocument/2006/relationships/hyperlink" Target="https://www.sec.gov/Archives/edgar/data/1040971/000110465915061340/a15-17634_1ex10d2.htm" TargetMode="External"/><Relationship Id="rId177" Type="http://schemas.openxmlformats.org/officeDocument/2006/relationships/hyperlink" Target="https://www.sec.gov/Archives/edgar/data/1040971/000104097116000037/a16q3slgopamendment25ex31.htm" TargetMode="External"/><Relationship Id="rId178" Type="http://schemas.openxmlformats.org/officeDocument/2006/relationships/hyperlink" Target="https://www.sec.gov/Archives/edgar/data/1040971/000110465919026818/a19-8674_2ex10d1.htm" TargetMode="External"/><Relationship Id="rId179" Type="http://schemas.openxmlformats.org/officeDocument/2006/relationships/hyperlink" Target="https://www.sec.gov/Archives/edgar/data/1040971/000110465920003907/tm203223d1_ex10-1.htm" TargetMode="External"/><Relationship Id="rId180" Type="http://schemas.openxmlformats.org/officeDocument/2006/relationships/hyperlink" Target="https://www.sec.gov/Archives/edgar/data/1040971/000110465921152654/tm2136095d1_ex10-1.htm" TargetMode="External"/><Relationship Id="rId181" Type="http://schemas.openxmlformats.org/officeDocument/2006/relationships/hyperlink" Target="https://www.sec.gov/Archives/edgar/data/1040971/000110465922112499/tm2229193d1_ex10-1.htm" TargetMode="External"/><Relationship Id="rId182" Type="http://schemas.openxmlformats.org/officeDocument/2006/relationships/hyperlink" Target="https://www.sec.gov/Archives/edgar/data/1040971/000104097123000020/a23q110qex31.htm" TargetMode="External"/><Relationship Id="rId183" Type="http://schemas.openxmlformats.org/officeDocument/2006/relationships/hyperlink" Target="https://www.sec.gov/Archives/edgar/data/1040971/0000912057-97-025107.txt" TargetMode="External"/><Relationship Id="rId184" Type="http://schemas.openxmlformats.org/officeDocument/2006/relationships/hyperlink" Target="https://www.sec.gov/Archives/edgar/data/930810/000110465911044350/a11-23855_1ex4d1.htm" TargetMode="External"/><Relationship Id="rId185" Type="http://schemas.openxmlformats.org/officeDocument/2006/relationships/hyperlink" Target="https://www.sec.gov/Archives/edgar/data/1040971/000110465905037994/a05-12719_1ex4d2.htm" TargetMode="External"/><Relationship Id="rId186" Type="http://schemas.openxmlformats.org/officeDocument/2006/relationships/hyperlink" Target="https://www.sec.gov/Archives/edgar/data/930810/000110465917061122/a17-22604_6ex4d1.htm" TargetMode="External"/><Relationship Id="rId187" Type="http://schemas.openxmlformats.org/officeDocument/2006/relationships/hyperlink" Target="https://www.sec.gov/Archives/edgar/data/1040971/000104097118000006/slg2017123110kex101.htm" TargetMode="External"/><Relationship Id="rId188" Type="http://schemas.openxmlformats.org/officeDocument/2006/relationships/hyperlink" Target="https://www.sec.gov/Archives/edgar/data/930810/000104746908003869/a2184189zex-3_12.htm" TargetMode="External"/><Relationship Id="rId190" Type="http://schemas.openxmlformats.org/officeDocument/2006/relationships/hyperlink" Target="https://www.sec.gov/Archives/edgar/data/1040971/000110465905037994/a05-12719_1ex4d1.htm" TargetMode="External"/><Relationship Id="rId191" Type="http://schemas.openxmlformats.org/officeDocument/2006/relationships/hyperlink" Target="https://www.sec.gov/Archives/edgar/data/1040971/000120677422001179/slg3994901-def14a.htm" TargetMode="External"/><Relationship Id="rId192" Type="http://schemas.openxmlformats.org/officeDocument/2006/relationships/hyperlink" Target="https://www.sec.gov/Archives/edgar/data/1040971/000104097118000006/slg-20171231x10xkex109.htm" TargetMode="External"/><Relationship Id="rId193" Type="http://schemas.openxmlformats.org/officeDocument/2006/relationships/hyperlink" Target="https://www.sec.gov/Archives/edgar/data/1040971/000110465910064649/a10-24366_1ex10d1.htm" TargetMode="External"/><Relationship Id="rId194" Type="http://schemas.openxmlformats.org/officeDocument/2006/relationships/hyperlink" Target="https://www.sec.gov/Archives/edgar/data/1040971/000110465909071505/a09-36938_1ex10d3.htm" TargetMode="External"/><Relationship Id="rId195" Type="http://schemas.openxmlformats.org/officeDocument/2006/relationships/hyperlink" Target="https://www.sec.gov/Archives/edgar/data/1040971/000110465913069915/a13-20681_1ex10d2.htm" TargetMode="External"/><Relationship Id="rId196" Type="http://schemas.openxmlformats.org/officeDocument/2006/relationships/hyperlink" Target="https://www.sec.gov/Archives/edgar/data/1040971/000110465916096670/a16-4165_1ex10d2.htm" TargetMode="External"/><Relationship Id="rId197" Type="http://schemas.openxmlformats.org/officeDocument/2006/relationships/hyperlink" Target="https://www.sec.gov/Archives/edgar/data/1040971/000110465922001762/tm221582d2_ex10-1.htm" TargetMode="External"/><Relationship Id="rId198" Type="http://schemas.openxmlformats.org/officeDocument/2006/relationships/hyperlink" Target="https://www.sec.gov/Archives/edgar/data/1040971/000110465918030314/a18-12708_1ex10d2.htm" TargetMode="External"/><Relationship Id="rId199" Type="http://schemas.openxmlformats.org/officeDocument/2006/relationships/hyperlink" Target="https://www.sec.gov/Archives/edgar/data/1040971/000110465922001762/tm221582d2_ex10-3.htm" TargetMode="External"/><Relationship Id="rId200" Type="http://schemas.openxmlformats.org/officeDocument/2006/relationships/hyperlink" Target="https://www.sec.gov/Archives/edgar/data/1040971/000110465918075152/a18-42091_1ex10d3.htm" TargetMode="External"/><Relationship Id="rId201" Type="http://schemas.openxmlformats.org/officeDocument/2006/relationships/hyperlink" Target="https://www.sec.gov/Archives/edgar/data/1040971/000110465921147629/tm2134775d1_ex10-1.htm" TargetMode="External"/><Relationship Id="rId202" Type="http://schemas.openxmlformats.org/officeDocument/2006/relationships/hyperlink" Target="https://www.sec.gov/Archives/edgar/data/1040971/000110465923028795/tm238503d1_ex10-1.htm" TargetMode="External"/><Relationship Id="rId203" Type="http://schemas.openxmlformats.org/officeDocument/2006/relationships/hyperlink" Target="https://www.sec.gov/Archives/edgar/data/1040971/000110465923107859/tm2328056d1_ex10-1.htm" TargetMode="External"/><Relationship Id="rId204" Type="http://schemas.openxmlformats.org/officeDocument/2006/relationships/hyperlink" Target="https://www.sec.gov/Archives/edgar/data/1040971/000110465924010038/tm244917d1_ex10-1.htm" TargetMode="External"/><Relationship Id="rId205" Type="http://schemas.openxmlformats.org/officeDocument/2006/relationships/hyperlink" Target="https://www.sec.gov/Archives/edgar/data/1040971/000110465924132903/tm2432242d1_ex10-1.htm" TargetMode="External"/><Relationship Id="rId207" Type="http://schemas.openxmlformats.org/officeDocument/2006/relationships/hyperlink" Target="https://www.sec.gov/Archives/edgar/data/1040971/000110465923122052/tm2331721d1_ex16-1.htm" TargetMode="External"/><Relationship Id="rId208" Type="http://schemas.openxmlformats.org/officeDocument/2006/relationships/hyperlink" Target="https://www.sec.gov/Archives/edgar/data/1040971/000104097124000010/slg-20231231x10k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2025-02-18T05:27:41Z</dcterms:created>
  <dcterms:modified xsi:type="dcterms:W3CDTF">2025-02-18T05:27:41Z</dcterms:modified>
</cp:coreProperties>
</file>