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dx_91B_eus-gaap--CommonStockMember_zTfu"/>
      <w:bookmarkStart w:id="1" w:name="tm267993d1_8k.htm"/>
      <w:bookmarkStart w:id="2" w:name="kstm267993d1_8k"/>
      <w:bookmarkEnd w:id="0"/>
      <w:bookmarkEnd w:id="1"/>
      <w:bookmarkEnd w:id="2"/>
      <w:r>
        <w:rPr/>
        <w:t>Common Stock</w:t>
      </w:r>
    </w:p>
    <w:tbl>
      <w:tblPr>
        <w:tblW w:w="6130" w:type="dxa"/>
        <w:jc w:val="left"/>
        <w:tblInd w:w="0" w:type="dxa"/>
        <w:tblLayout w:type="fixed"/>
        <w:tblCellMar>
          <w:top w:w="0" w:type="dxa"/>
          <w:left w:w="0" w:type="dxa"/>
          <w:bottom w:w="0" w:type="dxa"/>
          <w:right w:w="0" w:type="dxa"/>
        </w:tblCellMar>
      </w:tblPr>
      <w:tblGrid>
        <w:gridCol w:w="3815"/>
        <w:gridCol w:w="2315"/>
      </w:tblGrid>
      <w:tr>
        <w:trPr/>
        <w:tc>
          <w:tcPr>
            <w:tcW w:w="381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CIK</w:t>
            </w:r>
          </w:p>
        </w:tc>
        <w:tc>
          <w:tcPr>
            <w:tcW w:w="2315" w:type="dxa"/>
            <w:tcBorders/>
            <w:vAlign w:val="center"/>
          </w:tcPr>
          <w:p>
            <w:pPr>
              <w:pStyle w:val="TableContents"/>
              <w:bidi w:val="0"/>
              <w:spacing w:before="0" w:after="283"/>
              <w:jc w:val="left"/>
              <w:rPr/>
            </w:pPr>
            <w:bookmarkStart w:id="3" w:name="xdx_901_edei--EntityCentralIndexKey_c202"/>
            <w:bookmarkEnd w:id="3"/>
            <w:r>
              <w:rPr/>
              <w:t>0001492869</w:t>
            </w:r>
          </w:p>
        </w:tc>
      </w:tr>
      <w:tr>
        <w:trPr/>
        <w:tc>
          <w:tcPr>
            <w:tcW w:w="3815" w:type="dxa"/>
            <w:tcBorders/>
            <w:vAlign w:val="center"/>
          </w:tcPr>
          <w:p>
            <w:pPr>
              <w:pStyle w:val="TableContents"/>
              <w:bidi w:val="0"/>
              <w:spacing w:before="0" w:after="283"/>
              <w:jc w:val="left"/>
              <w:rPr/>
            </w:pPr>
            <w:r>
              <w:rPr/>
              <w:t>Addess Line 1</w:t>
            </w:r>
          </w:p>
        </w:tc>
        <w:tc>
          <w:tcPr>
            <w:tcW w:w="2315" w:type="dxa"/>
            <w:tcBorders/>
            <w:vAlign w:val="center"/>
          </w:tcPr>
          <w:p>
            <w:pPr>
              <w:pStyle w:val="TableContents"/>
              <w:bidi w:val="0"/>
              <w:spacing w:before="0" w:after="283"/>
              <w:jc w:val="left"/>
              <w:rPr/>
            </w:pPr>
            <w:bookmarkStart w:id="4" w:name="xdx_908_edei--EntityAddressAddressLine1_"/>
            <w:bookmarkEnd w:id="4"/>
            <w:r>
              <w:rPr/>
              <w:t>One Vanderbilt Avenue</w:t>
            </w:r>
          </w:p>
        </w:tc>
      </w:tr>
      <w:tr>
        <w:trPr/>
        <w:tc>
          <w:tcPr>
            <w:tcW w:w="3815" w:type="dxa"/>
            <w:tcBorders/>
            <w:vAlign w:val="center"/>
          </w:tcPr>
          <w:p>
            <w:pPr>
              <w:pStyle w:val="TableContents"/>
              <w:bidi w:val="0"/>
              <w:spacing w:before="0" w:after="283"/>
              <w:jc w:val="left"/>
              <w:rPr/>
            </w:pPr>
            <w:r>
              <w:rPr/>
              <w:t>City</w:t>
            </w:r>
          </w:p>
        </w:tc>
        <w:tc>
          <w:tcPr>
            <w:tcW w:w="2315" w:type="dxa"/>
            <w:tcBorders/>
            <w:vAlign w:val="center"/>
          </w:tcPr>
          <w:p>
            <w:pPr>
              <w:pStyle w:val="TableContents"/>
              <w:bidi w:val="0"/>
              <w:spacing w:before="0" w:after="283"/>
              <w:jc w:val="left"/>
              <w:rPr/>
            </w:pPr>
            <w:bookmarkStart w:id="5" w:name="xdx_90A_edei--EntityAddressCityOrTown_c2"/>
            <w:bookmarkEnd w:id="5"/>
            <w:r>
              <w:rPr/>
              <w:t>New York</w:t>
            </w:r>
          </w:p>
        </w:tc>
      </w:tr>
      <w:tr>
        <w:trPr/>
        <w:tc>
          <w:tcPr>
            <w:tcW w:w="3815" w:type="dxa"/>
            <w:tcBorders/>
            <w:vAlign w:val="center"/>
          </w:tcPr>
          <w:p>
            <w:pPr>
              <w:pStyle w:val="TableContents"/>
              <w:bidi w:val="0"/>
              <w:spacing w:before="0" w:after="283"/>
              <w:jc w:val="left"/>
              <w:rPr/>
            </w:pPr>
            <w:r>
              <w:rPr/>
              <w:t>State</w:t>
            </w:r>
          </w:p>
        </w:tc>
        <w:tc>
          <w:tcPr>
            <w:tcW w:w="2315" w:type="dxa"/>
            <w:tcBorders/>
            <w:vAlign w:val="center"/>
          </w:tcPr>
          <w:p>
            <w:pPr>
              <w:pStyle w:val="TableContents"/>
              <w:bidi w:val="0"/>
              <w:spacing w:before="0" w:after="283"/>
              <w:jc w:val="left"/>
              <w:rPr/>
            </w:pPr>
            <w:bookmarkStart w:id="6" w:name="xdx_907_edei--EntityAddressStateOrProvin"/>
            <w:bookmarkEnd w:id="6"/>
            <w:r>
              <w:rPr/>
              <w:t>New York</w:t>
            </w:r>
          </w:p>
        </w:tc>
      </w:tr>
      <w:tr>
        <w:trPr/>
        <w:tc>
          <w:tcPr>
            <w:tcW w:w="3815" w:type="dxa"/>
            <w:tcBorders/>
            <w:vAlign w:val="center"/>
          </w:tcPr>
          <w:p>
            <w:pPr>
              <w:pStyle w:val="TableContents"/>
              <w:bidi w:val="0"/>
              <w:spacing w:before="0" w:after="283"/>
              <w:jc w:val="left"/>
              <w:rPr/>
            </w:pPr>
            <w:r>
              <w:rPr/>
              <w:t>Postal Code</w:t>
            </w:r>
          </w:p>
        </w:tc>
        <w:tc>
          <w:tcPr>
            <w:tcW w:w="2315" w:type="dxa"/>
            <w:tcBorders/>
            <w:vAlign w:val="center"/>
          </w:tcPr>
          <w:p>
            <w:pPr>
              <w:pStyle w:val="TableContents"/>
              <w:bidi w:val="0"/>
              <w:spacing w:before="0" w:after="283"/>
              <w:jc w:val="left"/>
              <w:rPr/>
            </w:pPr>
            <w:bookmarkStart w:id="7" w:name="xdx_90D_edei--EntityAddressPostalZipCode"/>
            <w:bookmarkEnd w:id="7"/>
            <w:r>
              <w:rPr/>
              <w:t>10017</w:t>
            </w:r>
          </w:p>
        </w:tc>
      </w:tr>
      <w:tr>
        <w:trPr/>
        <w:tc>
          <w:tcPr>
            <w:tcW w:w="3815" w:type="dxa"/>
            <w:tcBorders/>
            <w:vAlign w:val="center"/>
          </w:tcPr>
          <w:p>
            <w:pPr>
              <w:pStyle w:val="TableContents"/>
              <w:bidi w:val="0"/>
              <w:spacing w:before="0" w:after="283"/>
              <w:jc w:val="left"/>
              <w:rPr/>
            </w:pPr>
            <w:r>
              <w:rPr/>
              <w:t>Document Period Date</w:t>
            </w:r>
          </w:p>
        </w:tc>
        <w:tc>
          <w:tcPr>
            <w:tcW w:w="2315" w:type="dxa"/>
            <w:tcBorders/>
            <w:vAlign w:val="center"/>
          </w:tcPr>
          <w:p>
            <w:pPr>
              <w:pStyle w:val="TableContents"/>
              <w:bidi w:val="0"/>
              <w:spacing w:before="0" w:after="283"/>
              <w:jc w:val="left"/>
              <w:rPr/>
            </w:pPr>
            <w:r>
              <w:rPr/>
              <w:t>February 27, 2026</w:t>
            </w:r>
          </w:p>
        </w:tc>
      </w:tr>
      <w:tr>
        <w:trPr/>
        <w:tc>
          <w:tcPr>
            <w:tcW w:w="3815" w:type="dxa"/>
            <w:tcBorders/>
            <w:vAlign w:val="center"/>
          </w:tcPr>
          <w:p>
            <w:pPr>
              <w:pStyle w:val="TableContents"/>
              <w:bidi w:val="0"/>
              <w:spacing w:before="0" w:after="283"/>
              <w:jc w:val="left"/>
              <w:rPr/>
            </w:pPr>
            <w:r>
              <w:rPr/>
              <w:t>Form Type</w:t>
            </w:r>
          </w:p>
        </w:tc>
        <w:tc>
          <w:tcPr>
            <w:tcW w:w="2315" w:type="dxa"/>
            <w:tcBorders/>
            <w:vAlign w:val="center"/>
          </w:tcPr>
          <w:p>
            <w:pPr>
              <w:pStyle w:val="TableContents"/>
              <w:bidi w:val="0"/>
              <w:spacing w:before="0" w:after="283"/>
              <w:jc w:val="left"/>
              <w:rPr/>
            </w:pPr>
            <w:bookmarkStart w:id="8" w:name="xdx_902_edei--DocumentType_c20260227__20"/>
            <w:bookmarkEnd w:id="8"/>
            <w:r>
              <w:rPr/>
              <w:t>8-K</w:t>
            </w:r>
          </w:p>
        </w:tc>
      </w:tr>
      <w:tr>
        <w:trPr/>
        <w:tc>
          <w:tcPr>
            <w:tcW w:w="3815" w:type="dxa"/>
            <w:tcBorders/>
            <w:vAlign w:val="center"/>
          </w:tcPr>
          <w:p>
            <w:pPr>
              <w:pStyle w:val="TableContents"/>
              <w:bidi w:val="0"/>
              <w:spacing w:before="0" w:after="283"/>
              <w:jc w:val="left"/>
              <w:rPr/>
            </w:pPr>
            <w:r>
              <w:rPr/>
              <w:t>City Area Code</w:t>
            </w:r>
          </w:p>
        </w:tc>
        <w:tc>
          <w:tcPr>
            <w:tcW w:w="2315" w:type="dxa"/>
            <w:tcBorders/>
            <w:vAlign w:val="center"/>
          </w:tcPr>
          <w:p>
            <w:pPr>
              <w:pStyle w:val="TableContents"/>
              <w:bidi w:val="0"/>
              <w:spacing w:before="0" w:after="283"/>
              <w:jc w:val="left"/>
              <w:rPr/>
            </w:pPr>
            <w:bookmarkStart w:id="9" w:name="xdx_909_edei--CityAreaCode_c20260227__20"/>
            <w:bookmarkEnd w:id="9"/>
            <w:r>
              <w:rPr/>
              <w:t>212</w:t>
            </w:r>
          </w:p>
        </w:tc>
      </w:tr>
      <w:tr>
        <w:trPr/>
        <w:tc>
          <w:tcPr>
            <w:tcW w:w="3815" w:type="dxa"/>
            <w:tcBorders/>
            <w:vAlign w:val="center"/>
          </w:tcPr>
          <w:p>
            <w:pPr>
              <w:pStyle w:val="TableContents"/>
              <w:bidi w:val="0"/>
              <w:spacing w:before="0" w:after="283"/>
              <w:jc w:val="left"/>
              <w:rPr/>
            </w:pPr>
            <w:r>
              <w:rPr/>
              <w:t>Local Phone Number</w:t>
            </w:r>
          </w:p>
        </w:tc>
        <w:tc>
          <w:tcPr>
            <w:tcW w:w="2315" w:type="dxa"/>
            <w:tcBorders/>
            <w:vAlign w:val="center"/>
          </w:tcPr>
          <w:p>
            <w:pPr>
              <w:pStyle w:val="TableContents"/>
              <w:bidi w:val="0"/>
              <w:spacing w:before="0" w:after="283"/>
              <w:jc w:val="left"/>
              <w:rPr/>
            </w:pPr>
            <w:bookmarkStart w:id="10" w:name="xdx_90D_edei--LocalPhoneNumber_c20260227"/>
            <w:bookmarkEnd w:id="10"/>
            <w:r>
              <w:rPr/>
              <w:t>594-2700</w:t>
            </w:r>
          </w:p>
        </w:tc>
      </w:tr>
      <w:tr>
        <w:trPr/>
        <w:tc>
          <w:tcPr>
            <w:tcW w:w="3815" w:type="dxa"/>
            <w:tcBorders/>
            <w:vAlign w:val="center"/>
          </w:tcPr>
          <w:p>
            <w:pPr>
              <w:pStyle w:val="TableContents"/>
              <w:bidi w:val="0"/>
              <w:spacing w:before="0" w:after="283"/>
              <w:jc w:val="left"/>
              <w:rPr/>
            </w:pPr>
            <w:r>
              <w:rPr/>
              <w:t>Writing Communication</w:t>
            </w:r>
          </w:p>
        </w:tc>
        <w:tc>
          <w:tcPr>
            <w:tcW w:w="2315" w:type="dxa"/>
            <w:tcBorders/>
            <w:vAlign w:val="center"/>
          </w:tcPr>
          <w:p>
            <w:pPr>
              <w:pStyle w:val="TableContents"/>
              <w:bidi w:val="0"/>
              <w:spacing w:before="0" w:after="283"/>
              <w:jc w:val="left"/>
              <w:rPr/>
            </w:pPr>
            <w:bookmarkStart w:id="11" w:name="xdx_908_edei--WrittenCommunications_c202"/>
            <w:bookmarkEnd w:id="11"/>
            <w:r>
              <w:rPr/>
              <w:t>☐</w:t>
            </w:r>
          </w:p>
        </w:tc>
      </w:tr>
      <w:tr>
        <w:trPr/>
        <w:tc>
          <w:tcPr>
            <w:tcW w:w="3815" w:type="dxa"/>
            <w:tcBorders/>
            <w:vAlign w:val="center"/>
          </w:tcPr>
          <w:p>
            <w:pPr>
              <w:pStyle w:val="TableContents"/>
              <w:bidi w:val="0"/>
              <w:spacing w:before="0" w:after="283"/>
              <w:jc w:val="left"/>
              <w:rPr/>
            </w:pPr>
            <w:r>
              <w:rPr/>
              <w:t>Soliciting Material</w:t>
            </w:r>
          </w:p>
        </w:tc>
        <w:tc>
          <w:tcPr>
            <w:tcW w:w="2315" w:type="dxa"/>
            <w:tcBorders/>
            <w:vAlign w:val="center"/>
          </w:tcPr>
          <w:p>
            <w:pPr>
              <w:pStyle w:val="TableContents"/>
              <w:bidi w:val="0"/>
              <w:spacing w:before="0" w:after="283"/>
              <w:jc w:val="left"/>
              <w:rPr/>
            </w:pPr>
            <w:bookmarkStart w:id="12" w:name="xdx_908_edei--SolicitingMaterial_c202602"/>
            <w:bookmarkEnd w:id="12"/>
            <w:r>
              <w:rPr/>
              <w:t>☐</w:t>
            </w:r>
          </w:p>
        </w:tc>
      </w:tr>
      <w:tr>
        <w:trPr/>
        <w:tc>
          <w:tcPr>
            <w:tcW w:w="3815" w:type="dxa"/>
            <w:tcBorders/>
            <w:vAlign w:val="center"/>
          </w:tcPr>
          <w:p>
            <w:pPr>
              <w:pStyle w:val="TableContents"/>
              <w:bidi w:val="0"/>
              <w:spacing w:before="0" w:after="283"/>
              <w:jc w:val="left"/>
              <w:rPr/>
            </w:pPr>
            <w:r>
              <w:rPr/>
              <w:t>Pre commencement Tender Offer</w:t>
            </w:r>
          </w:p>
        </w:tc>
        <w:tc>
          <w:tcPr>
            <w:tcW w:w="2315" w:type="dxa"/>
            <w:tcBorders/>
            <w:vAlign w:val="center"/>
          </w:tcPr>
          <w:p>
            <w:pPr>
              <w:pStyle w:val="TableContents"/>
              <w:bidi w:val="0"/>
              <w:spacing w:before="0" w:after="283"/>
              <w:jc w:val="left"/>
              <w:rPr/>
            </w:pPr>
            <w:bookmarkStart w:id="13" w:name="xdx_90D_edei--PreCommencementTenderOffer"/>
            <w:bookmarkEnd w:id="13"/>
            <w:r>
              <w:rPr/>
              <w:t>☐</w:t>
            </w:r>
          </w:p>
        </w:tc>
      </w:tr>
      <w:tr>
        <w:trPr/>
        <w:tc>
          <w:tcPr>
            <w:tcW w:w="3815" w:type="dxa"/>
            <w:tcBorders/>
            <w:vAlign w:val="center"/>
          </w:tcPr>
          <w:p>
            <w:pPr>
              <w:pStyle w:val="TableContents"/>
              <w:bidi w:val="0"/>
              <w:spacing w:before="0" w:after="283"/>
              <w:jc w:val="left"/>
              <w:rPr/>
            </w:pPr>
            <w:r>
              <w:rPr/>
              <w:t>Pre commencement Issuer Tender Offer</w:t>
            </w:r>
          </w:p>
        </w:tc>
        <w:tc>
          <w:tcPr>
            <w:tcW w:w="2315" w:type="dxa"/>
            <w:tcBorders/>
            <w:vAlign w:val="center"/>
          </w:tcPr>
          <w:p>
            <w:pPr>
              <w:pStyle w:val="TableContents"/>
              <w:bidi w:val="0"/>
              <w:spacing w:before="0" w:after="283"/>
              <w:jc w:val="left"/>
              <w:rPr/>
            </w:pPr>
            <w:bookmarkStart w:id="14" w:name="xdx_900_edei--PreCommencementIssuerTende"/>
            <w:bookmarkEnd w:id="14"/>
            <w:r>
              <w:rPr/>
              <w:t>☐</w:t>
            </w:r>
          </w:p>
        </w:tc>
      </w:tr>
      <w:tr>
        <w:trPr/>
        <w:tc>
          <w:tcPr>
            <w:tcW w:w="3815" w:type="dxa"/>
            <w:tcBorders/>
            <w:vAlign w:val="center"/>
          </w:tcPr>
          <w:p>
            <w:pPr>
              <w:pStyle w:val="TableContents"/>
              <w:bidi w:val="0"/>
              <w:spacing w:before="0" w:after="283"/>
              <w:jc w:val="left"/>
              <w:rPr/>
            </w:pPr>
            <w:r>
              <w:rPr/>
              <w:t>Emerging Growth Company</w:t>
            </w:r>
          </w:p>
        </w:tc>
        <w:tc>
          <w:tcPr>
            <w:tcW w:w="2315" w:type="dxa"/>
            <w:tcBorders/>
            <w:vAlign w:val="center"/>
          </w:tcPr>
          <w:p>
            <w:pPr>
              <w:pStyle w:val="TableContents"/>
              <w:bidi w:val="0"/>
              <w:spacing w:before="0" w:after="283"/>
              <w:jc w:val="left"/>
              <w:rPr/>
            </w:pPr>
            <w:bookmarkStart w:id="15" w:name="xdx_90F_edei--EntityEmergingGrowthCompan"/>
            <w:bookmarkEnd w:id="15"/>
            <w:r>
              <w:rPr/>
              <w:t>☐</w:t>
            </w:r>
          </w:p>
        </w:tc>
      </w:tr>
      <w:tr>
        <w:trPr/>
        <w:tc>
          <w:tcPr>
            <w:tcW w:w="3815" w:type="dxa"/>
            <w:tcBorders/>
            <w:vAlign w:val="center"/>
          </w:tcPr>
          <w:p>
            <w:pPr>
              <w:pStyle w:val="TableContents"/>
              <w:bidi w:val="0"/>
              <w:spacing w:before="0" w:after="283"/>
              <w:jc w:val="left"/>
              <w:rPr/>
            </w:pPr>
            <w:r>
              <w:rPr/>
              <w:t>Amendment Flag</w:t>
            </w:r>
          </w:p>
        </w:tc>
        <w:tc>
          <w:tcPr>
            <w:tcW w:w="2315" w:type="dxa"/>
            <w:tcBorders/>
            <w:vAlign w:val="center"/>
          </w:tcPr>
          <w:p>
            <w:pPr>
              <w:pStyle w:val="TableContents"/>
              <w:bidi w:val="0"/>
              <w:spacing w:before="0" w:after="283"/>
              <w:jc w:val="left"/>
              <w:rPr/>
            </w:pPr>
            <w:bookmarkStart w:id="16" w:name="xdx_904_edei--AmendmentFlag_dxL_c2026022"/>
            <w:bookmarkEnd w:id="16"/>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w:t>
      </w:r>
      <w:r>
        <w:rPr>
          <w:rFonts w:ascii="Times New Roman;Times;Serif" w:hAnsi="Times New Roman;Times;Serif"/>
          <w:b/>
          <w:i w:val="false"/>
          <w:caps w:val="false"/>
          <w:smallCaps w:val="false"/>
          <w:sz w:val="20"/>
        </w:rPr>
        <w:t>,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17" w:name="xdx_902_edei--DocumentType_c20260227__20"/>
      <w:bookmarkEnd w:id="17"/>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xdx_90A_edei--DocumentPeriodEndDate_c202"/>
      <w:bookmarkEnd w:id="18"/>
      <w:r>
        <w:rPr>
          <w:rFonts w:ascii="Times New Roman;Times;Serif" w:hAnsi="Times New Roman;Times;Serif"/>
          <w:b/>
          <w:i w:val="false"/>
          <w:caps w:val="false"/>
          <w:smallCaps w:val="false"/>
          <w:sz w:val="20"/>
        </w:rPr>
        <w:t>February 27,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19" w:name="xdx_90D_edei--EntityRegistrantName_c2026"/>
      <w:bookmarkEnd w:id="19"/>
      <w:r>
        <w:rPr>
          <w:rFonts w:ascii="Times New Roman;Times;Serif" w:hAnsi="Times New Roman;Times;Serif"/>
          <w:b/>
          <w:i w:val="false"/>
          <w:caps w:val="false"/>
          <w:smallCaps w:val="false"/>
          <w:sz w:val="28"/>
        </w:rPr>
        <w:t>SL GREEN REALTY CORP.</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20" w:name="xdx_90A_edei--EntityRegistrantName_c2026"/>
      <w:bookmarkEnd w:id="20"/>
      <w:r>
        <w:rPr>
          <w:rFonts w:ascii="Times New Roman;Times;Serif" w:hAnsi="Times New Roman;Times;Serif"/>
          <w:b/>
          <w:i w:val="false"/>
          <w:caps w:val="false"/>
          <w:smallCaps w:val="false"/>
          <w:sz w:val="28"/>
        </w:rPr>
        <w:t>SL GREEN OPERATING PARTNERSHIP,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420"/>
        <w:gridCol w:w="60"/>
        <w:gridCol w:w="1295"/>
        <w:gridCol w:w="60"/>
        <w:gridCol w:w="1535"/>
      </w:tblGrid>
      <w:tr>
        <w:trPr/>
        <w:tc>
          <w:tcPr>
            <w:tcW w:w="2420" w:type="dxa"/>
            <w:tcBorders/>
            <w:vAlign w:val="center"/>
          </w:tcPr>
          <w:p>
            <w:pPr>
              <w:pStyle w:val="TableContents"/>
              <w:bidi w:val="0"/>
              <w:spacing w:before="0" w:after="283"/>
              <w:jc w:val="center"/>
              <w:rPr>
                <w:rFonts w:ascii="Times New Roman;Times;Serif" w:hAnsi="Times New Roman;Times;Serif"/>
                <w:b/>
                <w:sz w:val="20"/>
              </w:rPr>
            </w:pPr>
            <w:bookmarkStart w:id="21" w:name="xdx_908_edei--EntityIncorporationStateCo"/>
            <w:bookmarkEnd w:id="21"/>
            <w:r>
              <w:rPr>
                <w:rFonts w:ascii="Times New Roman;Times;Serif" w:hAnsi="Times New Roman;Times;Serif"/>
                <w:b/>
                <w:sz w:val="20"/>
              </w:rPr>
              <w:t>Maryland</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22" w:name="xdx_906_edei--EntityFileNumber_c20260227"/>
            <w:bookmarkEnd w:id="22"/>
            <w:r>
              <w:rPr>
                <w:rFonts w:ascii="Times New Roman;Times;Serif" w:hAnsi="Times New Roman;Times;Serif"/>
                <w:b/>
                <w:sz w:val="20"/>
              </w:rPr>
              <w:t>1-13199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23" w:name="xdx_90F_edei--EntityTaxIdentificationNum"/>
            <w:bookmarkEnd w:id="23"/>
            <w:r>
              <w:rPr>
                <w:rFonts w:ascii="Times New Roman;Times;Serif" w:hAnsi="Times New Roman;Times;Serif"/>
                <w:b/>
                <w:sz w:val="20"/>
              </w:rPr>
              <w:t>13-3956775</w:t>
            </w:r>
          </w:p>
        </w:tc>
      </w:tr>
      <w:tr>
        <w:trPr/>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Jurisdiction 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2420" w:type="dxa"/>
            <w:tcBorders/>
            <w:vAlign w:val="center"/>
          </w:tcPr>
          <w:p>
            <w:pPr>
              <w:pStyle w:val="TableContents"/>
              <w:bidi w:val="0"/>
              <w:spacing w:before="0" w:after="283"/>
              <w:jc w:val="center"/>
              <w:rPr>
                <w:rFonts w:ascii="Times New Roman;Times;Serif" w:hAnsi="Times New Roman;Times;Serif"/>
                <w:b/>
                <w:sz w:val="20"/>
              </w:rPr>
            </w:pPr>
            <w:bookmarkStart w:id="24" w:name="xdx_904_edei--EntityIncorporationStateCo"/>
            <w:bookmarkEnd w:id="24"/>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25" w:name="xdx_90B_edei--EntityFileNumber_c20260227"/>
            <w:bookmarkEnd w:id="25"/>
            <w:r>
              <w:rPr>
                <w:rFonts w:ascii="Times New Roman;Times;Serif" w:hAnsi="Times New Roman;Times;Serif"/>
                <w:b/>
                <w:sz w:val="20"/>
              </w:rPr>
              <w:t>333-167793-02</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26" w:name="xdx_905_edei--EntityTaxIdentificationNum"/>
            <w:bookmarkEnd w:id="26"/>
            <w:r>
              <w:rPr>
                <w:rFonts w:ascii="Times New Roman;Times;Serif" w:hAnsi="Times New Roman;Times;Serif"/>
                <w:b/>
                <w:sz w:val="20"/>
              </w:rPr>
              <w:t>13-3960398</w:t>
            </w:r>
          </w:p>
        </w:tc>
      </w:tr>
      <w:tr>
        <w:trPr/>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Jurisdiction 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7" w:name="xdx_90B_edei--EntityAddressAddressLine1_"/>
      <w:bookmarkEnd w:id="27"/>
      <w:r>
        <w:rPr>
          <w:rFonts w:ascii="Times New Roman;Times;Serif" w:hAnsi="Times New Roman;Times;Serif"/>
          <w:b/>
          <w:i w:val="false"/>
          <w:caps w:val="false"/>
          <w:smallCaps w:val="false"/>
          <w:sz w:val="20"/>
        </w:rPr>
        <w:t>One Vanderbilt Avenue</w:t>
      </w:r>
      <w:r>
        <w:rPr>
          <w:rFonts w:ascii="Times New Roman;Times;Serif" w:hAnsi="Times New Roman;Times;Serif"/>
          <w:b w:val="false"/>
          <w:i w:val="false"/>
          <w:caps w:val="false"/>
          <w:smallCaps w:val="false"/>
          <w:sz w:val="20"/>
        </w:rPr>
        <w:br/>
      </w:r>
      <w:bookmarkStart w:id="28" w:name="xdx_90E_edei--EntityAddressCityOrTown_c2"/>
      <w:bookmarkEnd w:id="28"/>
      <w:r>
        <w:rPr>
          <w:rFonts w:ascii="Times New Roman;Times;Serif" w:hAnsi="Times New Roman;Times;Serif"/>
          <w:b/>
          <w:i w:val="false"/>
          <w:caps w:val="false"/>
          <w:smallCaps w:val="false"/>
          <w:sz w:val="20"/>
        </w:rPr>
        <w:t xml:space="preserve">New York, </w:t>
      </w:r>
      <w:bookmarkStart w:id="29" w:name="xdx_907_edei--EntityAddressStateOrProvin"/>
      <w:bookmarkEnd w:id="29"/>
      <w:r>
        <w:rPr>
          <w:rFonts w:ascii="Times New Roman;Times;Serif" w:hAnsi="Times New Roman;Times;Serif"/>
          <w:b/>
          <w:i w:val="false"/>
          <w:caps w:val="false"/>
          <w:smallCaps w:val="false"/>
          <w:sz w:val="20"/>
        </w:rPr>
        <w:t xml:space="preserve">New York </w:t>
      </w:r>
      <w:bookmarkStart w:id="30" w:name="xdx_902_edei--EntityAddressPostalZipCode"/>
      <w:bookmarkEnd w:id="30"/>
      <w:r>
        <w:rPr>
          <w:rFonts w:ascii="Times New Roman;Times;Serif" w:hAnsi="Times New Roman;Times;Serif"/>
          <w:b/>
          <w:i w:val="false"/>
          <w:caps w:val="false"/>
          <w:smallCaps w:val="false"/>
          <w:sz w:val="20"/>
        </w:rPr>
        <w:t>10017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31" w:name="xdx_900_edei--CityAreaCode_c20260227__20"/>
      <w:bookmarkEnd w:id="31"/>
      <w:r>
        <w:rPr>
          <w:rFonts w:ascii="Times New Roman;Times;Serif" w:hAnsi="Times New Roman;Times;Serif"/>
          <w:b/>
          <w:i w:val="false"/>
          <w:caps w:val="false"/>
          <w:smallCaps w:val="false"/>
          <w:sz w:val="20"/>
        </w:rPr>
        <w:t xml:space="preserve">212) </w:t>
      </w:r>
      <w:bookmarkStart w:id="32" w:name="xdx_902_edei--LocalPhoneNumber_c20260227"/>
      <w:bookmarkEnd w:id="32"/>
      <w:r>
        <w:rPr>
          <w:rFonts w:ascii="Times New Roman;Times;Serif" w:hAnsi="Times New Roman;Times;Serif"/>
          <w:b/>
          <w:i w:val="false"/>
          <w:caps w:val="false"/>
          <w:smallCaps w:val="false"/>
          <w:sz w:val="20"/>
        </w:rPr>
        <w:t>594-2700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 w:right="0" w:hanging="576"/>
        <w:jc w:val="left"/>
        <w:rPr>
          <w:caps w:val="false"/>
          <w:smallCaps w:val="false"/>
        </w:rPr>
      </w:pPr>
      <w:bookmarkStart w:id="33" w:name="xdx_908_edei--WrittenCommunications_c202"/>
      <w:bookmarkEnd w:id="33"/>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576" w:right="0" w:hanging="576"/>
        <w:jc w:val="left"/>
        <w:rPr/>
      </w:pPr>
      <w:r>
        <w:rPr/>
        <w:t> </w:t>
      </w:r>
    </w:p>
    <w:p>
      <w:pPr>
        <w:pStyle w:val="TextBody"/>
        <w:bidi w:val="0"/>
        <w:spacing w:before="0" w:after="0"/>
        <w:ind w:left="0" w:right="0" w:hanging="0"/>
        <w:jc w:val="left"/>
        <w:rPr>
          <w:caps w:val="false"/>
          <w:smallCaps w:val="false"/>
        </w:rPr>
      </w:pPr>
      <w:bookmarkStart w:id="34" w:name="xdx_90E_edei--SolicitingMaterial_c202602"/>
      <w:bookmarkEnd w:id="34"/>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35" w:name="xdx_90A_edei--PreCommencementTenderOffer"/>
      <w:bookmarkEnd w:id="35"/>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36" w:name="xdx_903_edei--PreCommencementIssuerTende"/>
      <w:bookmarkEnd w:id="3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4"/>
        <w:gridCol w:w="60"/>
        <w:gridCol w:w="1415"/>
        <w:gridCol w:w="60"/>
        <w:gridCol w:w="4690"/>
        <w:gridCol w:w="60"/>
        <w:gridCol w:w="2346"/>
      </w:tblGrid>
      <w:tr>
        <w:trPr/>
        <w:tc>
          <w:tcPr>
            <w:tcW w:w="157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46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23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15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7" w:name="xdx_908_edei--TradingSymbol_c20260227__2"/>
            <w:bookmarkEnd w:id="37"/>
            <w:r>
              <w:rPr>
                <w:rFonts w:ascii="Times New Roman;Times;Serif" w:hAnsi="Times New Roman;Times;Serif"/>
                <w:b w:val="false"/>
                <w:i w:val="false"/>
                <w:caps w:val="false"/>
                <w:smallCaps w:val="false"/>
                <w:sz w:val="20"/>
              </w:rPr>
              <w:t>SLG</w:t>
            </w:r>
          </w:p>
        </w:tc>
        <w:tc>
          <w:tcPr>
            <w:tcW w:w="60" w:type="dxa"/>
            <w:tcBorders/>
            <w:tcMar>
              <w:bottom w:w="0" w:type="dxa"/>
            </w:tcMar>
            <w:vAlign w:val="center"/>
          </w:tcPr>
          <w:p>
            <w:pPr>
              <w:pStyle w:val="TableContents"/>
              <w:bidi w:val="0"/>
              <w:spacing w:before="0" w:after="283"/>
              <w:jc w:val="left"/>
              <w:rPr/>
            </w:pPr>
            <w:r>
              <w:rPr/>
              <w:t> </w:t>
            </w:r>
          </w:p>
        </w:tc>
        <w:tc>
          <w:tcPr>
            <w:tcW w:w="46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8" w:name="xdx_90D_edei--Security12bTitle_c20260227"/>
            <w:bookmarkEnd w:id="38"/>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23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9" w:name="xdx_905_edei--SecurityExchangeName_c2026"/>
            <w:bookmarkEnd w:id="39"/>
            <w:r>
              <w:rPr>
                <w:rFonts w:ascii="Times New Roman;Times;Serif" w:hAnsi="Times New Roman;Times;Serif"/>
                <w:b w:val="false"/>
                <w:i w:val="false"/>
                <w:caps w:val="false"/>
                <w:smallCaps w:val="false"/>
                <w:sz w:val="20"/>
              </w:rPr>
              <w:t>New York Stock Exchange</w:t>
            </w:r>
          </w:p>
        </w:tc>
      </w:tr>
      <w:tr>
        <w:trPr/>
        <w:tc>
          <w:tcPr>
            <w:tcW w:w="15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0" w:name="xdx_902_edei--TradingSymbol_c20260227__2"/>
            <w:bookmarkEnd w:id="40"/>
            <w:r>
              <w:rPr>
                <w:rFonts w:ascii="Times New Roman;Times;Serif" w:hAnsi="Times New Roman;Times;Serif"/>
                <w:b w:val="false"/>
                <w:i w:val="false"/>
                <w:caps w:val="false"/>
                <w:smallCaps w:val="false"/>
                <w:sz w:val="20"/>
              </w:rPr>
              <w:t>SLG.PRI</w:t>
            </w:r>
          </w:p>
        </w:tc>
        <w:tc>
          <w:tcPr>
            <w:tcW w:w="60" w:type="dxa"/>
            <w:tcBorders/>
            <w:tcMar>
              <w:bottom w:w="0" w:type="dxa"/>
            </w:tcMar>
            <w:vAlign w:val="center"/>
          </w:tcPr>
          <w:p>
            <w:pPr>
              <w:pStyle w:val="TableContents"/>
              <w:bidi w:val="0"/>
              <w:spacing w:before="0" w:after="283"/>
              <w:jc w:val="left"/>
              <w:rPr/>
            </w:pPr>
            <w:r>
              <w:rPr/>
              <w:t> </w:t>
            </w:r>
          </w:p>
        </w:tc>
        <w:tc>
          <w:tcPr>
            <w:tcW w:w="46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1" w:name="xdx_901_edei--Security12bTitle_c20260227"/>
            <w:bookmarkEnd w:id="41"/>
            <w:r>
              <w:rPr>
                <w:rFonts w:ascii="Times New Roman;Times;Serif" w:hAnsi="Times New Roman;Times;Serif"/>
                <w:b w:val="false"/>
                <w:i w:val="false"/>
                <w:caps w:val="false"/>
                <w:smallCaps w:val="false"/>
                <w:sz w:val="20"/>
              </w:rPr>
              <w:t>6.500% Series I Cumulative Redeemable Preferred Stock, $0.01 par value</w:t>
            </w:r>
          </w:p>
        </w:tc>
        <w:tc>
          <w:tcPr>
            <w:tcW w:w="60" w:type="dxa"/>
            <w:tcBorders/>
            <w:tcMar>
              <w:bottom w:w="0" w:type="dxa"/>
            </w:tcMar>
            <w:vAlign w:val="center"/>
          </w:tcPr>
          <w:p>
            <w:pPr>
              <w:pStyle w:val="TableContents"/>
              <w:bidi w:val="0"/>
              <w:spacing w:before="0" w:after="283"/>
              <w:jc w:val="left"/>
              <w:rPr/>
            </w:pPr>
            <w:r>
              <w:rPr/>
              <w:t> </w:t>
            </w:r>
          </w:p>
        </w:tc>
        <w:tc>
          <w:tcPr>
            <w:tcW w:w="23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2" w:name="xdx_903_edei--SecurityExchangeName_c2026"/>
            <w:bookmarkEnd w:id="42"/>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Emerging growth company </w:t>
      </w:r>
      <w:bookmarkStart w:id="43" w:name="xdx_90C_edei--EntityEmergingGrowthCompan"/>
      <w:bookmarkEnd w:id="43"/>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Harrison Sitomer as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SL Green Realty Corp. (the “Company”) appointed Harrison Sitomer to serve as its President and entered into an employment agreement with Mr. Sitomer in connection with his appointment. Mr. Sitomer will also continue to serve as the Company’s Chief Investment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Sitomer, 36, has served as the Company’s Chief Investment Officer since 2022 and has served in a variety of investment roles with the Company since joining the Company in 2012. As Chief Investment Officer, Mr. Sitomer has been responsible for sourcing and executing the Company’s acquisitions, dispositions, financings, and joint ventures, along with debt and preferred equity investments. Mr. Sitomer also manages the Food1st Foundation, a 501(‌c)3 established by the Company in order to serve a dual mission of addressing increased demand for food assistance, while also helping to revitalize New York City’s food and beverage industry by reactivating over 35 kitchens. Mr. Sitomer serves on the Board of Directors of the American Friends of the Rabin Medical Center, the Board of Advisors for the Mayor’s Fund to Advance New York City and is a member of the David Rockefeller Fellowship Program and the Milken Institute Young Leaders Circle. Mr. Sitomer received a Bachelor of Arts degree from the University of Pennsylvania.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Mr. Sitomer’s appointment, Marc Holliday served as the Company’s Chairman, Chief Executive Officer &amp; Interim President. As a result of Mr. Sitomer’s appointment, Mr. Holliday ceased to hold the title of Interim President as of February 27, 2026. Mr. Holliday will continue to serve as the Chairman and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material terms of the employment agreement between the Company and Mr. Sitomer: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0" w:type="dxa"/>
          <w:bottom w:w="28" w:type="dxa"/>
          <w:right w:w="100" w:type="dxa"/>
        </w:tblCellMar>
      </w:tblPr>
      <w:tblGrid>
        <w:gridCol w:w="1179"/>
        <w:gridCol w:w="9026"/>
      </w:tblGrid>
      <w:tr>
        <w:trPr/>
        <w:tc>
          <w:tcPr>
            <w:tcW w:w="11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Term:</w:t>
            </w:r>
          </w:p>
        </w:tc>
        <w:tc>
          <w:tcPr>
            <w:tcW w:w="90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Four years (1/1/26 – 1/1/30), with automatic renewals for successive one-year periods unless either party provides prior written notice of non-renewal. In the event that a Change-in-Control occurs within 18 months prior to the scheduled expiration of the term, Mr. Sitomer may extend the term until the date that is 18 months after the Change-in-Control.</w:t>
            </w:r>
          </w:p>
        </w:tc>
      </w:tr>
      <w:tr>
        <w:trPr/>
        <w:tc>
          <w:tcPr>
            <w:tcW w:w="117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Base Salary:</w:t>
            </w:r>
          </w:p>
        </w:tc>
        <w:tc>
          <w:tcPr>
            <w:tcW w:w="90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$700,000 per year.  </w:t>
            </w:r>
          </w:p>
        </w:tc>
      </w:tr>
      <w:tr>
        <w:trPr/>
        <w:tc>
          <w:tcPr>
            <w:tcW w:w="117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Annual Cash Bonus:</w:t>
            </w:r>
          </w:p>
        </w:tc>
        <w:tc>
          <w:tcPr>
            <w:tcW w:w="90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Opportunity to earn 50-400% of base salary, based (i) 75% on a formulaic component based upon the achievement of specific goals established in advance by the Compensation Committee (the “Compensation Committee”) of the Board of Directors of the Company and (ii) 25% on a discretionary component at the Compensation Committee’s discretion.</w:t>
            </w:r>
          </w:p>
        </w:tc>
      </w:tr>
      <w:tr>
        <w:trPr/>
        <w:tc>
          <w:tcPr>
            <w:tcW w:w="1179"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Annual Time-Based Awards:</w:t>
            </w:r>
          </w:p>
        </w:tc>
        <w:tc>
          <w:tcPr>
            <w:tcW w:w="9026" w:type="dxa"/>
            <w:tcBorders>
              <w:right w:val="single" w:sz="8"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Time-Based Component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Mr. Sitomer will be eligible to receive an annual award of time-based LTIP units or restricted stock, as Mr. Sitomer elects, based on the Company’s performance during the prior year (such award, the “Annual Time-Based Award”), with one-third of each award vesting on January 1 of each of the first three years following such award. The value of the award each year will be determined by the Compensation Committee based on its evaluation of Mr. Sitomer’s performance during the prior year, provided that the amount for target performance will not be less than $3,300,000. The Annual Time-Based Award may accelerate upon a termination of Mr. Sitomer’s employment without Cause, or for Good Reason, upon a non-renewal of the then-current term of the agreement, or Mr. Sitomer’s termination of employment due to death or disability. The first Annual Time-Based Award will be in the amount of $3,300,000 and will be made in the form of restricted stock promptly following the execution of the employment agreement.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Outperformance Modifier</w:t>
            </w:r>
            <w:r>
              <w:rPr>
                <w:rFonts w:ascii="Times New Roman;Times;Serif" w:hAnsi="Times New Roman;Times;Serif"/>
                <w:b w:val="false"/>
                <w:i w:val="false"/>
                <w:caps w:val="false"/>
                <w:smallCaps w:val="false"/>
                <w:sz w:val="20"/>
              </w:rPr>
              <w:t>: To the extent the Annual Time-Based Award becomes vested in full, the Annual Time-Based Award may be increased by a number of additional units or shares of restricted stock, as applicable, up to 100% of the Annual Time-Based Award (such units or shares of restricted stock, as applicable, the “Outperformance Award”), as set forth below, based upon the achievement of three-year specific operational or financial goals covering a measurement period of three years, which goals will be established in advance by the Compensation Committee. In the event that vesting of the Annual Time-Based Award accelerates, the Outperformance Award will remain eligible to be earned at the conclusion of the three-year performance period. In connection with a Change-in-Control prior the conclusion of any performance period, performance will be determined based on actual, annualized performance through the date of the Change-in-Control (or the most recent practicable date).</w:t>
            </w:r>
          </w:p>
        </w:tc>
      </w:tr>
    </w:tbl>
    <w:tbl>
      <w:tblPr>
        <w:tblW w:w="4703" w:type="dxa"/>
        <w:jc w:val="left"/>
        <w:tblInd w:w="-10" w:type="dxa"/>
        <w:tblLayout w:type="fixed"/>
        <w:tblCellMar>
          <w:top w:w="0" w:type="dxa"/>
          <w:left w:w="100" w:type="dxa"/>
          <w:bottom w:w="0" w:type="dxa"/>
          <w:right w:w="100" w:type="dxa"/>
        </w:tblCellMar>
      </w:tblPr>
      <w:tblGrid>
        <w:gridCol w:w="75"/>
        <w:gridCol w:w="60"/>
        <w:gridCol w:w="1655"/>
        <w:gridCol w:w="1066"/>
        <w:gridCol w:w="687"/>
        <w:gridCol w:w="1085"/>
        <w:gridCol w:w="75"/>
      </w:tblGrid>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1655"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2838" w:type="dxa"/>
            <w:gridSpan w:val="3"/>
            <w:tcBorders>
              <w:bottom w:val="single" w:sz="8" w:space="0" w:color="000000"/>
            </w:tcBorders>
            <w:tcMar>
              <w:left w:w="0" w:type="dxa"/>
              <w:bottom w:w="28" w:type="dxa"/>
              <w:right w:w="0" w:type="dxa"/>
            </w:tcMar>
            <w:vAlign w:val="center"/>
          </w:tcPr>
          <w:p>
            <w:pPr>
              <w:pStyle w:val="TableContents"/>
              <w:bidi w:val="0"/>
              <w:spacing w:before="0" w:after="283"/>
              <w:jc w:val="center"/>
              <w:rPr/>
            </w:pPr>
            <w:r>
              <w:rPr/>
              <w:t> </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shd w:fill="FFFFFF" w:val="clear"/>
            <w:vAlign w:val="center"/>
          </w:tcPr>
          <w:p>
            <w:pPr>
              <w:pStyle w:val="TableContents"/>
              <w:bidi w:val="0"/>
              <w:spacing w:before="0" w:after="283"/>
              <w:jc w:val="left"/>
              <w:rPr/>
            </w:pPr>
            <w:r>
              <w:rPr/>
              <w:t> </w:t>
            </w:r>
          </w:p>
        </w:tc>
        <w:tc>
          <w:tcPr>
            <w:tcW w:w="60" w:type="dxa"/>
            <w:tcBorders>
              <w:right w:val="single" w:sz="8" w:space="0" w:color="000000"/>
            </w:tcBorders>
            <w:shd w:fill="FFFFFF" w:val="clear"/>
            <w:tcMar>
              <w:left w:w="0" w:type="dxa"/>
            </w:tcMar>
            <w:vAlign w:val="center"/>
          </w:tcPr>
          <w:p>
            <w:pPr>
              <w:pStyle w:val="TableContents"/>
              <w:bidi w:val="0"/>
              <w:spacing w:before="0" w:after="283"/>
              <w:jc w:val="left"/>
              <w:rPr/>
            </w:pPr>
            <w:r>
              <w:rPr/>
              <w:t> </w:t>
            </w:r>
          </w:p>
        </w:tc>
        <w:tc>
          <w:tcPr>
            <w:tcW w:w="1655" w:type="dxa"/>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left"/>
              <w:rPr/>
            </w:pPr>
            <w:r>
              <w:rPr/>
              <w:t> </w:t>
            </w:r>
          </w:p>
        </w:tc>
        <w:tc>
          <w:tcPr>
            <w:tcW w:w="2838" w:type="dxa"/>
            <w:gridSpan w:val="3"/>
            <w:tcBorders>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center"/>
              <w:rPr>
                <w:b/>
                <w:sz w:val="20"/>
              </w:rPr>
            </w:pPr>
            <w:r>
              <w:rPr>
                <w:b/>
                <w:sz w:val="20"/>
              </w:rPr>
              <w:t>Outperformance Metric Modifier</w:t>
            </w:r>
          </w:p>
        </w:tc>
        <w:tc>
          <w:tcPr>
            <w:tcW w:w="75" w:type="dxa"/>
            <w:tcBorders>
              <w:right w:val="single" w:sz="8" w:space="0" w:color="000000"/>
            </w:tcBorders>
            <w:shd w:fill="FFFFFF"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right w:val="single" w:sz="8" w:space="0" w:color="000000"/>
            </w:tcBorders>
            <w:tcMar>
              <w:left w:w="0" w:type="dxa"/>
            </w:tcMar>
            <w:vAlign w:val="center"/>
          </w:tcPr>
          <w:p>
            <w:pPr>
              <w:pStyle w:val="TableContents"/>
              <w:bidi w:val="0"/>
              <w:spacing w:before="0" w:after="283"/>
              <w:jc w:val="left"/>
              <w:rPr/>
            </w:pPr>
            <w:r>
              <w:rPr/>
              <w:t> </w:t>
            </w:r>
          </w:p>
        </w:tc>
        <w:tc>
          <w:tcPr>
            <w:tcW w:w="1655"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b/>
                <w:sz w:val="20"/>
              </w:rPr>
            </w:pPr>
            <w:r>
              <w:rPr>
                <w:b/>
                <w:sz w:val="20"/>
              </w:rPr>
              <w:t>Performance Level</w:t>
            </w:r>
          </w:p>
        </w:tc>
        <w:tc>
          <w:tcPr>
            <w:tcW w:w="1066"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sz w:val="20"/>
              </w:rPr>
            </w:pPr>
            <w:r>
              <w:rPr>
                <w:sz w:val="20"/>
              </w:rPr>
              <w:t>Threshold</w:t>
            </w:r>
          </w:p>
        </w:tc>
        <w:tc>
          <w:tcPr>
            <w:tcW w:w="687"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sz w:val="20"/>
              </w:rPr>
            </w:pPr>
            <w:r>
              <w:rPr>
                <w:sz w:val="20"/>
              </w:rPr>
              <w:t>Target</w:t>
            </w:r>
          </w:p>
        </w:tc>
        <w:tc>
          <w:tcPr>
            <w:tcW w:w="1085"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sz w:val="20"/>
              </w:rPr>
            </w:pPr>
            <w:r>
              <w:rPr>
                <w:sz w:val="20"/>
              </w:rPr>
              <w:t>Maximum</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right w:val="single" w:sz="8" w:space="0" w:color="000000"/>
            </w:tcBorders>
            <w:tcMar>
              <w:left w:w="0" w:type="dxa"/>
            </w:tcMar>
            <w:vAlign w:val="center"/>
          </w:tcPr>
          <w:p>
            <w:pPr>
              <w:pStyle w:val="TableContents"/>
              <w:bidi w:val="0"/>
              <w:spacing w:before="0" w:after="283"/>
              <w:jc w:val="left"/>
              <w:rPr/>
            </w:pPr>
            <w:r>
              <w:rPr/>
              <w:t> </w:t>
            </w:r>
          </w:p>
        </w:tc>
        <w:tc>
          <w:tcPr>
            <w:tcW w:w="1655"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b/>
                <w:sz w:val="20"/>
              </w:rPr>
            </w:pPr>
            <w:r>
              <w:rPr>
                <w:b/>
                <w:sz w:val="20"/>
              </w:rPr>
              <w:t>Percent Modifier</w:t>
            </w:r>
          </w:p>
        </w:tc>
        <w:tc>
          <w:tcPr>
            <w:tcW w:w="1066"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sz w:val="20"/>
              </w:rPr>
            </w:pPr>
            <w:r>
              <w:rPr>
                <w:sz w:val="20"/>
              </w:rPr>
              <w:t>+25%</w:t>
            </w:r>
          </w:p>
        </w:tc>
        <w:tc>
          <w:tcPr>
            <w:tcW w:w="687"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sz w:val="20"/>
              </w:rPr>
            </w:pPr>
            <w:r>
              <w:rPr>
                <w:sz w:val="20"/>
              </w:rPr>
              <w:t>+50%</w:t>
            </w:r>
          </w:p>
        </w:tc>
        <w:tc>
          <w:tcPr>
            <w:tcW w:w="1085"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sz w:val="20"/>
              </w:rPr>
            </w:pPr>
            <w:r>
              <w:rPr>
                <w:sz w:val="20"/>
              </w:rPr>
              <w:t>+100%</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1655"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687"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1085"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75"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0" w:type="dxa"/>
          <w:bottom w:w="0" w:type="dxa"/>
          <w:right w:w="100" w:type="dxa"/>
        </w:tblCellMar>
      </w:tblPr>
      <w:tblGrid>
        <w:gridCol w:w="2265"/>
        <w:gridCol w:w="122"/>
        <w:gridCol w:w="3063"/>
        <w:gridCol w:w="1727"/>
        <w:gridCol w:w="1114"/>
        <w:gridCol w:w="1758"/>
        <w:gridCol w:w="156"/>
      </w:tblGrid>
      <w:tr>
        <w:trPr/>
        <w:tc>
          <w:tcPr>
            <w:tcW w:w="226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b/>
                <w:sz w:val="20"/>
              </w:rPr>
            </w:pPr>
            <w:r>
              <w:rPr>
                <w:b/>
                <w:sz w:val="20"/>
              </w:rPr>
              <w:t>Annual Performance-Based Awards:</w:t>
            </w:r>
          </w:p>
        </w:tc>
        <w:tc>
          <w:tcPr>
            <w:tcW w:w="7940" w:type="dxa"/>
            <w:gridSpan w:val="6"/>
            <w:tcBorders>
              <w:top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Sitomer will receive an annual award of performance-based LTIP units with a target value of $2,500,000.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below, earning of the performance-based LTIP units will be based on relative TSR performance over a three-year period (with linear interpolation applying between levels):</w:t>
            </w:r>
          </w:p>
        </w:tc>
      </w:tr>
      <w:tr>
        <w:trPr/>
        <w:tc>
          <w:tcPr>
            <w:tcW w:w="2265"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22" w:type="dxa"/>
            <w:tcBorders/>
            <w:tcMar>
              <w:top w:w="0" w:type="dxa"/>
              <w:left w:w="0" w:type="dxa"/>
              <w:right w:w="0" w:type="dxa"/>
            </w:tcMar>
            <w:vAlign w:val="center"/>
          </w:tcPr>
          <w:p>
            <w:pPr>
              <w:pStyle w:val="TableContents"/>
              <w:bidi w:val="0"/>
              <w:spacing w:before="0" w:after="283"/>
              <w:jc w:val="left"/>
              <w:rPr/>
            </w:pPr>
            <w:r>
              <w:rPr/>
              <w:t> </w:t>
            </w:r>
          </w:p>
        </w:tc>
        <w:tc>
          <w:tcPr>
            <w:tcW w:w="3063"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4599" w:type="dxa"/>
            <w:gridSpan w:val="3"/>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156"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26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 </w:t>
            </w:r>
          </w:p>
        </w:tc>
        <w:tc>
          <w:tcPr>
            <w:tcW w:w="122" w:type="dxa"/>
            <w:tcBorders>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c>
          <w:tcPr>
            <w:tcW w:w="3063"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left"/>
              <w:rPr/>
            </w:pPr>
            <w:r>
              <w:rPr/>
              <w:t> </w:t>
            </w:r>
          </w:p>
        </w:tc>
        <w:tc>
          <w:tcPr>
            <w:tcW w:w="4599" w:type="dxa"/>
            <w:gridSpan w:val="3"/>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20"/>
              </w:rPr>
            </w:pPr>
            <w:r>
              <w:rPr>
                <w:b/>
                <w:sz w:val="20"/>
              </w:rPr>
              <w:t>Relative TSR over 3 Years</w:t>
            </w:r>
          </w:p>
        </w:tc>
        <w:tc>
          <w:tcPr>
            <w:tcW w:w="156" w:type="dxa"/>
            <w:tcBorders>
              <w:right w:val="single" w:sz="8"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265"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2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3063" w:type="dxa"/>
            <w:tcBorders>
              <w:right w:val="single" w:sz="8" w:space="0" w:color="000000"/>
            </w:tcBorders>
            <w:tcMar>
              <w:top w:w="0" w:type="dxa"/>
              <w:left w:w="0" w:type="dxa"/>
            </w:tcMar>
            <w:vAlign w:val="center"/>
          </w:tcPr>
          <w:p>
            <w:pPr>
              <w:pStyle w:val="TableContents"/>
              <w:bidi w:val="0"/>
              <w:spacing w:before="0" w:after="283"/>
              <w:jc w:val="left"/>
              <w:rPr>
                <w:b/>
                <w:sz w:val="20"/>
              </w:rPr>
            </w:pPr>
            <w:r>
              <w:rPr>
                <w:b/>
                <w:sz w:val="20"/>
              </w:rPr>
              <w:t>Performance Level</w:t>
            </w:r>
          </w:p>
        </w:tc>
        <w:tc>
          <w:tcPr>
            <w:tcW w:w="1727" w:type="dxa"/>
            <w:tcBorders>
              <w:right w:val="single" w:sz="8" w:space="0" w:color="000000"/>
            </w:tcBorders>
            <w:tcMar>
              <w:top w:w="0" w:type="dxa"/>
              <w:left w:w="0" w:type="dxa"/>
            </w:tcMar>
            <w:vAlign w:val="center"/>
          </w:tcPr>
          <w:p>
            <w:pPr>
              <w:pStyle w:val="TableContents"/>
              <w:bidi w:val="0"/>
              <w:spacing w:before="0" w:after="283"/>
              <w:jc w:val="left"/>
              <w:rPr>
                <w:sz w:val="20"/>
              </w:rPr>
            </w:pPr>
            <w:r>
              <w:rPr>
                <w:sz w:val="20"/>
              </w:rPr>
              <w:t>Threshold</w:t>
            </w:r>
          </w:p>
        </w:tc>
        <w:tc>
          <w:tcPr>
            <w:tcW w:w="1114" w:type="dxa"/>
            <w:tcBorders>
              <w:right w:val="single" w:sz="8" w:space="0" w:color="000000"/>
            </w:tcBorders>
            <w:tcMar>
              <w:top w:w="0" w:type="dxa"/>
              <w:left w:w="0" w:type="dxa"/>
            </w:tcMar>
            <w:vAlign w:val="center"/>
          </w:tcPr>
          <w:p>
            <w:pPr>
              <w:pStyle w:val="TableContents"/>
              <w:bidi w:val="0"/>
              <w:spacing w:before="0" w:after="283"/>
              <w:jc w:val="left"/>
              <w:rPr>
                <w:sz w:val="20"/>
              </w:rPr>
            </w:pPr>
            <w:r>
              <w:rPr>
                <w:sz w:val="20"/>
              </w:rPr>
              <w:t>Target</w:t>
            </w:r>
          </w:p>
        </w:tc>
        <w:tc>
          <w:tcPr>
            <w:tcW w:w="1758" w:type="dxa"/>
            <w:tcBorders>
              <w:right w:val="single" w:sz="8" w:space="0" w:color="000000"/>
            </w:tcBorders>
            <w:tcMar>
              <w:top w:w="0" w:type="dxa"/>
              <w:left w:w="0" w:type="dxa"/>
            </w:tcMar>
            <w:vAlign w:val="center"/>
          </w:tcPr>
          <w:p>
            <w:pPr>
              <w:pStyle w:val="TableContents"/>
              <w:bidi w:val="0"/>
              <w:spacing w:before="0" w:after="283"/>
              <w:jc w:val="left"/>
              <w:rPr>
                <w:sz w:val="20"/>
              </w:rPr>
            </w:pPr>
            <w:r>
              <w:rPr>
                <w:sz w:val="20"/>
              </w:rPr>
              <w:t>Maximum</w:t>
            </w:r>
          </w:p>
        </w:tc>
        <w:tc>
          <w:tcPr>
            <w:tcW w:w="156"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265"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2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306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b/>
                <w:sz w:val="20"/>
              </w:rPr>
            </w:pPr>
            <w:r>
              <w:rPr>
                <w:b/>
                <w:sz w:val="20"/>
              </w:rPr>
              <w:t>Percentage Earned</w:t>
            </w:r>
          </w:p>
        </w:tc>
        <w:tc>
          <w:tcPr>
            <w:tcW w:w="17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sz w:val="20"/>
              </w:rPr>
            </w:pPr>
            <w:r>
              <w:rPr>
                <w:sz w:val="20"/>
              </w:rPr>
              <w:t>50%</w:t>
            </w:r>
          </w:p>
        </w:tc>
        <w:tc>
          <w:tcPr>
            <w:tcW w:w="1114"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sz w:val="20"/>
              </w:rPr>
            </w:pPr>
            <w:r>
              <w:rPr>
                <w:sz w:val="20"/>
              </w:rPr>
              <w:t>100%</w:t>
            </w:r>
          </w:p>
        </w:tc>
        <w:tc>
          <w:tcPr>
            <w:tcW w:w="17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sz w:val="20"/>
              </w:rPr>
            </w:pPr>
            <w:r>
              <w:rPr>
                <w:sz w:val="20"/>
              </w:rPr>
              <w:t>225%</w:t>
            </w:r>
          </w:p>
        </w:tc>
        <w:tc>
          <w:tcPr>
            <w:tcW w:w="156"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2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pPr>
            <w:r>
              <w:rPr/>
              <w:t> </w:t>
            </w:r>
          </w:p>
        </w:tc>
        <w:tc>
          <w:tcPr>
            <w:tcW w:w="122"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063"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727"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114"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758"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6"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r>
    </w:tbl>
    <w:tbl>
      <w:tblPr>
        <w:tblW w:w="10205" w:type="dxa"/>
        <w:jc w:val="left"/>
        <w:tblInd w:w="-10" w:type="dxa"/>
        <w:tblLayout w:type="fixed"/>
        <w:tblCellMar>
          <w:top w:w="0" w:type="dxa"/>
          <w:left w:w="100" w:type="dxa"/>
          <w:bottom w:w="28" w:type="dxa"/>
          <w:right w:w="100" w:type="dxa"/>
        </w:tblCellMar>
      </w:tblPr>
      <w:tblGrid>
        <w:gridCol w:w="1048"/>
        <w:gridCol w:w="9157"/>
      </w:tblGrid>
      <w:tr>
        <w:trPr/>
        <w:tc>
          <w:tcPr>
            <w:tcW w:w="1048"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9157"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earned based on achievement of relative TSR may be modified down by up to 25% or up by up to 50% based on absolute TSR over three years.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hurdles will be determined by the Compensation Committee at the time of each award. The first award of performance-based LTIP Units will be made promptly following the execution of the employment agreement.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LTIP units will remain outstanding following a termination of Mr. Sitomer’s employment without Cause, including as a result of the Company’s election not to renew the then-current term of the agreement, or for Good Reason, or due to Mr. Sitomer’s death or disability. In the event of a termination of Mr. Sitomer’s employment because of his election not to renew the then-current term of the agreement, any LTIP units that would vest more than twelve months after the termination date of the agreement will be forfeited.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Change-in-Control prior the conclusion of any performance period, absolute and relative TSR performance will be determined based on actual, annualized performance through the date of the Change-in-Control.</w:t>
            </w:r>
          </w:p>
        </w:tc>
      </w:tr>
      <w:tr>
        <w:trPr/>
        <w:tc>
          <w:tcPr>
            <w:tcW w:w="1048"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Signing Bonus:</w:t>
            </w:r>
          </w:p>
        </w:tc>
        <w:tc>
          <w:tcPr>
            <w:tcW w:w="9157" w:type="dxa"/>
            <w:tcBorders>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Mr. Sitomer will receive a one-time cash bonus in an amount equal to $750,000, which will be paid to Mr. Sitomer, less applicable deductions and withholdings, promptly after the execution of the employment agreement.</w:t>
            </w:r>
          </w:p>
        </w:tc>
      </w:tr>
      <w:tr>
        <w:trPr/>
        <w:tc>
          <w:tcPr>
            <w:tcW w:w="1048" w:type="dxa"/>
            <w:tcBorders>
              <w:left w:val="single" w:sz="8" w:space="0" w:color="000000"/>
              <w:right w:val="single" w:sz="8" w:space="0" w:color="000000"/>
            </w:tcBorders>
            <w:tcMar>
              <w:bottom w:w="0" w:type="dxa"/>
            </w:tcMar>
            <w:vAlign w:val="center"/>
          </w:tcPr>
          <w:p>
            <w:pPr>
              <w:pStyle w:val="TableContents"/>
              <w:bidi w:val="0"/>
              <w:spacing w:before="0" w:after="283"/>
              <w:jc w:val="left"/>
              <w:rPr>
                <w:b/>
                <w:sz w:val="20"/>
              </w:rPr>
            </w:pPr>
            <w:r>
              <w:rPr>
                <w:b/>
                <w:sz w:val="20"/>
              </w:rPr>
              <w:t>Severance Benefits:</w:t>
            </w:r>
          </w:p>
        </w:tc>
        <w:tc>
          <w:tcPr>
            <w:tcW w:w="9157" w:type="dxa"/>
            <w:tcBorders>
              <w:right w:val="single" w:sz="8" w:space="0" w:color="000000"/>
            </w:tcBorders>
            <w:tcMar>
              <w:left w:w="0" w:type="dxa"/>
              <w:bottom w:w="0" w:type="dxa"/>
            </w:tcMar>
            <w:vAlign w:val="center"/>
          </w:tcPr>
          <w:p>
            <w:pPr>
              <w:pStyle w:val="TableContents"/>
              <w:bidi w:val="0"/>
              <w:spacing w:before="0" w:after="283"/>
              <w:jc w:val="left"/>
              <w:rPr>
                <w:sz w:val="20"/>
              </w:rPr>
            </w:pPr>
            <w:r>
              <w:rPr>
                <w:sz w:val="20"/>
              </w:rPr>
              <w:t>If Mr. Sitomer’s employment is terminated by the Company without Cause  or by Mr. Sitomer for Good Reason during the term, Mr. Sitomer will be entitled to the following payments or benefits:</w:t>
            </w:r>
          </w:p>
        </w:tc>
      </w:tr>
    </w:tbl>
    <w:tbl>
      <w:tblPr>
        <w:tblW w:w="10205" w:type="dxa"/>
        <w:jc w:val="left"/>
        <w:tblInd w:w="-10" w:type="dxa"/>
        <w:tblLayout w:type="fixed"/>
        <w:tblCellMar>
          <w:top w:w="0" w:type="dxa"/>
          <w:left w:w="100" w:type="dxa"/>
          <w:bottom w:w="0" w:type="dxa"/>
          <w:right w:w="100" w:type="dxa"/>
        </w:tblCellMar>
      </w:tblPr>
      <w:tblGrid>
        <w:gridCol w:w="75"/>
        <w:gridCol w:w="60"/>
        <w:gridCol w:w="3930"/>
        <w:gridCol w:w="6064"/>
        <w:gridCol w:w="76"/>
      </w:tblGrid>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3930"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6064"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right w:val="single" w:sz="8" w:space="0" w:color="000000"/>
            </w:tcBorders>
            <w:tcMar>
              <w:left w:w="0" w:type="dxa"/>
              <w:right w:w="28" w:type="dxa"/>
            </w:tcMar>
            <w:vAlign w:val="center"/>
          </w:tcPr>
          <w:p>
            <w:pPr>
              <w:pStyle w:val="TableContents"/>
              <w:bidi w:val="0"/>
              <w:spacing w:before="0" w:after="283"/>
              <w:jc w:val="left"/>
              <w:rPr/>
            </w:pPr>
            <w:r>
              <w:rPr/>
              <w:t> </w:t>
            </w:r>
          </w:p>
        </w:tc>
        <w:tc>
          <w:tcPr>
            <w:tcW w:w="3930"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b/>
                <w:sz w:val="20"/>
              </w:rPr>
            </w:pPr>
            <w:r>
              <w:rPr>
                <w:b/>
                <w:sz w:val="20"/>
              </w:rPr>
              <w:t>Termination Without Change-in-Control</w:t>
            </w:r>
          </w:p>
        </w:tc>
        <w:tc>
          <w:tcPr>
            <w:tcW w:w="6064"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b/>
                <w:sz w:val="20"/>
              </w:rPr>
            </w:pPr>
            <w:r>
              <w:rPr>
                <w:b/>
                <w:sz w:val="20"/>
              </w:rPr>
              <w:t>Termination in Connection with Change-in-Control</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right w:val="single" w:sz="8" w:space="0" w:color="000000"/>
            </w:tcBorders>
            <w:tcMar>
              <w:left w:w="0" w:type="dxa"/>
              <w:right w:w="28" w:type="dxa"/>
            </w:tcMar>
            <w:vAlign w:val="center"/>
          </w:tcPr>
          <w:p>
            <w:pPr>
              <w:pStyle w:val="TableContents"/>
              <w:bidi w:val="0"/>
              <w:spacing w:before="0" w:after="283"/>
              <w:jc w:val="left"/>
              <w:rPr/>
            </w:pPr>
            <w:r>
              <w:rPr/>
              <w:t> </w:t>
            </w:r>
          </w:p>
        </w:tc>
        <w:tc>
          <w:tcPr>
            <w:tcW w:w="3930" w:type="dxa"/>
            <w:tcBorders>
              <w:bottom w:val="single" w:sz="8" w:space="0" w:color="000000"/>
              <w:right w:val="single" w:sz="8" w:space="0" w:color="000000"/>
            </w:tcBorders>
            <w:tcMar>
              <w:left w:w="0" w:type="dxa"/>
              <w:bottom w:w="28" w:type="dxa"/>
            </w:tcMar>
            <w:vAlign w:val="center"/>
          </w:tcPr>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 1.5x the sum of base salary and average annual bonus for prior two years and (ii) 1x the target value of annual time-based equity award</w:t>
            </w:r>
          </w:p>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Pro-rata bonus and pro-rata portion of target value of annual time-based award for partial year</w:t>
            </w:r>
          </w:p>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Acceleration of all unvested equity awards (other than performance-based awards, which are governed by their terms)</w:t>
            </w:r>
          </w:p>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12 months of benefit continuation payments</w:t>
            </w:r>
          </w:p>
        </w:tc>
        <w:tc>
          <w:tcPr>
            <w:tcW w:w="6064" w:type="dxa"/>
            <w:tcBorders>
              <w:bottom w:val="single" w:sz="8" w:space="0" w:color="000000"/>
              <w:right w:val="single" w:sz="8" w:space="0" w:color="000000"/>
            </w:tcBorders>
            <w:tcMar>
              <w:left w:w="0" w:type="dxa"/>
              <w:bottom w:w="28" w:type="dxa"/>
            </w:tcMar>
            <w:vAlign w:val="center"/>
          </w:tcPr>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2.5x the sum of base salary, average annual bonus for prior two years and target value of annual time-based award</w:t>
            </w:r>
          </w:p>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Pro-rata bonus and pro-rata portion of target value of annual time-based award for partial year</w:t>
            </w:r>
          </w:p>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Acceleration of all unvested equity awards (other than performance-based awards, which are governed by their terms)</w:t>
            </w:r>
          </w:p>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24 months of benefit continuation payments</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3930" w:type="dxa"/>
            <w:tcBorders/>
            <w:tcMar>
              <w:left w:w="0" w:type="dxa"/>
              <w:right w:w="0" w:type="dxa"/>
            </w:tcMar>
            <w:vAlign w:val="center"/>
          </w:tcPr>
          <w:p>
            <w:pPr>
              <w:pStyle w:val="TableContents"/>
              <w:bidi w:val="0"/>
              <w:spacing w:before="0" w:after="283"/>
              <w:jc w:val="left"/>
              <w:rPr/>
            </w:pPr>
            <w:r>
              <w:rPr/>
              <w:t> </w:t>
            </w:r>
          </w:p>
        </w:tc>
        <w:tc>
          <w:tcPr>
            <w:tcW w:w="6064" w:type="dxa"/>
            <w:tcBorders/>
            <w:tcMar>
              <w:left w:w="0" w:type="dxa"/>
              <w:right w:w="0" w:type="dxa"/>
            </w:tcMar>
            <w:vAlign w:val="center"/>
          </w:tcPr>
          <w:p>
            <w:pPr>
              <w:pStyle w:val="TableContents"/>
              <w:bidi w:val="0"/>
              <w:spacing w:before="0" w:after="283"/>
              <w:jc w:val="left"/>
              <w:rPr/>
            </w:pPr>
            <w:r>
              <w:rPr/>
              <w:t> </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3930" w:type="dxa"/>
            <w:tcBorders/>
            <w:tcMar>
              <w:left w:w="0" w:type="dxa"/>
              <w:right w:w="0" w:type="dxa"/>
            </w:tcMar>
            <w:vAlign w:val="center"/>
          </w:tcPr>
          <w:p>
            <w:pPr>
              <w:pStyle w:val="TableContents"/>
              <w:bidi w:val="0"/>
              <w:spacing w:before="0" w:after="283"/>
              <w:jc w:val="left"/>
              <w:rPr/>
            </w:pPr>
            <w:r>
              <w:rPr/>
              <w:t> </w:t>
            </w:r>
          </w:p>
        </w:tc>
        <w:tc>
          <w:tcPr>
            <w:tcW w:w="6064" w:type="dxa"/>
            <w:tcBorders/>
            <w:tcMar>
              <w:left w:w="0" w:type="dxa"/>
              <w:right w:w="0" w:type="dxa"/>
            </w:tcMar>
            <w:vAlign w:val="center"/>
          </w:tcPr>
          <w:p>
            <w:pPr>
              <w:pStyle w:val="TableContents"/>
              <w:bidi w:val="0"/>
              <w:spacing w:before="0" w:after="283"/>
              <w:jc w:val="left"/>
              <w:rPr/>
            </w:pPr>
            <w:r>
              <w:rPr/>
              <w:t> </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10130" w:type="dxa"/>
            <w:gridSpan w:val="4"/>
            <w:tcBorders>
              <w:right w:val="single" w:sz="8" w:space="0" w:color="000000"/>
            </w:tcBorders>
            <w:tcMar>
              <w:left w:w="0" w:type="dxa"/>
              <w:right w:w="28" w:type="dxa"/>
            </w:tcMar>
            <w:vAlign w:val="center"/>
          </w:tcPr>
          <w:p>
            <w:pPr>
              <w:pStyle w:val="TableContents"/>
              <w:bidi w:val="0"/>
              <w:spacing w:before="0" w:after="283"/>
              <w:jc w:val="left"/>
              <w:rPr>
                <w:sz w:val="20"/>
              </w:rPr>
            </w:pPr>
            <w:r>
              <w:rPr>
                <w:sz w:val="20"/>
              </w:rPr>
              <w:t>If the Company or Mr. Sitomer, as applicable, delivers a notice of non-renewal pursuant to the terms of the agreement, then Mr. Sitomer’s employment will terminate and he will be entitled to the following payments or benefits:</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3930"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6064"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right w:val="single" w:sz="8" w:space="0" w:color="000000"/>
            </w:tcBorders>
            <w:tcMar>
              <w:left w:w="0" w:type="dxa"/>
              <w:right w:w="28" w:type="dxa"/>
            </w:tcMar>
            <w:vAlign w:val="center"/>
          </w:tcPr>
          <w:p>
            <w:pPr>
              <w:pStyle w:val="TableContents"/>
              <w:bidi w:val="0"/>
              <w:spacing w:before="0" w:after="283"/>
              <w:jc w:val="left"/>
              <w:rPr/>
            </w:pPr>
            <w:r>
              <w:rPr/>
              <w:t> </w:t>
            </w:r>
          </w:p>
        </w:tc>
        <w:tc>
          <w:tcPr>
            <w:tcW w:w="3930"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b/>
                <w:sz w:val="20"/>
              </w:rPr>
            </w:pPr>
            <w:r>
              <w:rPr>
                <w:b/>
                <w:sz w:val="20"/>
              </w:rPr>
              <w:t>Non-Renewal by Company</w:t>
            </w:r>
          </w:p>
        </w:tc>
        <w:tc>
          <w:tcPr>
            <w:tcW w:w="6064"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b/>
                <w:sz w:val="20"/>
              </w:rPr>
            </w:pPr>
            <w:r>
              <w:rPr>
                <w:b/>
                <w:sz w:val="20"/>
              </w:rPr>
              <w:t>Non-Renewal by Mr. Sitomer</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right w:val="single" w:sz="8" w:space="0" w:color="000000"/>
            </w:tcBorders>
            <w:tcMar>
              <w:left w:w="0" w:type="dxa"/>
              <w:right w:w="28" w:type="dxa"/>
            </w:tcMar>
            <w:vAlign w:val="center"/>
          </w:tcPr>
          <w:p>
            <w:pPr>
              <w:pStyle w:val="TableContents"/>
              <w:bidi w:val="0"/>
              <w:spacing w:before="0" w:after="283"/>
              <w:jc w:val="left"/>
              <w:rPr/>
            </w:pPr>
            <w:r>
              <w:rPr/>
              <w:t> </w:t>
            </w:r>
          </w:p>
        </w:tc>
        <w:tc>
          <w:tcPr>
            <w:tcW w:w="3930" w:type="dxa"/>
            <w:tcBorders>
              <w:bottom w:val="single" w:sz="8" w:space="0" w:color="000000"/>
              <w:right w:val="single" w:sz="8" w:space="0" w:color="000000"/>
            </w:tcBorders>
            <w:tcMar>
              <w:left w:w="0" w:type="dxa"/>
              <w:bottom w:w="28" w:type="dxa"/>
            </w:tcMar>
            <w:vAlign w:val="center"/>
          </w:tcPr>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 0.5x the sum of base salary and average annual bonus for prior two years</w:t>
            </w:r>
          </w:p>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Acceleration of all unvested equity awards (other than performance-based awards, which are governed by their terms)</w:t>
            </w:r>
          </w:p>
        </w:tc>
        <w:tc>
          <w:tcPr>
            <w:tcW w:w="6064"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rFonts w:ascii="Symbol" w:hAnsi="Symbol"/>
                <w:sz w:val="20"/>
              </w:rPr>
              <w:t>·</w:t>
            </w:r>
            <w:r>
              <w:rPr/>
              <w:t>  </w:t>
            </w:r>
            <w:r>
              <w:rPr>
                <w:sz w:val="20"/>
              </w:rPr>
              <w:t>Acceleration of all unvested equity awards (other than performance-based awards, which are governed by their terms; provided that any performance-based awards that would vest more than twelve months after the termination date will be forfeited)</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3930" w:type="dxa"/>
            <w:tcBorders>
              <w:bottom w:val="single" w:sz="8" w:space="0" w:color="000000"/>
            </w:tcBorders>
            <w:tcMar>
              <w:left w:w="0" w:type="dxa"/>
              <w:bottom w:w="28" w:type="dxa"/>
              <w:right w:w="0" w:type="dxa"/>
            </w:tcMar>
            <w:vAlign w:val="center"/>
          </w:tcPr>
          <w:p>
            <w:pPr>
              <w:pStyle w:val="TableContents"/>
              <w:bidi w:val="0"/>
              <w:spacing w:before="0" w:after="283"/>
              <w:ind w:left="0" w:right="0" w:hanging="180"/>
              <w:jc w:val="left"/>
              <w:rPr/>
            </w:pPr>
            <w:r>
              <w:rPr/>
              <w:t> </w:t>
            </w:r>
          </w:p>
        </w:tc>
        <w:tc>
          <w:tcPr>
            <w:tcW w:w="6064"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76"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 </w:t>
            </w:r>
          </w:p>
        </w:tc>
      </w:tr>
    </w:tbl>
    <w:tbl>
      <w:tblPr>
        <w:tblW w:w="10205" w:type="dxa"/>
        <w:jc w:val="left"/>
        <w:tblInd w:w="-10" w:type="dxa"/>
        <w:tblLayout w:type="fixed"/>
        <w:tblCellMar>
          <w:top w:w="0" w:type="dxa"/>
          <w:left w:w="100" w:type="dxa"/>
          <w:bottom w:w="28" w:type="dxa"/>
          <w:right w:w="100" w:type="dxa"/>
        </w:tblCellMar>
      </w:tblPr>
      <w:tblGrid>
        <w:gridCol w:w="1140"/>
        <w:gridCol w:w="9065"/>
      </w:tblGrid>
      <w:tr>
        <w:trPr/>
        <w:tc>
          <w:tcPr>
            <w:tcW w:w="114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Restrictive Covenants:</w:t>
            </w:r>
          </w:p>
        </w:tc>
        <w:tc>
          <w:tcPr>
            <w:tcW w:w="9065" w:type="dxa"/>
            <w:tcBorders>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Mr. Sitomer will not compete with the Company while employed (including after the end of the term of employment if employment continues) and until 12 months after termination of employment during the term (or 6 months after a termination in connection with or within 18 months after a Change-in-Control or a termination of employment upon or after the expiration of the term of employment). Mr. Sitomer has also agreed to non-solicitation, non-disparagement and non-interference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also provides for certain payments and benefits if Mr. Sitomer’s employment is terminated due to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Cause, Good Reason and Change-in-Control, as used above, are specifically defined in Mr. Sitomer’s employment agreement. The discussion above is qualified in its entirety by reference to the copy of the employment agreement by and between the Company and Mr. Sitomer, which is being filed with this Current Report on Form 8-K as Exhibit 10.1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Extension of Matthew DiLiberto as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Matthew DiLiberto and the Company agreed to extend Mr. DiLiberto’s term as Chief Financial Officer, effective as of January 1, 2026, for an additional three years through January 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material terms of the new agreement entered into by the Company and Mr. DiLiberto in connection with this extension: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0" w:type="dxa"/>
          <w:bottom w:w="28" w:type="dxa"/>
          <w:right w:w="100" w:type="dxa"/>
        </w:tblCellMar>
      </w:tblPr>
      <w:tblGrid>
        <w:gridCol w:w="1825"/>
        <w:gridCol w:w="8380"/>
      </w:tblGrid>
      <w:tr>
        <w:trPr/>
        <w:tc>
          <w:tcPr>
            <w:tcW w:w="18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Term:</w:t>
            </w:r>
          </w:p>
        </w:tc>
        <w:tc>
          <w:tcPr>
            <w:tcW w:w="83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Three years (1/1/26 — 1/1/29). In the event that a Change-in-Control occurs within 18 months prior to the scheduled expiration of the term, Mr. DiLiberto may extend the term until the date that is 18 months after the Change-in-Control.</w:t>
            </w:r>
          </w:p>
        </w:tc>
      </w:tr>
      <w:tr>
        <w:trPr/>
        <w:tc>
          <w:tcPr>
            <w:tcW w:w="18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Base Salary:</w:t>
            </w:r>
          </w:p>
        </w:tc>
        <w:tc>
          <w:tcPr>
            <w:tcW w:w="83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$660,000 per year.</w:t>
            </w:r>
          </w:p>
        </w:tc>
      </w:tr>
      <w:tr>
        <w:trPr/>
        <w:tc>
          <w:tcPr>
            <w:tcW w:w="18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Annual Bonus:</w:t>
            </w:r>
          </w:p>
        </w:tc>
        <w:tc>
          <w:tcPr>
            <w:tcW w:w="83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Opportunity to earn 50-250% of base salary, based (i) 60% on a formulaic component based upon the achievement of specific goals established in advance by the Compensation Committee and (ii) 40% on a discretionary component at the Compensation Committee’s discretion. The amount earned may be paid in cash or equity at the discretion of the Compensation Committee.</w:t>
            </w:r>
          </w:p>
        </w:tc>
      </w:tr>
      <w:tr>
        <w:trPr/>
        <w:tc>
          <w:tcPr>
            <w:tcW w:w="18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Annual Time-Based Awards:</w:t>
            </w:r>
          </w:p>
        </w:tc>
        <w:tc>
          <w:tcPr>
            <w:tcW w:w="838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2026, Mr. DiLiberto will be eligible to receive an annual award of time-based LTIP units, with an equal amount of each award vesting on each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following such award during the remainder of the term of the employment agreement (i.e., awards made in 2026, 2027 and 2028 will vest over approximately three years, two years and one year, respectively). The value of the award each year will be determined by the Compensation Committee based on its evaluation of Mr. DiLiberto’s performance during the prior year, provided that the amount for target performance will not be less than $1,540,000. The first annual award of time-based LTIP units was made in February 2026, in the amount of $1,540,000. Subsequent annual awards will be made in January of each year beginning in January 2027. Each award will provide for full acceleration upon a termination of Mr. DiLiberto’s employment without Cause or for Good Reason, whether during or after the term of the employment agreement, or upon Mr. DiLiberto’s resignation following expiration of the term. </w:t>
            </w:r>
          </w:p>
        </w:tc>
      </w:tr>
      <w:tr>
        <w:trPr/>
        <w:tc>
          <w:tcPr>
            <w:tcW w:w="18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Annual Performance-Based Awards:</w:t>
            </w:r>
          </w:p>
        </w:tc>
        <w:tc>
          <w:tcPr>
            <w:tcW w:w="83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Beginning in 2026, Mr. DiLiberto will be eligible to receive, upon approval of the Board or Compensation Committee, an annual award of LTIP units, subject to performance-based vesting conditions, as the Company, in its sole discretion, may deem appropriate for achievement of target performance of not less than $1,000,000. Any performance-based LTIP units granted pursuant to the employment agreement will be granted pursuant to definitive documentation consistent with the Company’s general practices for documentation for such awards. The first annual award of performance-based LTIP units was made in February 2026, in the amount of $1,000,000. Subsequent annual awards, if any, will be made in January of each year beginning in January 2027.</w:t>
            </w:r>
          </w:p>
        </w:tc>
      </w:tr>
      <w:tr>
        <w:trPr/>
        <w:tc>
          <w:tcPr>
            <w:tcW w:w="182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Severance Benefits:</w:t>
            </w:r>
          </w:p>
        </w:tc>
        <w:tc>
          <w:tcPr>
            <w:tcW w:w="83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If Mr. DiLiberto’s employment is terminated by the Company without Cause or by Mr. DiLiberto for Good Reason during the term, Mr. DiLiberto will be entitled to the following payments or benefits:</w:t>
            </w:r>
          </w:p>
        </w:tc>
      </w:tr>
    </w:tbl>
    <w:tbl>
      <w:tblPr>
        <w:tblW w:w="10205" w:type="dxa"/>
        <w:jc w:val="left"/>
        <w:tblInd w:w="-10" w:type="dxa"/>
        <w:tblLayout w:type="fixed"/>
        <w:tblCellMar>
          <w:top w:w="0" w:type="dxa"/>
          <w:left w:w="100" w:type="dxa"/>
          <w:bottom w:w="0" w:type="dxa"/>
          <w:right w:w="100" w:type="dxa"/>
        </w:tblCellMar>
      </w:tblPr>
      <w:tblGrid>
        <w:gridCol w:w="75"/>
        <w:gridCol w:w="60"/>
        <w:gridCol w:w="4997"/>
        <w:gridCol w:w="4997"/>
        <w:gridCol w:w="76"/>
      </w:tblGrid>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997"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4997"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right w:val="single" w:sz="8" w:space="0" w:color="000000"/>
            </w:tcBorders>
            <w:tcMar>
              <w:left w:w="0" w:type="dxa"/>
              <w:right w:w="28" w:type="dxa"/>
            </w:tcMar>
            <w:vAlign w:val="center"/>
          </w:tcPr>
          <w:p>
            <w:pPr>
              <w:pStyle w:val="TableContents"/>
              <w:bidi w:val="0"/>
              <w:spacing w:before="0" w:after="283"/>
              <w:jc w:val="left"/>
              <w:rPr/>
            </w:pPr>
            <w:r>
              <w:rPr/>
              <w:t> </w:t>
            </w:r>
          </w:p>
        </w:tc>
        <w:tc>
          <w:tcPr>
            <w:tcW w:w="4997"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b/>
                <w:sz w:val="20"/>
              </w:rPr>
            </w:pPr>
            <w:r>
              <w:rPr>
                <w:b/>
                <w:sz w:val="20"/>
              </w:rPr>
              <w:t>Termination Without Change-in-Control</w:t>
            </w:r>
          </w:p>
        </w:tc>
        <w:tc>
          <w:tcPr>
            <w:tcW w:w="4997" w:type="dxa"/>
            <w:tcBorders>
              <w:bottom w:val="single" w:sz="8" w:space="0" w:color="000000"/>
              <w:right w:val="single" w:sz="8" w:space="0" w:color="000000"/>
            </w:tcBorders>
            <w:tcMar>
              <w:left w:w="0" w:type="dxa"/>
              <w:bottom w:w="28" w:type="dxa"/>
            </w:tcMar>
            <w:vAlign w:val="center"/>
          </w:tcPr>
          <w:p>
            <w:pPr>
              <w:pStyle w:val="TableContents"/>
              <w:bidi w:val="0"/>
              <w:spacing w:before="0" w:after="283"/>
              <w:jc w:val="left"/>
              <w:rPr>
                <w:b/>
                <w:sz w:val="20"/>
              </w:rPr>
            </w:pPr>
            <w:r>
              <w:rPr>
                <w:b/>
                <w:sz w:val="20"/>
              </w:rPr>
              <w:t>Termination in Connection with Change-in-Control</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left"/>
              <w:rPr/>
            </w:pPr>
            <w:r>
              <w:rPr/>
              <w:t> </w:t>
            </w:r>
          </w:p>
        </w:tc>
        <w:tc>
          <w:tcPr>
            <w:tcW w:w="60" w:type="dxa"/>
            <w:tcBorders>
              <w:right w:val="single" w:sz="8" w:space="0" w:color="000000"/>
            </w:tcBorders>
            <w:tcMar>
              <w:left w:w="0" w:type="dxa"/>
              <w:right w:w="28" w:type="dxa"/>
            </w:tcMar>
            <w:vAlign w:val="center"/>
          </w:tcPr>
          <w:p>
            <w:pPr>
              <w:pStyle w:val="TableContents"/>
              <w:bidi w:val="0"/>
              <w:spacing w:before="0" w:after="283"/>
              <w:jc w:val="left"/>
              <w:rPr/>
            </w:pPr>
            <w:r>
              <w:rPr/>
              <w:t> </w:t>
            </w:r>
          </w:p>
        </w:tc>
        <w:tc>
          <w:tcPr>
            <w:tcW w:w="4997" w:type="dxa"/>
            <w:tcBorders>
              <w:bottom w:val="single" w:sz="8" w:space="0" w:color="000000"/>
              <w:right w:val="single" w:sz="8" w:space="0" w:color="000000"/>
            </w:tcBorders>
            <w:tcMar>
              <w:left w:w="0" w:type="dxa"/>
              <w:bottom w:w="28" w:type="dxa"/>
            </w:tcMar>
            <w:vAlign w:val="center"/>
          </w:tcPr>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sum of base salary and average annual bonus for prior three years</w:t>
            </w:r>
          </w:p>
          <w:p>
            <w:pPr>
              <w:pStyle w:val="TableContents"/>
              <w:bidi w:val="0"/>
              <w:spacing w:before="0" w:after="0"/>
              <w:ind w:left="236"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target value of the annual time-based equity awards to be granted in January 2027 and 2028, to the extent not yet granted</w:t>
            </w:r>
          </w:p>
          <w:p>
            <w:pPr>
              <w:pStyle w:val="TableContents"/>
              <w:bidi w:val="0"/>
              <w:spacing w:before="0" w:after="0"/>
              <w:ind w:left="236"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Pro-rata bonus for partial year</w:t>
            </w:r>
          </w:p>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Acceleration of all unvested equity awards (other than performance-based awards)</w:t>
            </w:r>
          </w:p>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12 months of benefit continuation payments</w:t>
            </w:r>
          </w:p>
        </w:tc>
        <w:tc>
          <w:tcPr>
            <w:tcW w:w="4997" w:type="dxa"/>
            <w:tcBorders>
              <w:bottom w:val="single" w:sz="8" w:space="0" w:color="000000"/>
              <w:right w:val="single" w:sz="8" w:space="0" w:color="000000"/>
            </w:tcBorders>
            <w:tcMar>
              <w:left w:w="0" w:type="dxa"/>
              <w:bottom w:w="28" w:type="dxa"/>
            </w:tcMar>
            <w:vAlign w:val="center"/>
          </w:tcPr>
          <w:p>
            <w:pPr>
              <w:pStyle w:val="TableContents"/>
              <w:bidi w:val="0"/>
              <w:spacing w:before="0" w:after="0"/>
              <w:ind w:left="236"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2x the sum of base salary and average annual bonus for prior three years</w:t>
            </w:r>
          </w:p>
          <w:p>
            <w:pPr>
              <w:pStyle w:val="TableContents"/>
              <w:bidi w:val="0"/>
              <w:spacing w:before="0" w:after="0"/>
              <w:ind w:left="236"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target value of the annual time-based equity awards to be granted in January 2027 and 2028, to the extent not yet granted</w:t>
            </w:r>
          </w:p>
          <w:p>
            <w:pPr>
              <w:pStyle w:val="TableContents"/>
              <w:bidi w:val="0"/>
              <w:spacing w:before="0" w:after="0"/>
              <w:ind w:left="236"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Pro-rata bonus for partial year</w:t>
            </w:r>
          </w:p>
          <w:p>
            <w:pPr>
              <w:pStyle w:val="TableContents"/>
              <w:bidi w:val="0"/>
              <w:spacing w:before="0" w:after="0"/>
              <w:ind w:left="229" w:right="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Acceleration of all unvested equity awards (other than performance-based awards)</w:t>
            </w:r>
          </w:p>
          <w:p>
            <w:pPr>
              <w:pStyle w:val="TableContents"/>
              <w:bidi w:val="0"/>
              <w:spacing w:before="0" w:after="0"/>
              <w:ind w:left="236"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24 months of benefit continuation payments</w:t>
            </w:r>
          </w:p>
        </w:tc>
        <w:tc>
          <w:tcPr>
            <w:tcW w:w="76"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4997"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4997" w:type="dxa"/>
            <w:tcBorders>
              <w:bottom w:val="single" w:sz="8" w:space="0" w:color="000000"/>
            </w:tcBorders>
            <w:tcMar>
              <w:left w:w="0" w:type="dxa"/>
              <w:bottom w:w="28" w:type="dxa"/>
              <w:right w:w="0" w:type="dxa"/>
            </w:tcMar>
            <w:vAlign w:val="center"/>
          </w:tcPr>
          <w:p>
            <w:pPr>
              <w:pStyle w:val="TableContents"/>
              <w:bidi w:val="0"/>
              <w:spacing w:before="0" w:after="283"/>
              <w:jc w:val="left"/>
              <w:rPr/>
            </w:pPr>
            <w:r>
              <w:rPr/>
              <w:t> </w:t>
            </w:r>
          </w:p>
        </w:tc>
        <w:tc>
          <w:tcPr>
            <w:tcW w:w="76"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 </w:t>
            </w:r>
          </w:p>
        </w:tc>
      </w:tr>
    </w:tbl>
    <w:tbl>
      <w:tblPr>
        <w:tblW w:w="10205" w:type="dxa"/>
        <w:jc w:val="left"/>
        <w:tblInd w:w="-10" w:type="dxa"/>
        <w:tblLayout w:type="fixed"/>
        <w:tblCellMar>
          <w:top w:w="0" w:type="dxa"/>
          <w:left w:w="100" w:type="dxa"/>
          <w:bottom w:w="28" w:type="dxa"/>
          <w:right w:w="100" w:type="dxa"/>
        </w:tblCellMar>
      </w:tblPr>
      <w:tblGrid>
        <w:gridCol w:w="1375"/>
        <w:gridCol w:w="8830"/>
      </w:tblGrid>
      <w:tr>
        <w:trPr/>
        <w:tc>
          <w:tcPr>
            <w:tcW w:w="137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Termination After Term:</w:t>
            </w:r>
          </w:p>
        </w:tc>
        <w:tc>
          <w:tcPr>
            <w:tcW w:w="8830" w:type="dxa"/>
            <w:tcBorders>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In connection with a qualifying termination following the term of employment, Mr. DiLiberto will be entitled to receive one-half the sum of his then-current base salary and his average annual bonus for the prior three years, payable upon completion of a six-month non-compete.</w:t>
            </w:r>
          </w:p>
        </w:tc>
      </w:tr>
      <w:tr>
        <w:trPr/>
        <w:tc>
          <w:tcPr>
            <w:tcW w:w="137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Restrictive Covenants:</w:t>
            </w:r>
          </w:p>
        </w:tc>
        <w:tc>
          <w:tcPr>
            <w:tcW w:w="8830" w:type="dxa"/>
            <w:tcBorders>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Mr. DiLiberto will not compete with the Company while employed (including after the end of the term of employment if employment continues) and until 6 months after any termination of employment, including if such termination is upon or after the expiration of the term of employment. Mr. DiLiberto has also agreed to non-solicitation, non-disparagement and non-interference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also provides for certain payments and benefits if Mr. DiLiberto’s employment is terminated due to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Cause, Good Reason and Change-in-Control, as used above, are specifically defined in Mr. DiLiberto’s new employment agreement. The discussion above is qualified in its entirety by reference to the copy of the employment agreement by and between the Company and Mr. DiLiberto, which is being filed with this Current Report on Form 8-K as Exhibit 10.2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Award of Class O LTIP Units to Mr. DiLiberto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the new employment agreement, Mr. DiLiberto also received a grant of 100,000 Class O LTIP Units on February 12, 2026 (the “Class O LTIP Units”). The Class O LTIP Units will vest ratably on January 1, 2027, January 1, 2028 and January 1, 2029, subject to Mr. DiLiberto’s continued employment through each such date. The Class O LTIP Units were subject to forfeiture in the event that Mr. DiLiberto and the Company failed, for any reason, to enter into the new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satisfaction of the vesting conditions above and the terms of the agreement of limited partnership of SL Green Operating Partnership, L.P. (the “Partnership”), the Class O LTIP Units may generally be converted into Class A Units of limited partnership interest in the Partnership (“common units”) until the 10th anniversary of the grant date. The number of common units into which each Class O LTIP Unit may convert will be determined by reference to the amount by which the closing trading price of the Company’s common stock on the date of conversion exceeds the closing trading price of the Company’s common stock on the grant date. Following conversion of Class O LTIP Units into common units, the common units acquired upon conversion of the Class O LTIP Units may be presented for redemption for cash equal to the then fair market value of a share of the Company’s common stock, except that the Company may acquire each common unit for one share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Exhibits</w:t>
            </w:r>
          </w:p>
        </w:tc>
      </w:tr>
      <w:tr>
        <w:trPr/>
        <w:tc>
          <w:tcPr>
            <w:tcW w:w="725" w:type="dxa"/>
            <w:tcBorders/>
            <w:tcMar>
              <w:bottom w:w="0" w:type="dxa"/>
            </w:tcMar>
            <w:vAlign w:val="center"/>
          </w:tcPr>
          <w:p>
            <w:pPr>
              <w:pStyle w:val="TableContents"/>
              <w:bidi w:val="0"/>
              <w:spacing w:before="0" w:after="283"/>
              <w:jc w:val="left"/>
              <w:rPr/>
            </w:pPr>
            <w:hyperlink w:anchor="tm267993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7993d1_ex10-1.htm">
              <w:r>
                <w:rPr>
                  <w:rStyle w:val="InternetLink"/>
                  <w:rFonts w:ascii="Times New Roman;Times;Serif" w:hAnsi="Times New Roman;Times;Serif"/>
                  <w:sz w:val="20"/>
                </w:rPr>
                <w:t>Employment and Noncompetition Agreement, dated as of February 27, 2026, by and between SL Green Realty Corp. and Harrison Sitomer.</w:t>
              </w:r>
            </w:hyperlink>
          </w:p>
        </w:tc>
      </w:tr>
      <w:tr>
        <w:trPr/>
        <w:tc>
          <w:tcPr>
            <w:tcW w:w="725" w:type="dxa"/>
            <w:tcBorders/>
            <w:tcMar>
              <w:bottom w:w="0" w:type="dxa"/>
            </w:tcMar>
            <w:vAlign w:val="center"/>
          </w:tcPr>
          <w:p>
            <w:pPr>
              <w:pStyle w:val="TableContents"/>
              <w:bidi w:val="0"/>
              <w:spacing w:before="0" w:after="283"/>
              <w:jc w:val="left"/>
              <w:rPr/>
            </w:pPr>
            <w:hyperlink w:anchor="tm267993d1_ex10-2.htm">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7993d1_ex10-2.htm">
              <w:r>
                <w:rPr>
                  <w:rStyle w:val="InternetLink"/>
                  <w:rFonts w:ascii="Times New Roman;Times;Serif" w:hAnsi="Times New Roman;Times;Serif"/>
                  <w:sz w:val="20"/>
                </w:rPr>
                <w:t>Amended and Restated Employment and Noncompetition Agreement, dated as of February 27, 2026, by and between SL Green Realty Corp. and Matthew DiLiberto.</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545"/>
        <w:gridCol w:w="5465"/>
      </w:tblGrid>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SL GREEN REALTY CORP.</w:t>
            </w:r>
          </w:p>
        </w:tc>
      </w:tr>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S. Levine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S. Levine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and General Counsel</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545"/>
        <w:gridCol w:w="5465"/>
      </w:tblGrid>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SL GREEN OPERATING PARTNERSHIP, L.P.</w:t>
            </w:r>
          </w:p>
        </w:tc>
      </w:tr>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SL GREEN REALTY CORP., its general partner</w:t>
            </w:r>
          </w:p>
        </w:tc>
      </w:tr>
      <w:tr>
        <w:trPr/>
        <w:tc>
          <w:tcPr>
            <w:tcW w:w="75" w:type="dxa"/>
            <w:tcBorders/>
            <w:vAlign w:val="center"/>
          </w:tcPr>
          <w:p>
            <w:pPr>
              <w:pStyle w:val="TableContents"/>
              <w:bidi w:val="0"/>
              <w:spacing w:before="0" w:after="283"/>
              <w:jc w:val="left"/>
              <w:rPr/>
            </w:pPr>
            <w:r>
              <w:rPr/>
              <w:t> </w:t>
            </w:r>
          </w:p>
        </w:tc>
        <w:tc>
          <w:tcPr>
            <w:tcW w:w="6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54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S. Levine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S. Levine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and General Counsel</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44" w:name="tm267993d1_ex10-1.htm"/>
      <w:bookmarkStart w:id="45" w:name="kstm267993d1_ex101"/>
      <w:bookmarkEnd w:id="44"/>
      <w:bookmarkEnd w:id="45"/>
      <w:r>
        <w:rPr/>
        <w:t> </w:t>
      </w:r>
      <w:r>
        <w:br w:type="page"/>
      </w:r>
    </w:p>
    <w:p>
      <w:pPr>
        <w:pStyle w:val="TextBody"/>
        <w:bidi w:val="0"/>
        <w:jc w:val="right"/>
        <w:rPr>
          <w:b/>
        </w:rPr>
      </w:pPr>
      <w:r>
        <w:rPr>
          <w:b/>
        </w:rPr>
        <w:t>Exhibit 10.1</w:t>
      </w:r>
    </w:p>
    <w:p>
      <w:pPr>
        <w:pStyle w:val="TextBody"/>
        <w:bidi w:val="0"/>
        <w:jc w:val="right"/>
        <w:rPr/>
      </w:pPr>
      <w:r>
        <w:rPr/>
        <w:t> </w:t>
      </w:r>
    </w:p>
    <w:p>
      <w:pPr>
        <w:pStyle w:val="TextBody"/>
        <w:bidi w:val="0"/>
        <w:jc w:val="right"/>
        <w:rPr>
          <w:b/>
        </w:rPr>
      </w:pPr>
      <w:r>
        <w:rPr>
          <w:b/>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EMPLOYMENT AND NONCOMPETITION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AND NONCOMPETITION AGREEMENT (“Agreement”) is made as of the 27th day of February, 2026 (the “Execution Date”), to be effective January 1, 2026 (the “Effective Date”), between Harrison Sitomer (“Executive”) and SL Green Realty Corp., a Maryland corporation with its principal place of business at One Vanderbilt Avenue, New York, New York 10017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term of this Agreement shall commence on January 1, 2026 and, unless earlier terminated as provided in Section 6 below, shall terminate on January 1, 2030 (the “Current Term”); provided, however, that Sections 4 and 8 (and any enforcement or other procedural provisions hereof affecting Sections 4 and 8) hereof shall survive the termination of this Agreement as provided therein. The Current Term shall automatically be extended for successive one-year periods (each, a “Renewal Term”), unless either party gives the other party written notice of non-renewal at least ninety (90) days prior to the expiration of the Current Term or then current Renewal Term. In addition, in the event that a Change in Control occurs within 18 months prior to the scheduled expiration of the Current Term, Executive may elect, by written notice to the Employer within 30 days after the Change in Control, to extend the expiration of the Current Term until the date that is 18 months after such Change in Control. The period of Executive’s employment hereunder consisting of the Current Term and all Renewal Terms, if any, is herein referred to as the “Employment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Employment and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Duties</w:t>
      </w:r>
      <w:r>
        <w:rPr>
          <w:rFonts w:ascii="Times New Roman;Times;Serif" w:hAnsi="Times New Roman;Times;Serif"/>
          <w:b w:val="false"/>
          <w:i w:val="false"/>
          <w:caps w:val="false"/>
          <w:smallCaps w:val="false"/>
          <w:sz w:val="20"/>
        </w:rPr>
        <w:t>. During the Employment Period, Executive shall be employed in the business of the Employer and its affiliates. Executive shall serve the Employer as a senior corporate executive and shall have the title of President and Chief Investment Officer of the Employer. Executive will report to the Executive Chairman or the Chief Executive Officer of the Employer. Executive’s duties and authority shall be those as would normally attach to the positions of President and Chief Investment Officer of the Employer, including such duties and responsibilities as are customary among persons employed in similar capacities for similar companies, and as set forth in the By-laws of the Employer and as otherwise established from time to time by the Board of Directors of the Employer (the “Board”) and the Executive Chairman or the Chief Executive Officer of the Employer, but in all events such duties and authority shall be commensurate with his position as President and Chief Investment Officer of the Employer consistent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Executive agrees to his employment as described in this Section 2 and agrees to devote substantially all of his business time and efforts to the performance of his duties under this Agreement, excepting vacation time, holidays, sick days and periods of disability, and except as otherwise approved by the Board or Compensation Committee of the Board (the “Compensation Committee”); provided, however, that nothing herein shall be interpreted to preclude Executive, so long as there is no material interference with his duties hereunder, from (i) participating as an officer or director of, or advisor to, any charitable, non-profit, educational or other tax-exempt organizations or otherwise engaging in charitable, fraternal or trade group activities; (ii) investing and managing his assets as an investor in other entities or business ventures; provided that such investment and management does not violate Section 8 hereof; or (iii) serving as a member of the board of directors of a for-profit corporation with the approval of the Executive Chairman or Chief Executive Officer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Travel</w:t>
      </w:r>
      <w:r>
        <w:rPr>
          <w:rFonts w:ascii="Times New Roman;Times;Serif" w:hAnsi="Times New Roman;Times;Serif"/>
          <w:b w:val="false"/>
          <w:i w:val="false"/>
          <w:caps w:val="false"/>
          <w:smallCaps w:val="false"/>
          <w:sz w:val="20"/>
        </w:rPr>
        <w:t>. In performing his duties hereunder, Executive shall be available for all reasonable travel as the needs of the Employer’s business may require. Executive shall be based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Compensation and Benefits</w:t>
      </w:r>
      <w:r>
        <w:rPr>
          <w:rFonts w:ascii="Times New Roman;Times;Serif" w:hAnsi="Times New Roman;Times;Serif"/>
          <w:b w:val="false"/>
          <w:i w:val="false"/>
          <w:caps w:val="false"/>
          <w:smallCaps w:val="false"/>
          <w:sz w:val="20"/>
        </w:rPr>
        <w:t>. In consideration of Executive’s services hereunder, the Employer shall compensate Executive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Employer shall pay Executive an aggregate minimum annual salary at the rate of $700,000 per annum during the Employment Period (“Base Salary”). Base Salary shall be payable bi-weekly in accordance with the Employer’s normal business practices and shall be reviewed by the Board or Compensation Committee at least annually (and, for the avoidance of doubt, any increased Base Salary shall constitute “Base Salary” for all purposes hereof). In no event shall Executive’s Base Salary in effect at a particular time be reduced without his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Incentive Compensation/Bonuses</w:t>
      </w:r>
      <w:r>
        <w:rPr>
          <w:rFonts w:ascii="Times New Roman;Times;Serif" w:hAnsi="Times New Roman;Times;Serif"/>
          <w:b w:val="false"/>
          <w:i w:val="false"/>
          <w:caps w:val="false"/>
          <w:smallCaps w:val="false"/>
          <w:sz w:val="20"/>
        </w:rPr>
        <w:t>. In addition to Base Salary, with respect to fiscal year 2026 and thereafter during the Employment Period, Executive shall participate in an annual cash bonus program allowing Executive to earn the sum of: (i) an amount up to three hundred percent (300%) of Executive’s Base Salary for such fiscal year based on the achievement of specific goals established in advance by the Compensation Committee, which shall comprise seventy-five percent (75%) of Executive’s cash bonus opportunity for each fiscal year (the “Formulaic Component”), and (ii) an amount equal to (x) the cash value of the Formulaic Component for such year divided by (y) 0.75, less (z) the cash value of the Formulaic Component for such year, which shall comprise twenty-five percent (25%) of Executive’s cash bonus opportunity for each fiscal year (the “Non-Formulaic Component”). Goals for the Formulaic Component will be established by the Compensation Committee in its discretion and in consultation with the Executive Chairman or the Chief Executive Officer at performance levels ranging from threshold performance (entitling Executive to earn fifty percent (50%) of Base Salary) to target performance (entitling Executive to earn two hundred and twenty-five (225%) of Base Salary) to maximum performance (entitling Executive to earn three hundred percent (300%) of Base Salary), with linear interpolation between performance levels. The portion of the Non-Formulaic Component earned by Executive for a given fiscal year (in a range between $0 and the amount of the Non-Formulaic Component determined by the formula set forth in this Section 3(b)), will be determined in the discretion of the Compensation Committee in consultation with the Executive Chairman or Chief Executive Officer of the Employer. Executive will be entitled to receive such annual cash bonuses, if any, as are earned pursuant to such program (the “Annual Cash Bonuses”) in accordance with the terms hereof. Executive will be entitled to elect, on or before the last day of each fiscal year, to receive LTIP units (“LTIP Units”) in SL Green Operating Partnership, L.P. (the “Partnership”) in lieu of cash with respect to the Annual Cash Bonuses to be earned for the fiscal year following such election, provided that Executive may not sell, assign, transfer or otherwise encumber or dispose of such LTIP Units until the earlier of (i) the date that is three years after such LTIP Units are granted, (ii) the termination of Executive’s employment or (iii) a Change-in-Control; provided that, for the avoidance of doubt, Annual Cash Bonuses for all purposes under this Agreement, including Section 7 and Section 8 hereof, shall include annual cash bonuses (including any portion received in equity) for years prior to 2026 that were not paid pursuant to the annual cash bonus program described in this Section 3(b). In addition, Executive shall be eligible to participate in any other bonus or incentive compensation plans in effect with respect to senior executive officers of the Employer, as the Board or Compensation Committee, in its sole discretion, may deem appropriate to reward Executive for job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Annual Time-Based Equity Awards</w:t>
      </w:r>
      <w:r>
        <w:rPr>
          <w:rFonts w:ascii="Times New Roman;Times;Serif" w:hAnsi="Times New Roman;Times;Serif"/>
          <w:b w:val="false"/>
          <w:i w:val="false"/>
          <w:caps w:val="false"/>
          <w:smallCaps w:val="false"/>
          <w:sz w:val="20"/>
        </w:rPr>
        <w:t xml:space="preserve">. During the Employment Period, Executive will be eligible to receive an annual equity grant, which Executive will elect, on or before the last day of each fiscal year, to receive for the applicable fiscal year in the form of either LTIP Units or shares of restricted stock, subject to time-based vesting conditions (the “Annual Time-Based Amount”), with one-third of each such grant to vest on January 1st of each of the first three years following such grant, if and as employment continues through such dates except as otherwise provided herein. The Annual Time-Based Amount will be determined each year by the Compensation Committee based on its evaluation of Executive’s performance during the prior year; provided that the value of the LTIP Units or shares of restricted stock, as applicable, to be granted as the Annual Time-Based Amount for achievement of target performance during the prior year will not be less than $3,300,000 (the “Time-Based Target Amount”) (with each LTIP Unit or share of restricted stock valued using the average closing price of the common stock of the Employer for the ten (10) consecutive trading days ending on the last trading day of the prior year; provided that the first Annual Time-Based Amount granted pursuant to this Section 3(c) shall be valued using the average closing price of the common stock of the Employer for the ten (10) consecutive trading days ending on the last trading day prior to the Execution Date). The LTIP Units or shares of restricted stock, as applicable, granted as the Annual Time-Based Amount pursuant to this Section 3(c) shall be subject to an outperformance modifier pursuant to which the number of LTIP Units or shares of restricted stock, as applicable, that can ultimately be earned can be increased (but not decreased) by a number of additional LTIP Units or shares of restricted stock, as applicable, equal to up to one hundred percent (100%) of the Annual Time-Based Amount (the “Outperformance Award”) based upon achievement of three-year specific operational or financial goals covering a measurement period of three years starting with the fiscal year during which the grant date occurs. Such three-year goals will be established by the Compensation Committee in its discretion for each grant. The first annual time-based equity award pursuant to this Section 3(c) will be in the amount of $3,300,000 and will be made in the form of shares of restricted stock promptly following the Execution Date. Subsequent annual time-based equity awards shall be made in LTIP Units or shares of restricted stock, as applicable, pursuant to this Section 3(c) in January of each year beginning in January 2027. The LTIP Units or shares of restricted stock, as applicable, granted as the Annual Time-Based Amount pursuant to this Section 3(c) will have terms consistent with the foregoing, as applicable, and the terms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it being understood that the Outperformance Award will remain subject to forfeiture as provided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until the end of the three-year performance measurement period described above and will only be earned if and to the extent that the Annual Time-Base Amount included in the applicable grant have become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Annual Performance-Based Equity Awards</w:t>
      </w:r>
      <w:r>
        <w:rPr>
          <w:rFonts w:ascii="Times New Roman;Times;Serif" w:hAnsi="Times New Roman;Times;Serif"/>
          <w:b w:val="false"/>
          <w:i w:val="false"/>
          <w:caps w:val="false"/>
          <w:smallCaps w:val="false"/>
          <w:sz w:val="20"/>
        </w:rPr>
        <w:t xml:space="preserve">. During the Employment Period, Executive will be eligible for and shall receive an annual grant of LTIP Units subject to performance-based vesting conditions (the “Annual Performance-Based Awards”) with a target value of $2,500,000 (i.e., the value of the number of LTIP Units that would be earned upon the achievement of the target performance goals, with each LTIP Unit valued using the average closing price of the common stock of the Employer for the ten (10) consecutive trading days ending on the last trading day of the prior fiscal year) (the “Performance-Based Target Amount”). The Annual Performance-Based Awards will include (i) relative total return to shareholders (“TSR”) hurdles to be established for each grant by the Compensation Committee in its discretion (including the comparator index or indices for relative TSR), such that if threshold performance-based vesting hurdles are met, fifty percent (50%) of the target number of LTIP Units may be earned and if maximum performance-based vesting hurdles, up to two hundred and twenty-five percent (225%) of the target number of LTIP Units may be earned (with linear interpolation for earning between levels) and (ii) an absolute TSR modifier pursuant to which the number of earned LTIP Units may be adjusted down by up to twenty-five percent (25%) or up by up to fifty percent (50%) of the target number of LTIP Units, with the absolute TSR hurdles to be established by the Compensation Committee in its discretion. Grants of the Annual Performance-Based Awards will be made in January of each year during the Employment Period, provided the first award will be made promptly following the Execution Date, and will have performance-based vesting hurdles and other terms determined by the Compensation Committee consistent with the foregoing and the terms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Signing Bonus</w:t>
      </w:r>
      <w:r>
        <w:rPr>
          <w:rFonts w:ascii="Times New Roman;Times;Serif" w:hAnsi="Times New Roman;Times;Serif"/>
          <w:b w:val="false"/>
          <w:i w:val="false"/>
          <w:caps w:val="false"/>
          <w:smallCaps w:val="false"/>
          <w:sz w:val="20"/>
        </w:rPr>
        <w:t>. Executive will receive a one-time, lump sum, cash payment in the gross amount of $750,000, which will be paid to Executive, less applicable deductions and withholdings, promptly after the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Executive shall be reimbursed for all reasonable business-related expenses incurred by Executive at the request of or on behalf of the Employer, provided that such expenses are incurred and accounted for in accordance with the policies and procedures established by the Employer. Any such expenses incurred by Executive during the Employment Period but not reimbursed by the Employer by the end of the Employment Period, shall remain the obligation of the Employer to so reimburse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Health and Welfare Benefit Plans</w:t>
      </w:r>
      <w:r>
        <w:rPr>
          <w:rFonts w:ascii="Times New Roman;Times;Serif" w:hAnsi="Times New Roman;Times;Serif"/>
          <w:b w:val="false"/>
          <w:i w:val="false"/>
          <w:caps w:val="false"/>
          <w:smallCaps w:val="false"/>
          <w:sz w:val="20"/>
        </w:rPr>
        <w:t>. During the Employment Period, Executive and Executive’s immediate family shall be entitled to participate in such health and welfare benefit plans as the Employer shall maintain from time to time for the benefit of senior executive officers of the Employer and their families, on the terms and subject to the conditions set forth in such plan. Nothing in this Section shall limit the Employer’s right to change or modify or terminate any benefit plan or program as it sees fit from time to time in the normal course of business so long as it does so for all senior executives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Vacations</w:t>
      </w:r>
      <w:r>
        <w:rPr>
          <w:rFonts w:ascii="Times New Roman;Times;Serif" w:hAnsi="Times New Roman;Times;Serif"/>
          <w:b w:val="false"/>
          <w:i w:val="false"/>
          <w:caps w:val="false"/>
          <w:smallCaps w:val="false"/>
          <w:sz w:val="20"/>
        </w:rPr>
        <w:t>. Executive shall be entitled to paid vacations in accordance with the then regular procedures of the Employer governing senior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 During the Employment Period, the Employer shall provide to Executive such other benefits, as generally made available to other senior executives of the Employer; provided that it is acknowledged that the Employer’s Chief Executive Officer and Chairman may be provided with additional benefits not made available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Indemnification and Liability Insurance</w:t>
      </w:r>
      <w:r>
        <w:rPr>
          <w:rFonts w:ascii="Times New Roman;Times;Serif" w:hAnsi="Times New Roman;Times;Serif"/>
          <w:b w:val="false"/>
          <w:i w:val="false"/>
          <w:caps w:val="false"/>
          <w:smallCaps w:val="false"/>
          <w:sz w:val="20"/>
        </w:rPr>
        <w:t>. The Employer agrees to indemnify Executive to the fullest extent permitted by applicable law, as the same exists and may hereafter be amended, from and against any and all losses, damages, claims, liabilities and expenses asserted against, or incurred or suffered by, Executive (including the costs and expenses of legal counsel retained by the Employer to defend Executive and judgments, fines and amounts paid in settlement actually and reasonably incurred by or imposed on such indemnified party) with respect to any action, suit or proceeding, whether civil, criminal, administrative or investigative (“Proceeding”) in which Executive is made a party or threatened to be made a party, either with regard to his entering into this Agreement with the Employer or in his capacity as an officer or director, or former officer or director, of the Employer, any affiliate thereof or any other entity for which he may serve in such capacity pursuant to this Agreement or at the request of the Employer or any of its affiliates. To the fullest extent permitted by law, costs and expenses incurred by Executive in defense of any Proceeding (including attorneys’ fees) shall be paid by the Employer in advance of the final disposition of such litigation upon receipt by the Employer of a written request for payment. The Employer also agrees to secure and maintain officers and directors liability insurance providing coverage for Executive. The provisions of this Section 4 shall in no way limit, and shall be in addition to, Executive’s right to indemnification and advancement of expenses provided under the Employer’s and its subsidiaries’ organizational documents and any indemnification or other agreements entered into with Executive, and shall remain in effect after this Agreement is terminated irrespective of the reasons for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Employer’s Policies</w:t>
      </w:r>
      <w:r>
        <w:rPr>
          <w:rFonts w:ascii="Times New Roman;Times;Serif" w:hAnsi="Times New Roman;Times;Serif"/>
          <w:b w:val="false"/>
          <w:i w:val="false"/>
          <w:caps w:val="false"/>
          <w:smallCaps w:val="false"/>
          <w:sz w:val="20"/>
        </w:rPr>
        <w:t>. Executive agrees to observe and comply with the reasonable rules and regulations of the Employer as adopted by the Board and the Executive Chairman or Chief Executive Officer from time to time regarding the performance of his duties and communicated to Executive, and to carry out and perform orders, directions and policies communicated to him from time to time by the Board and the Executive Chairman or Chief Executive Officer, so long as same are otherwise consistent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Executive’s employment hereunder may be terminated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by the Employer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Executive’s employment hereunder shall terminate upon his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If, as a result of Executive’s incapacity due to physical or mental illness or disability, Executive shall have been incapable of performing his duties hereunder even with a reasonable accommodation on a full-time basis for the entire period of four consecutive months or any one hundred and twenty (120) days in a one hundred and eighty (180) day period, and within thirty (30) days after written Notice of Termination (as defined in Section 6(d)) is given he shall not have returned to the performance of his duties hereunder on a substantially full-time basis, the Employer may terminate Executive’s employment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The Employer may terminate Executive’s employment hereunder for Cause by the Executive Chairman or Chief Executive Officer of the Employer or a majority vote of all of the members of the Board upon written notice to Executive. For purposes of this Agreement, “Cause” shall mean Executive’s: (A) being convicted of, or pleading guilty or nolo contendere to, a felony (other than a traffic violation); (B) material breach of any of his obligations under Sections 8(a) through 8(e) of this Agreement; (C) willful misconduct that results in material harm to the Employer or its reputation; (D) material fraud with regard to the Employer or any of its affiliates; (E) willful, material violation of any reasonable written rule, regulation or policy of the Employer applicable to senior executives and previously provided to Executive that results in material harm to the Employer or its reputation; or (F) willful and substantial failure to make reasonable attempts in good faith to substantially perform his material duties pursuant to this Agreement (other than by reason of illness or disability) (it being understood that, for this purpose, the manner and level of Executive’s performance shall not be determined based on the financial performance (including without limitation the performance of the stock) of the Employer). For clarity, no act or failure to act, on the part of Executive shall be considered “willful,” unless done, or omitted to be done, by him in bad faith and without reasonable belief that his action or omission was in, or not opposed to, the best interest of the Employer, and, in addition, conduct shall not be considered “willful” with respect to any action taken or not taken based on the advice of the Employer’s inside or outside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Without Cause</w:t>
      </w:r>
      <w:r>
        <w:rPr>
          <w:rFonts w:ascii="Times New Roman;Times;Serif" w:hAnsi="Times New Roman;Times;Serif"/>
          <w:b w:val="false"/>
          <w:i w:val="false"/>
          <w:caps w:val="false"/>
          <w:smallCaps w:val="false"/>
          <w:sz w:val="20"/>
        </w:rPr>
        <w:t xml:space="preserve">. Executive’s employment hereunder may be terminated by the Employer at any time without Cause (as defined in Section 6(a)(iii) above), by the Executive Chairman or Chief Executive Officer of </w:t>
      </w:r>
      <w:r>
        <w:rPr>
          <w:rFonts w:ascii="Times New Roman;Times;Serif" w:hAnsi="Times New Roman;Times;Serif"/>
          <w:b w:val="false"/>
          <w:i w:val="false"/>
          <w:caps w:val="false"/>
          <w:smallCaps w:val="false"/>
          <w:sz w:val="20"/>
          <w:u w:val="single"/>
        </w:rPr>
        <w:t>the</w:t>
      </w:r>
      <w:r>
        <w:rPr>
          <w:rFonts w:ascii="Times New Roman;Times;Serif" w:hAnsi="Times New Roman;Times;Serif"/>
          <w:b w:val="false"/>
          <w:i w:val="false"/>
          <w:caps w:val="false"/>
          <w:smallCaps w:val="false"/>
          <w:sz w:val="20"/>
        </w:rPr>
        <w:t xml:space="preserve"> Employer or a majority vote of all of the members of the Board upon written notice to Executive, subject only to the severance and other payment provisions specifically set forth in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by 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Executive may terminate his employment hereunder for disability within the meaning of Section 6(a)(ii)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With Good Reason</w:t>
      </w:r>
      <w:r>
        <w:rPr>
          <w:rFonts w:ascii="Times New Roman;Times;Serif" w:hAnsi="Times New Roman;Times;Serif"/>
          <w:b w:val="false"/>
          <w:i w:val="false"/>
          <w:caps w:val="false"/>
          <w:smallCaps w:val="false"/>
          <w:sz w:val="20"/>
        </w:rPr>
        <w:t>. Executive’s employment hereunder may be terminated by Executive with Good Reason. For purposes of this Agreement, “Good Reason” shall mean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material adverse change or diminution in duties, responsibilities, status or positions with the Employer from the level of Executive’s duties, responsibilities, status or positions as President and Chief Investment Officer of a publicly traded company, except in connection with the termination of Executive’s employment for Cause, disability, retirement or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failure by the Employer to pay compensation when due in accordance with the provisions of Section 3, which failure has not been cured within twenty (20) business days after the notice of the failure (specifying the same) has been given by Executive to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breach by the Employer of any provision of this Agreement, and, unless such breach occurs following a Change-in-Control, such breach has not been cured within thirty (30) days after notice of noncompliance (specifying the nature of the noncompliance) has been given by Executive to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Employer’s requiring Executive to be based in an office not meeting the requirements of the last sentence of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reduction by the Employer in Executive’s Base Salary to less than the minimum Base Salary set forth in Section 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failure by the Employer to continue in effect an equity award program or other substantially similar program under which Executive is eligible to receive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material reduction in Executive’s benefits under any benefit plan (other than an equity award program) compared to those currently received (other than in connection with and proportionate to the reduction of the benefits received by all senior executives or undertaken in order to maintain such plan in compliance with any federal, state or local law or regulation governing benefits plans, including, but not limited to, the Employee Retirement Income Security Act of 1974, which shall not constitute Good Reason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failure by the Employer to obtain from any successor to the Employer an agreement to be bound by this Agreement pursuant to Section 15 hereof, which has not been cured within thirty (30) days after the notice of the failure (specifying the same) has been given by Executive to the Employer, but in all events prior to the completion of a Change-in-Control except to the extent the successor is bound by operation of law, it being understood that failure to obtain such agreement to be bound will in no way alter or compromise the effectiveness of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completion of a Change-in-Control, the failure of the Employer and Executive to amend this Agreement to provide that Executive shall be entitled to receive for each fiscal year (or partial fiscal year) during the period from the date of the Change-in-Control through the end of the Employment Period total direct compensation (taking into account market-standard illiquidity and minority discounts for any non-publicly traded equity compensation and annualized for any partial fiscal year) equal to or greater than the total direct compensation received by Executive for the most recently completed fiscal year immediately prior to the Change-in-Control and, except as otherwise agreed by the parties, having terms consistent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no termination will be deemed to be for Good Reason hereunder unless (i) Executive provides written notice to the Employer identifying the applicable event within ninety (90) days after Executive becomes aware of such event(s), (ii) if a cure period applies, the Employer fails to remedy the event within the applicable cure period following such notice, and (iii) if a cure period applies, Executive terminates his employment as a result of such failure to cure within sixty (60) days after the end of such cure period; if no cure period applies, Executive shall terminate his employment with Good Reason on the date specified in the notice described in (i) above, which shall be no later than sixty (60) days from the date of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Without Good Reason</w:t>
      </w:r>
      <w:r>
        <w:rPr>
          <w:rFonts w:ascii="Times New Roman;Times;Serif" w:hAnsi="Times New Roman;Times;Serif"/>
          <w:b w:val="false"/>
          <w:i w:val="false"/>
          <w:caps w:val="false"/>
          <w:smallCaps w:val="false"/>
          <w:sz w:val="20"/>
        </w:rPr>
        <w:t>. Executive shall have the right to terminate his employment hereunder without Good Reason, subject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following terms shall be defined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“Change-in-Control” shall be deemed to have occurred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together with all “affiliates” and “associates” (as such terms are defined in Rule 12b-2 under the Securities Exchange Act of 1934 (the “Exchange Act”)) of such Person, shall become the “beneficial owner” (as such term is defined in Rule 13d-3 under the Exchange Act), directly or indirectly, of securities of the Employer representing (i) 25% or more of either (1) the combined voting power of the Employer’s then outstanding securities having the right to vote in an election of the Board (“Voting Securities”) or (2) the then outstanding shares of all classes of stock of the Employer (in either such case other than as a result of the acquisition of securities directly from the Employer) or (ii) 49% or more of either (1) the combined voting power of the Employer’s Voting Securities or (2) the then outstanding shares of all classes of stock of the Employer (in either such case whether or not as a result of the acquisition of securities directly from the Employer);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members of the Board at the beginning of any consecutive 24-calendar-month period commencing on or after the date hereof (the “Incumbent Directors”) cease for any reason other than due to death to constitute at least a majority of the members of the Board; provided that any director whose election, or nomination for election by the Employer’s stockholders, was approved by a vote of at least a majority of the Incumbent Directors, shall be deemed to be an Incumbent Director;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consummated (1) any consolidation, merger, reorganization or similar form of corporate transaction (“Business Transaction”) of the Employer or any subsidiary that would result in the Voting Securities of the Employer outstanding immediately prior to such Business Transaction representing (either by remaining outstanding or by being converted into voting securities of the surviving entity) less than a majority of the total voting power of the voting securities of the surviving entity outstanding immediately after such Business Transaction or ceasing to have the power to elect at least a majority of the board of directors or other governing body of such surviving entity or (2) any sale, lease, exchange or other transfer (in one transaction or a series of transactions contemplated or arranged by any party as a single plan) (x) of all or substantially all of the assets of the Employer, if the shareholders of the Employer and unitholders of the Partnership taken as a whole and considered as one class immediately before such transaction own, immediately after consummation of such transaction, equity securities and partnership units possessing less than a majority of the surviving or acquiring corporation and partnership (or other acquiring entity(ies)) taken as a whole, (y) of 50% or more of the outstanding Class A Units of the Partnership (or other securities of the Partnership that represent the general partner’s interest in the Partnership) to any Person (other than the Employer or any of its subsidiaries), together with all “affiliates” and “associates” (as such terms are defined in Rule 12b-2 under the Exchange Act) of such Person, or (z) which results in neither the Employer nor any of its subsidiaries acting as the sole general partner of the Partnership under the Delaware Revised Uniform Limited Partnership Act, 6 Del. C. §17-101, et seq;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stockholders of the Employer shall approve any plan or proposal for the liquidation or dissolution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 “Change-in-Control” shall not be deemed to have occurred for purposes of the foregoing clause (A)(i) (but for the avoidance of doubt, without limiting Executive’s rights in connection with clause (A)(ii)), solely as the result of an acquisition of securities by the Employer which, by reducing the number of shares of stock or other Voting Securities outstanding, increases (x) the proportionate number of shares of stock of the Employer beneficially owned by any Person to 25% or more of the shares of stock then outstanding or (y) the proportionate voting power represented by the Voting Securities beneficially owned by any Person to 25% or more of the combined voting power of all then outstanding Voting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Person referred to in clause (x) or (y) of this sentence shall thereafter become the beneficial owner of any additional stock of the Employer or other Voting Securities (other than pursuant to a share split, stock dividend, or similar transaction), then a “Change-in-Control” shall be deemed to have occurred for purposes of the foregoing clause (A)(i).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“Person” shall have the meaning used in Sections 13(d) and 14(d) of the Exchange Act; provided however, that the term “Person” shall not include (A) Executive or (B) the Employer, any of its subsidiaries, or any trustee, fiduciary or other person or entity holding securities under any employee benefit plan of the Employer or any of its subsidiaries. In addition, no Change-in-Control shall be deemed to have occurred under clause (i)(A) above by virtue of a “group” (as such term is used in Sections 13(d) and 14(d) of the Exchange Act) becoming a beneficial owner as described in such clause, if any individual or entity described in clause (A) or (B) of the foregoing sentence is a member of such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Any termination of Executive’s employment by the Employer or by Executive (other than on account of death) shall be communicated by written Notice of Termination to the other party hereto in accordance with Section 11 of this Agreement. For purposes of this Agreement, a “Notice of Termination” shall mean a notice which shall indicate the specific termination provision in this Agreement relied upon and, as applicable, shall set forth in reasonable detail the facts and circumstances claimed to provide a basis for termination of Executive’s employment under the provision so indicated. Executive’s employment shall terminate as of the effective date set forth in the Notice of Termination or, in the event such Notice of Termination is a notice of non-renewal provided by the Employer or Executive pursuant to Section 1 hereof, the date on which the Current Term or then current Renewal Term ends as a result of such non-renewal notice (in either case, the “Termination Date”). Upon any Termination Date, at the request of the Board, Executive agrees to resign from any positions then held by Executive with the Employer and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Compensation Upon Termination; Change-in-Control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By Employer Without Cause or By Executive With Good Reason</w:t>
      </w:r>
      <w:r>
        <w:rPr>
          <w:rFonts w:ascii="Times New Roman;Times;Serif" w:hAnsi="Times New Roman;Times;Serif"/>
          <w:b w:val="false"/>
          <w:i w:val="false"/>
          <w:caps w:val="false"/>
          <w:smallCaps w:val="false"/>
          <w:sz w:val="20"/>
        </w:rPr>
        <w:t xml:space="preserve">. If, during the Employment Period (i) Executive is terminated by the Employer without Cause pursuant to Section 6(a)(iv) above, or (ii) Executive shall terminate his employment hereunder with Good Reason pursuant to Section (6)(b)(ii) above, then the Employment Period shall terminate as of the Termination Date, Executive shall be entitled to receive his earned and accrued but unpaid Base Salary on the Termination Date, and Executive shall also be entitled to the following payments and benefits in lieu of any further compensation for periods subsequent to the Termination Date, subject, in the case of the following items, to (1) Executive’s execution of a mutual release agreement with the Employer in the form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(the “Release Agreement”), which the Employer shall execute within five (5) business days after such execution by Executive, and (2) the effectiveness and irrevocability of the Release Agreement with respect to Executive within thirty (30) days after the Termination Date (with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Termination Date being referred to herein as the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Payment Date, Executive shall receive a prorated cash payment equal to (A) the sum of (I) the average of the Annual Cash Bonuses (including any portion of the Annual Cash Bonuses that Executive elected to receive in equity) earned by Executive in respect of the two most recently completed fiscal years plus (II) the Time-Based Target Amount multiplied by (B) a fraction, the numerator of which is the number of days in the fiscal year in which Executive’s employment terminates through the Termination Date (and the number of days in the prior fiscal year, in the event that Executive’s Annual Cash Bonus for such year had not been determined as of the Termination Date) and the denominator of which is 365 (the “Prorated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as severance pay, in a single payment on the Payment Date, an amount in cash equal to (A) one and one-half (1.5) times the sum of (I) Executive’s Base Salary in effect and (II) the average of the Annual Cash Bonuses (including any portion of the Annual Cash Bonuses that Executive elected to receive in equity) earned by Executive in respect of the two most recently completed fiscal years (the “Average Annual Bonus”) plus (B) the Time-Based Target Amount (the sum of Base Salary, Average Annual Bonus and the Time-Based Target Amount being referred to as the “Annual Compensation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Employer shall pay the monthly employer contribution costs of continued group health, dental and vision plan insurance coverage for Executive and his dependents under the plans and programs in which Executive participated immediately prior to the Termination Date, or plans and programs maintained by the Employer in replacement thereof in which the senior executives of the Employer are eligible to participate, for a period of twelve (12) months following the Termination Date. If the payment of any COBRA or health insurance premiums by the Employer on behalf of Executive as described herein would otherwise violate any applicable nondiscrimination rules or cause the reimbursement of claims to be taxable under the Patient Protection and Affordable Care Act of 2010, together with the Health Care and Education Reconciliation Act of 2010 (collectively, the “Act”) or Section 105(h) of the Internal Revenue Code of 1986, as amended (the “Code”), the Employer shall in lieu thereof provide to Executive a taxable lump-sum payment in an amount equal to the sum of the monthly (or then remaining) COBRA premiums that Executive would be required to pay to maintain Executive’s group health insurance coverage in effect on the Termination Date for the remaining portion of the twelve (12) month period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that any unvested shares of restricted stock, restricted stock units, LTIP Units or other equity-based awards granted to Executive by the Employer or the Partnership are then still subject to time-based vesting restrictions under the applicable award agreement), such shares, units or other awards shall not be forfeited on the Termination Date and shall become free from time-based vesting restrictions. To the extent that any such shares, units or other awards (including Outperformance Awards or Annual Performance-Based Awards) remain subject to the achievement of performance-based vesting conditions over any applicable measurement period, such shares, units or other awards shall continue to be subject to such performance-based vesting conditions set forth in the applicable award agreement as then in effect. Any unexercisable or unvested stock options or Class O LTIP Units granted to Executive by the Employer or the Partnership shall not be forfeited on the Termination Date and shall become free from time-based vesting restrictions and exercisable on the Payment Date, provided, however, if such stock options or Class O LTIP Units remain subject to the achievement of performance-based vesting conditions over any applicable measurement period, such stock options and Class O LTIP Units shall continue to be subject to such performance-based vesting conditions set forth in the applicable award agreement as then in effect. Any vested and unexercised stock options or Class O LTIP Units granted to Executive by the Employer or the Partnership shall remain exercisable until the second January 1 to follow the Termination Date or, if earlier, the expiration of the initial applicable term stated at the time of the grant. For the avoidance of doubt, any equity awards containing performance-based vesting conditions shall be governed by the terms of the applicable award agreement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such termination occurs in connection with or within eighteen (18) months after a Change-in-Control, then, in addition to the payments and benefits set forth above (or, as specifically cited below, in lieu of such payments and benefits): (A) in lieu of the severance payment set forth in Section 7(a)(ii), Executive shall receive as severance pay, in a single payment on the Payment Date, an amount in cash equal to (I) two and one-half (2.5) times the Annual Compensation Amount; (B) the insurance coverage or payments provided for in Section 7(a)(iii) above shall be extended from twelve (12) months to twenty-four (24) months; (C) neither Executive nor the Employer shall be required to execute the Release Agreement; and (D) if such Change-in-Control also constitutes a “change in the ownership” of the Employer, a “change in the effective control” of the Employer or a “change in ownership of a substantial portion of the assets” of the Employer, each within the meaning of Section 409A of the Code, and the regulations promulgated thereunder, then the Payment Date shall occur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this Section 7(a) or Section 7(f),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By the Employer For Cause or By Executive Without Good Reason</w:t>
      </w:r>
      <w:r>
        <w:rPr>
          <w:rFonts w:ascii="Times New Roman;Times;Serif" w:hAnsi="Times New Roman;Times;Serif"/>
          <w:b w:val="false"/>
          <w:i w:val="false"/>
          <w:caps w:val="false"/>
          <w:smallCaps w:val="false"/>
          <w:sz w:val="20"/>
        </w:rPr>
        <w:t>. If, during the Employment Period, (i) Executive is terminated by the Employer for Cause pursuant to Section 6(a)(iii) above, or (ii) Executive voluntarily terminates his employment hereunder without Good Reason pursuant to Section 6(b)(iii) above, then the Employment Period shall terminate as of the Termination Date and Executive shall be entitled to receive his earned and accrued but unpaid Base Salary on the Termination Date, but, for avoidance of doubt, shall not be entitled to any annual cash bonus for the year in which the termination occurs, severance payment, continuation of benefits or acceleration of vesting or extension of exercise period of any equity awards, except as otherwise provided in the documentation applicable to such equity awards. Other than as may be provided under Section 4, Section 8, Section 19 or Section 20 or as expressly provided in this Section 7(b) or Section 7(f),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by Reason of Death</w:t>
      </w:r>
      <w:r>
        <w:rPr>
          <w:rFonts w:ascii="Times New Roman;Times;Serif" w:hAnsi="Times New Roman;Times;Serif"/>
          <w:b w:val="false"/>
          <w:i w:val="false"/>
          <w:caps w:val="false"/>
          <w:smallCaps w:val="false"/>
          <w:sz w:val="20"/>
        </w:rPr>
        <w:t>. If Executive’s employment terminates due to his death during the Employment Period, Executive’s estate (or a beneficiary designated by Executive in writing prior to his death) shall be entitled to the following payments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thirty (30) days after the Termination Date, Executive’s estate (or a beneficiary designated by Executive in writing prior to his death) shall receive an amount equal to any earned and accrued but unpaid Base Salary and an amount in cash equal to the Prorated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that any unvested shares of restricted stock, restricted stock units, LTIP Units or other equity-based awards granted to Executive by the Employer or the Partnership are then still subject to time-based vesting restrictions under the applicable award agreement, such shares, units or other awards shall not be forfeited on the Termination Date and shall become free from time-based vesting restrictions. To the extent that any such shares, units or other awards (including Outperformance Awards or Annual Performance-Based Awards) remain subject to the achievement of performance-based vesting conditions over any applicable measurement period, such shares, units or other awards shall continue to be subject to such performance-based vesting conditions set forth in the applicable award agreement as then in effect. Any unexercisable or unvested stock options or Class O LTIP Units granted to Executive by the Employer or the Partnership shall not be forfeited and shall become free from time-based vesting restrictions and exercisable, provided, however, if such stock options or Class O LTIP Units remain subject to the achievement of performance-based vesting conditions over any applicable measurement period, such stock options and Class O LTIP Units shall continue to be subject to such performance-based vesting conditions set forth in the applicable award agreement as then in effect on the date of Executive’s termination due to his death for the benefit of Executive’s estate (or a beneficiary designated by Executive in writing prior to his death). Any vested and unexercised stock options or Class O LTIP Units granted to Executive by the Employer or the Partnership shall remain vested and exercisable until the earlier of (A) the date on which the term of such stock options otherwise would have expired, or (B) the second January 1 after the date of Executive’s termination due to his death. For the avoidance of doubt, any equity awards containing performance-based vesting conditions shall be governed by the terms of the applicable award agreement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this Section 7(c) or Section 7(f),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by Reason of Disability</w:t>
      </w:r>
      <w:r>
        <w:rPr>
          <w:rFonts w:ascii="Times New Roman;Times;Serif" w:hAnsi="Times New Roman;Times;Serif"/>
          <w:b w:val="false"/>
          <w:i w:val="false"/>
          <w:caps w:val="false"/>
          <w:smallCaps w:val="false"/>
          <w:sz w:val="20"/>
        </w:rPr>
        <w:t>. In the event that Executive’s employment terminates during the Employment Period due to his disability, as defined in Section 6(a)(ii) above, Executive shall be entitled to receive his earned and accrued but unpaid Base Salary on the Termination Date and Executive shall be entitled to the following payments and benefits in lieu of any further compensation for periods subsequent to the Termination Date, subject to (1) Executive’s execution of the Release Agreement, which Release Agreement the Employer shall execute within five (5) business days after such execution by Executive, and (2) the effectiveness and irrevocability of the Release Agreement with respect to Executive within thirty (30) days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Payment Date, Executive shall receive an amount equal to the Prorated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as severance pay, in a single payment on the Payment Date, an amount in cash equal to the Annual Compensation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Employer shall provide the insurance coverage or make the payments described in Section 7(a)(iii) above for a period of thirty-six (36) months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that any unvested shares of restricted stock, restricted stock units, LTIP Units or other equity-based awards granted to Executive by the Employer or the Partnership are then still subject to time-based vesting restrictions under the applicable award agreement), such shares, units or other awards shall not be forfeited on the Termination Date and shall become free from time-based vesting restrictions. To the extent that any such shares, units or other awards (including Outperformance Awards or Annual Performance-Based Awards) remain subject to the achievement of performance-based vesting conditions over any applicable measurement period, such shares, units or other awards shall continue to be subject to such performance-based vesting conditions set forth in the applicable award agreement as then in effect. Furthermore, any vested and unexercised stock options or Class O LTIP Units granted to Executive by the Employer or the Partnership shall remain vested and exercisable until the earlier of (A) the date on which the term of such stock options or Class O LTIP Units otherwise would have expired, or (B) the second January 1 after the Termination Date. For the avoidance of doubt, any equity awards containing performance-based vesting conditions shall be governed by the terms of the applicable award agreement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this Section 7(d) or Section 7(f),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Effect of Notice of Non-Renewal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Employer delivers a notice of non-renewal to Executive pursuant to Section 1 hereof, then Executive’s employment shall terminate upon expiration of the Employment Period. In such event, subject to compliance with the continuing obligations of Executive under this Agreement and further subject to Executive’s execution of the Release Agreement and non-revocation of such Release Agreement within thirty (30) days after the date of such termination, then (1) Executive shall receive as severance pay, in a single payment, an amount in cash equal to one-half (50%) of the sum of (A) Executive’s Base Salary in effect and (B) the average of the Annual Cash Bonuses (including any portion of the Annual Cash Bonuses that Executive elected to receive in equity) earned by Executive in respect of the two most recently completed fiscal years, (2) to the extent that any unvested shares of restricted stock, restricted stock units, LTIP Units or other equity-based awards granted to Executive by the Employer or the Partnership are then still subject to time-based vesting restrictions under the applicable award agreement, such shares, units or other awards shall not be forfeited and shall become free from time-based vesting restrictions; provided that to the extent that any such shares, units or other awards (including Outperformance Awards or Annual Performance-Based Awards) remain subject to the achievement of performance-based vesting conditions over any applicable measurement period, such shares, units or other awards shall continue to be subject to such performance-based vesting conditions set forth in the applicable award agreement as then in effect, (3) any unexercisable or unvested stock options or Class O LTIP Units granted to Executive by the Employer or the Partnership shall not be forfeited and shall become free from time-based vesting restrictions and exercisable on the Payment Date, provided, however, if such stock options or Class O LTIP Units remain subject to the achievement of performance-based vesting conditions over any applicable measurement period, such stock options and Class O LTIP Units shall continue to be subject to such performance-based vesting conditions set forth in the applicable award agreement as then in effect, and (4) any vested and unexercised stock options or Class O LTIP Units granted to Executive by the Employer or the Partnership shall remain exercisable until the second January 1 to follow the Termination Date or, if earlier, the expiration of the initial applicable term stated at the time of the grant. For the avoidance of doubt, any equity awards containing performance-based vesting conditions shall be governed by the terms of the applicable award agreement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Executive delivers a notice of non-renewal to Employer pursuant to Section 1 hereof, then Executive’s employment shall terminate upon expiration of the Employment Period. In such event, subject to compliance with the continuing obligations of Executive under this Agreement and further subject to Executive’s execution of the Release Agreement and non-revocation of such Release Agreement within thirty (30) days after the date of such termination, then (1) to the extent that any unvested shares of restricted stock, restricted stock units, LTIP Units or other equity-based awards granted to Executive by the Employer or the Partnership are then still subject to time-based vesting restrictions under the applicable award agreement, such shares, units or other awards shall not be forfeited and shall become free from time-based vesting restrictions; provided that to the extent that any such shares, units or other awards (including Outperformance Awards or Annual Performance-Based Awards) remain subject to the achievement of performance-based vesting conditions over any applicable measurement period, such shares, units or other awards shall continue to be subject to such performance-based vesting conditions set forth in the applicable award agreement as then in effect; provided, further, however, that any shares, units or other awards covered by any Annual Performance-Based Awards that would vest more than twelve (12) months after the Termination Date shall be forfeited, (2) any unexercisable or unvested stock options or Class O LTIP Units granted to Executive by the Employer or the Partnership, other than any unexercisable or unvested stock options or Class O LTIP Units subject to performance-based vesting conditions, that would have vested during the twelve (12) months immediately following the Termination Date as if Executive had remained employed during such period, shall be accelerated and deemed fully vested as of the Termination Date, with any remaining unexercisable or unvested stock options or Class O LTIP Units or unvested portions thereof to be forfeited on the Termination Date, and (3) any vested and unexercised stock options or Class O LTIP Units granted to Executive by the Employer or the Partnership shall remain exercisable until the second January 1 to follow the Termination Date or, if earlier, the expiration of the initial applicable term stated at the time of the grant. For the avoidance of doubt, any equity awards containing performance-based vesting conditions shall be governed by the terms of the applicable award agreement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Section 7(f), the Employer shall have no further obligations hereunder following such non-renewal. Executive hereby acknowledges and agrees that, upon the delivery of a notice of non-renewal by either party in accordance with the terms of this Agreement, the provisions set forth in Sections 7(a) through (d) hereof shall not apply and shall be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of the foregoing provisions to the contrary and without regard to any release requirement, Executive (or his estate, as applicable) shall be entitled to (i) receive payment for any already accrued but unused vacation days and any unreimbursed expenses already incurred on behalf of the Employer (to the extent consistent with the Employer’s expense reimbursement policies absent a termination), (ii) retain any already vested stock options or any other already vested equity-based compensation or deferred compensation (subject, in each case, to the terms of the underlying option or equity award agreement and plan (including, without limitation, any provision of an option providing for its expiration upon or within a certain number of days following termination) or deferred compensation agreement), (iii) retain all rights Executive has to obtain advancement of expenses, contribution or indemnification from the Employer and its affiliates pursuant to this Agreement, any other contract, the Employer’s and its affiliates’ charter and by-laws or similar organizational documents or otherwise, and (iv) retain any vested benefits and rights in any employee benefit plans (including 401(k) plans) in which he participated during his employment, in the case of each of (i)-(iv) above, as of the Termination Date. Nothing in this Section 7 shall be construed to limit any rights Executive may have to elect to continue his health coverage pursuant to 29 U.S.C. § 1161 et seq. (commonly known as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Executive will not be required to seek other employment or attempt to reduce any payments due to Executive under this Section 7, and any compensation (in whatever form) earned by Executive from any subsequent employment will not be offset or reduce the Employer’s obligations under this Section 7 following Executive’s termination. The Employer’s obligation to pay Executive any payments under this Section 7 will not be subject to set-off, counterclaim or recoupment of amounts owed by Executive to the Employer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Confidentiality; Prohibited Activities</w:t>
      </w:r>
      <w:r>
        <w:rPr>
          <w:rFonts w:ascii="Times New Roman;Times;Serif" w:hAnsi="Times New Roman;Times;Serif"/>
          <w:b w:val="false"/>
          <w:i w:val="false"/>
          <w:caps w:val="false"/>
          <w:smallCaps w:val="false"/>
          <w:sz w:val="20"/>
        </w:rPr>
        <w:t>. Executive and the Employer recognize that due to the nature of his employment and relationship with the Employer, Executive has access to and develops confidential business information, proprietary information, and trade secrets relating to the business and operations of the Employer. Executive acknowledges that (i) such information is valuable to the business of the Employer, (ii) subject to limited exceptions described herein, disclosure of such information to any person or entity other than the Employer would cause irreparable damage to the Employer, (iii) the principal businesses of the Employer is the Business (as defined below) and (iv) the Employer is one of the limited number of persons who have developed a business such as the Business. For purposes of this Agreement, the “Business” means the acquisition, development, management, leasing or financing of (A) any office real estate property, including without limitation the origination of first-mortgage and mezzanine debt or preferred equity financing for real estate projects throughout the New York City metropolitan area or, as of any particular date, any other metropolitan area in which the Employer was significantly engaged in any such activities within the prior twelve (12) months (measured as at least five percent (5%) of the Employer’s revenues on a trailing 12-month basis), and (B) any multi-family residential or retail real estate property located inside the borough of Manhattan with a value of at least $25 million. Executive further acknowledges that his duties for the Employer include the duty to develop and maintain client, customer, employee, and other business relationships on behalf of the Employer; and that access to and development of those close business relationships for the Employer render his services special, unique and extraordinary. In recognition that the goodwill and business relationships described herein are valuable to the Employer, and that loss of or damage to those relationships would destroy or diminish the value of the Employer, and in consideration of the compensation (including severance) arrangements hereunder, and other good and valuable consideration the receipt and sufficiency of which are hereby acknowledged by Executive, Executive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During the term of this Agreement (including any extensions), and at all times thereafter, Executive shall maintain the confidentiality of all confidential or proprietary information of the Employer (“Confidential Information”), and, except (i) in furtherance of the Business, (ii) in the performance of his duties, (iii) as directed or authorized by the Employer, (iv) as specifically required by law or by court order, (v) to enforce or defend Executive’s rights under this Agreement or as a part of or in any arbitration or litigation that involves Executive, on the one hand, and/or any of the Employer or any of its affiliates, on the other hand, or otherwise, or (vi) for disclosure to Executive’s advisors on a confidential basis, he shall not directly or indirectly disclose any such Confidential Information to any third party. For purposes of this Agreement, “Confidential Information” includes, without limitation: client or customer lists, identities, contacts, business and financial information (excluding those of Executive prior to employment with Employer); investment strategies; pricing information or policies; fees or commission arrangements of the Employer; marketing plans, projections, presentations or strategies of the Employer; financial and budget information of the Employer; new personnel acquisition plans; and all other proprietary business related information which has not been publicly disclosed by the Employer. This restriction shall apply regardless of whether such Confidential Information is in written, graphic, recorded, photographic, data or any machine-readable form or is orally conveyed to, or memorized by, Executive. Notwithstanding anything herein to the contrary, Confidential Information shall not be deemed to include information that (w) is or becomes generally available to the public other than as a result of a prohibited disclosure by Executive or at Executive’s direction or by any other person who directly or indirectly receives such information from Executive, (x) is or becomes available to Executive on a non-confidential basis from a source which is entitled to disclose it to Executive, (y) is previously known by Executive prior to his receipt of such information from the Employer, or (z) is information that is required to be disclosed in order to comply with any applicable law or court order. For the avoidance of doubt, Section 8(a) shall not interfere with Executive’s rights to retain copies of any documents or data relating to Executive’s compensation and benefits (including, without limitation, copies of this Agreement, and side letters and any documents relating to any of Executive’s equity-based award rights or other compensation and benefits) and/or discuss the same with Executive’s immediate family or advisors on a confidential basis. In addition, nothing in this Agreement shall be interpreted or applied to prohibit Executive from disclosing matters that are protected under any applicable whistleblower laws, including reporting possible violations of laws or regulations, or responding to inquiries from, or testifying before, any governmental agency or self-regulating authority, all without notice to or consent from the Employer, nor shall anything in this Agreement be interpreted or applied to prohibit the Employer from reporting possible violations of laws or regulations, or responding to inquiries from, or testifying before, any governmental agency or self-regulating authority, all without notice to or consent from Executive. Additionally, Executive is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Prohibited Activities</w:t>
      </w:r>
      <w:r>
        <w:rPr>
          <w:rFonts w:ascii="Times New Roman;Times;Serif" w:hAnsi="Times New Roman;Times;Serif"/>
          <w:b w:val="false"/>
          <w:i w:val="false"/>
          <w:caps w:val="false"/>
          <w:smallCaps w:val="false"/>
          <w:sz w:val="20"/>
        </w:rPr>
        <w:t>. Because Executive’s services to the Employer are essential and because Executive has access to the Employer’s Confidential Information, Executive covenants and agrees that, so long as the Employer has not materially breached its obligations to Executive under this Agreement (or, in the event such breach has occurred, the Employer has cured such breach within sixty (60) days of Executive providing the Employer with written notice of such breach, or such breach only occurred following a material breach by Executive of his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Employment Period, any period thereafter during which Executive remains employed by the Employer and for the Non-Compete Period (as defined below), Executive will not, anywhere in the United States, without the prior written consent of the Board which shall include the unanimous consent of the Directors other than any other officer of the Employer, directly or indirectly (individually, or through or on behalf of another entity as owner, partner, agent, employee, consultant, or in any other capacity), engage, participate or assist, as an owner, partner, employee, consultant, director, officer, trustee or agent, in any element of the Business, subject, however, to Section 8(c)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Employment Period, any period thereafter during which Executive remains employed by the Employer and (x) in the case of clause (A) below, the 18-month period following the termination of Executive by either party for any reason (including upon or after the scheduled expiration of the term of this Agreement (including any extensions)) other than a termination in connection with or within eighteen (18) months after a Change-in-Control that constitutes a termination either by the Employer without Cause or by Executive with Good Reason, or (y) the one-year period following such termination in the case of clause (B) below, Executive will not, without the prior written consent of the Board which shall include the unanimous consent of the Directors who are not officers of the Employer, directly or indirectly (individually, or through or on behalf of another entity as owner, partner, agent, employee, consultant, or in any other capacity), (A) solicit, encourage, or engage in any activity to induce any employee of the Employer to terminate employment with the Employer, or to become employed by, or to enter into a business relationship with, any other person or entity, except to the extent that any such solicitation, encouragement or engagement is directly in furtherance of the performance of Executive’s duties to the Employer as set forth in this Agreement or (B) solicit, encourage, or engage in any activity to induce any prospective party to a transaction with the Employer (including, without limitation, potential purchases, sales or leases of real estate assets) that is under agreement, negotiation or active consideration by the Employer to not enter into or complete such transaction with the Employer (or to only do so on terms less favorable to the Employer than otherwise would have been obtained); provided that, following the termination of Executive, this clause (B) shall only apply to transactions that were under agreement, negotiation or active consideration by the Employer during the six-month period prior to such termination. For purposes of this subsection, the term “employee” means any individual who is an employee of or exclusive consultant to the Employer (or any affiliate) during the six-month period prior to Executive’s last day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8(b)(ii) shall not be construed to restrict or limit (i) general employee-related advertising not targeted at employees of the Employer, (ii) Executive’s ability to provide employment references regarding particular individuals upon request, (iii) Executive’s responding to a request from any former employee of the Employer or any of its affiliates for advice on employment matters or (iv) actions taken by any third party with which Executive is associated if Executive is not personally involved in any manner in the matter and has not identified such employee or prospective party for solicitation, hiring or inducement.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“Non-Compete Period” means (x) the six-month period following the termination of Executive’s employment in connection with or within eighteen (18) months after a Change-in-Control or upon or after the expiration of the Employment Period without any early termination under Section 6 and (y) in all other circumstances, the 12-month period following the termination of Executive’s employment by either party for any other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Investments/Activities</w:t>
      </w:r>
      <w:r>
        <w:rPr>
          <w:rFonts w:ascii="Times New Roman;Times;Serif" w:hAnsi="Times New Roman;Times;Serif"/>
          <w:b w:val="false"/>
          <w:i w:val="false"/>
          <w:caps w:val="false"/>
          <w:smallCaps w:val="false"/>
          <w:sz w:val="20"/>
        </w:rPr>
        <w:t>. Notwithstanding anything contained herein to the contrary, Executive is not prohibited by this Section 8 from (i) engaging in any activities permitted under Section 2(b); (ii) being employed by or providing services to an entity if a subsidiary, division, unit or other affiliate of such entity engages in the Business, so long as Executive does not have oversight of, is not involved in and does not participate in any way in the operations, activities or business of such subsidiary, division, unit or other affiliate (including, without limitation, oversight, participation, communications or other involvement in any manner in strategic planning or decision-making relating to such operations, activities or business); or (iii) making investments (A) expressly disclosed to the Employer in writing before the date hereof; (B) solely for investment purposes and without participating in the business in which the investments are made, in any entity that engages, directly or indirectly, in the acquisition, development, construction, operation, management, financing or leasing of office real estate properties, regardless of where they are located, if (x) Executive’s aggregate investment in each such entity constitutes less than five percent (5%) of the equity ownership of such entity, (y) the investment in the entity is in securities traded on any national securities exchange or limited partnership (or similar equity interests) in a private fund, and (z) Executive is not a controlling person of, or a member of a group which controls, such entity; or (C) if the investment is made in (1) assets other than Competing Properties (including, without limitation, multi-family residential or retail real estate properties located outside of New York City) or (2) any entity other than one that is engaged, directly or indirectly, in the acquisition, development, construction, operation, management, financing or leasing of Competing Properties. For purposes of this Agreement, a “Competing Property” means: (i) an office real estate property located outside of New York City, unless the property (A) is not an appropriate investment opportunity for the Employer (as determined by the Board in good faith), (B) is not directly competitive with the Business of the Employer and (C) has a fair market value at the time Executive’s investment is made of less than $25 million, (ii) an office real estate property located in New York City or (iii) a multi-family residential or retail real estate property located in Manhattan having a fair market at the time Executive’s investment is made of more than $25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Employer Property</w:t>
      </w:r>
      <w:r>
        <w:rPr>
          <w:rFonts w:ascii="Times New Roman;Times;Serif" w:hAnsi="Times New Roman;Times;Serif"/>
          <w:b w:val="false"/>
          <w:i w:val="false"/>
          <w:caps w:val="false"/>
          <w:smallCaps w:val="false"/>
          <w:sz w:val="20"/>
        </w:rPr>
        <w:t>. Executive acknowledges that all originals and copies of materials, records and documents generated by him or coming into his possession during his employment by the Employer are the sole property of the Employer (“Employer Property”). During his employment, and at all times thereafter, Executive shall not remove, or cause to be removed, from the premises of the Employer, copies of any record, file, memorandum, document, computer related information or equipment, or any other item relating to the business of the Employer, except as required by law or legal process or in furtherance of his duties under this Agreement. When Executive terminates his employment with the Employer, upon request by the Employer, Executive shall promptly deliver to the Employer all originals and copies of Employer Property in his possession or control and shall not retain any tangible (whether written or electronic, but excluding unaccessed electronic backup copies) originals or copies in any form, except that Executive may retain copies (in any form) of his Rolodex, address book and similar contact information. For the avoidance of doubt, this Section 8(d) shall not interfere with Executive’s rights to retain copies of any documents or data (in any form) relating to Executive’s compensation and benefits (including, without limitation, copies of this Agreement, and side letters and any documents relating to any of Executive’s equity-based award rights or other compensation and benefits) and/or discuss the same with Executive’s advisors or immediate family (in each case, on a confidential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Disparagement</w:t>
      </w:r>
      <w:r>
        <w:rPr>
          <w:rFonts w:ascii="Times New Roman;Times;Serif" w:hAnsi="Times New Roman;Times;Serif"/>
          <w:b w:val="false"/>
          <w:i w:val="false"/>
          <w:caps w:val="false"/>
          <w:smallCaps w:val="false"/>
          <w:sz w:val="20"/>
        </w:rPr>
        <w:t>. For one (1) year following termination of Executive’s employment for any reason, Executive shall not intentionally disclose or cause to be disclosed any negative, adverse or derogatory comments or information about (i) the Employer or its parent, affiliates or subsidiaries, if any; (ii) any product or service provided by the Employer and its parent, affiliates or subsidiaries, if any; or (iii) the Employer’s and its parent’s, affiliates’ or subsidiaries’ prospects for the future. For one (1) year following termination of Executive’s employment for any reason, the Employer shall not disclose or cause to be disclosed any negative, adverse or derogatory comments or information (whether of a professional or personal nature) about Executive. Nothing in this Section shall prohibit either the Employer or Executive from (v) testifying truthfully in any legal or administrative proceeding or otherwise truthfully responding to any other request for information or testimony that either party is legally required to respond to, (w) making any truthful statement to the extent necessary to rebut any untrue public statements made by another party, (x) making any legally required disclosures, and/or discussing any of the above with the Employer’s legal advisors or Executive’s legal advisors on a confidential basis, or (y) making any statement as part of or in any arbitration or court proceeding that involves Executive, on the one hand, and/or any of the Employer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Executive declares that the foregoing limitations in Sections 8(a) through 8(e) above are reasonable and necessary for the adequate protection of the business and the goodwill of the Employer. If any restriction contained in this Section 8 shall be deemed to be invalid, illegal or unenforceable by reason of the extent, duration or scope thereof, or otherwise, then the court making such determination shall have the right to reduce such extent, duration, scope, or other provisions hereof to make the restriction consistent with applicable law, and in its reduced form such restriction shall then be enforceable in the manner contemplated hereby. In the event that Executive breaches any of the promises contained in this Section 8, Executive acknowledges that the Employer’s remedy at law for damages will be inadequate and that the Employer may be entitled to specific performance, a temporary restraining order or preliminary injunction to prevent Executive’s prospective or continuing breach and to maintain the status quo. The existence of this right to injunctive relief, or other equitable relief, or the Employer’s exercise of any of these rights, shall not limit any other rights or remedies the Employer may have in law or in equity, including, without limitation, the right to arbitration contained in Section 9 hereof and the right to compensatory and monetary damages. Executive and the Employer hereby agree to waive his and its right to a jury trial with respect to any action commenced to enforce the terms of this Agreement. Executive shall have remedies comparable to those of the Employer as set forth above in this Section 8(f) if the Employer breaches Section 8(e).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Transition.</w:t>
      </w:r>
      <w:r>
        <w:rPr>
          <w:rFonts w:ascii="Times New Roman;Times;Serif" w:hAnsi="Times New Roman;Times;Serif"/>
          <w:b w:val="false"/>
          <w:i w:val="false"/>
          <w:caps w:val="false"/>
          <w:smallCaps w:val="false"/>
          <w:sz w:val="20"/>
        </w:rPr>
        <w:t xml:space="preserve"> Regardless of the reason for his departure from the Employer, Executive agrees that at the Employer’s sole costs and expense, for a period of not more than thirty (30) days after termination of Executive’s employment, he shall take all steps reasonably requested by the Employer to effect a successful transition of client and customer relationships to the person or persons designated by the Employer, subject to Executive’s obligations to his new employer,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Cooperation with Respect to Litigation</w:t>
      </w:r>
      <w:r>
        <w:rPr>
          <w:rFonts w:ascii="Times New Roman;Times;Serif" w:hAnsi="Times New Roman;Times;Serif"/>
          <w:b w:val="false"/>
          <w:i w:val="false"/>
          <w:caps w:val="false"/>
          <w:smallCaps w:val="false"/>
          <w:sz w:val="20"/>
        </w:rPr>
        <w:t>. During the Employment Period and at all times thereafter, Executive agrees to give prompt written notice to the Employer of any formally asserted written claim relating to the Employer and to cooperate, in good faith, with the Employer in connection with any and all pending, potential or future claims, investigations or actions which directly or indirectly relate to any action, event or activity about which Executive has or is reasonably believed by the Employer to have direct material knowledge in connection with or as a result of his employment by the Employer hereunder, provided that Executive is not waiving any legal rights he may have. Such cooperation will include all assistance that the Employer, its counsel or its representatives may reasonably request, including reviewing documents, meeting with counsel, providing factual information and material, and appearing or testifying as a witness; provided, however, that the Employer will reimburse Executive for all reasonable expenses, including travel, lodging and meals, and reasonable legal fees and expenses (except to the extent that legal representation is provided by the Employer at the Employer’s expense) incurred by him in fulfilling his obligations under this Section 8(h) and, except as may be required by law or by court order, should Executive then be employed by an entity other than the Employer, such cooperation will not materially interfere with Executive’s then current employment or his efforts to obtain new employment. In addition, for all time that Executive reasonably expends at the request of the Employer in cooperating with the Employer pursuant to this Section 8(h) when Executive is no longer employed by the Employer, the Employer shall compensate Executive at a per diem rate equal to the sum of (A) Base Salary in Executive’s last fiscal year of employment during the Employment Period plus (B) Executive’s actual Annual Cash Bonus for the last full fiscal year of employment during the Employment Period for which such a bonus was determined, divided by two hundred and twenty (220); provided that Executive’s right to such compensation shall not apply to time spent in activities that could have been compelled pursuant to a subpoena, including testimony and related attendance at depositions, hearings or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Section 8 and any other provisions relating to the enforcement thereof shall survive termination of Executive’s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Any controversy or claim arising out of or relating to this Agreement or the breach of this Agreement (other than a controversy or claim arising under Section 8, to the extent necessary for the Employer (or its affiliates, where applicable) to avail itself of the rights and remedies referred to in Section 8(f)) that is not resolved by Executive and the Employer (or its affiliates, where applicable) shall be submitted to binding arbitration by the American Arbitration Association in New York, New York in accordance with New York law and the Commercial Arbitration Rules (the “Rules”) of the American Arbitration Association (the “AAA”), and a neutral arbitrator will selected in a manner consistent with such Rules. Such arbitration shall be confidential and private and conducted in accordance with the Rules. Any such arbitration proceeding shall take place in New York City before a single arbitrator (rather than a panel of arbitrators). Each party shall bear its respective costs (including attorney’s fees, and there shall be no award of attorney’s fees. Judgment upon the final award(s) rendered by such arbitrator, after giving effect to the AAA internal appeals process, may be entered in any court having jurisdiction thereof. The determination of the arbitrator shall be conclusive and binding on the Employer (or its affiliates, where applicable) and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Conflicting Agreements</w:t>
      </w:r>
      <w:r>
        <w:rPr>
          <w:rFonts w:ascii="Times New Roman;Times;Serif" w:hAnsi="Times New Roman;Times;Serif"/>
          <w:b w:val="false"/>
          <w:i w:val="false"/>
          <w:caps w:val="false"/>
          <w:smallCaps w:val="false"/>
          <w:sz w:val="20"/>
        </w:rPr>
        <w:t>. Executive hereby represents and warrants that the execution of this Agreement and the performance of his obligations hereunder will not breach or be in conflict with any other agreement to which he is a party or is bound, and that he is not now subject to any covenants against competition or similar covenants which would affect the performance of his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hereunder shall be in writing and shall be delivered by hand and or sent by email (with electronic return receipt) or sent, postage prepaid, by registered or certified mail or overnight courier service and shall be deemed given when so delivered by hand, if emailed, the same day as it is sent if during normal business hours (or if not, then the next business day), or, if mailed, three (3) days after mailing (or one (1) business day in the case of express mail or overnight courier service),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Harrison Sitomer, at the last home address on the books and records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Lowenstein Sandler LLP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E. Gregory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jgregory@lowenstein.com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br/>
        <w:t>One Vanderbilt Avenue</w:t>
        <w:br/>
        <w:t>New York, New York 10017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Chief Legal Officer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Northern Avenue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 02210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Ettore A. Santucci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esantucci@goodwinlaw.com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as either party may from time to time specify by written notice to the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or modification of this Agreement shall be effective unless it shall be in writing and signed by the parties hereto. No waiver of rights under this Agreement shall be effective against any party hereto unless in writing and signed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any portion thereof) or the application of any such provision (or any portion thereof) to any person or circumstances shall be held invalid, illegal or unenforceable in any respect by a court of competent jurisdiction, such invalidity, illegality or unenforceability shall not affect any other provision hereof (or the remaining portion hereof) or the application of such provision to any other persons or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The Employer shall be entitled to withhold from any payments or deemed payments any amount of tax withholding it determines to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both parties and their respective successors and assigns, including any corporation with which or into which the Employer may be merged or which may succeed to its assets or business, provided, however, that the obligations of Executive are personal and shall not be assigned by him. This Agreement shall inure to the benefit of and be enforceable by Executive’s personal and legal representatives, executors, administrators, assigns, heirs, distributees, devisees and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all of which shall be considered one and the same agreement and shall become effective when one or more such counterparts have been signed by each of the parties and delivered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New York applicable to agreements made and to be performed entirely within such State, without regard to the conflicts of law principles of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Choice of Venue</w:t>
      </w:r>
      <w:r>
        <w:rPr>
          <w:rFonts w:ascii="Times New Roman;Times;Serif" w:hAnsi="Times New Roman;Times;Serif"/>
          <w:b w:val="false"/>
          <w:i w:val="false"/>
          <w:caps w:val="false"/>
          <w:smallCaps w:val="false"/>
          <w:sz w:val="20"/>
        </w:rPr>
        <w:t>. Subject to the provisions of Section 9, Executive and the Employer each agree to submit to the jurisdiction of the United States District Court for the Southern District of New York or the Supreme Court of the State of New York, New York County, for the purpose of any action to enforce any of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Parachutes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this Agreement, if all or any portion of the payments and benefits provided under this Agreement (including without limitation any accelerated vesting and any other payment or benefit received in connection with a Change-in-Control or the termination of Executive’s employment), or any other payments and benefits which Executive receives or is entitled to receive under any plan, program, arrangement or other agreement, whether from the Employer or an affiliate of the Employer, or any combination of the foregoing, would constitute an excess “parachute payment” within the meaning of Section 280G of the Code (whether or not under an existing plan, arrangement or other agreement) (each such parachute payment, a “Parachute Payment”), and would result in the imposition on Executive of an excise tax under Section 4999 of the Code or any successor thereto, then the following provisions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Parachute Payments, reduced by the sum of (1) the Excise Tax and (2) the total of the federal, state, and local income and employment taxes payable by Executive on the amount of the Parachute Payments which is in excess of the Threshold Amount, are greater than or equal to the Threshold Amount, Executive shall be entitled to the full benefits payable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Threshold Amount is less than (x) the Parachute Payments, but greater than (y) the Parachute Payments reduced by the sum of (1) the Excise Tax and (2) the total of the federal, state, and local income and employment taxes on the amount of the Parachute Payments which is in excess of the Threshold Amount, then the Parachute Payments shall be reduced (but not below zero) to the extent necessary so that the Parachute Payment shall not exceed the Threshold Amount. In such event, the Parachute Payments shall be reduced in the following order, in each case, in reverse chronological order beginning with the Parachute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Parachute Payments all amounts or payments that are not subject to calculation under Treas. Reg. §1.280G-1, Q&amp;A-24(b) or (c) shall be reduced before any amounts that are subject to calculation under Treas. Reg. §1.280G-1, Q&amp;A-24(b) or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purposes of this Section 19, “Threshold Amount” shall mean three times Executive’s “base amount” within the meaning of Section 280G(b)(3) of the Code and the regulations promulgated thereunder less one dollar ($1.00); and “Excise Tax” shall mean the excise tax imposed by Section 4999 of the Code, and any interest or penalties incurred by Executive with respect to such excise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determination as to which of the alternative provisions of Section 19(a) shall apply to Executive shall be made at the Employer’s sole expense by a certified public accounting firm of national reputation reasonably selected by the Employer and approved of by Executive, with such approval not to be unreasonably withheld (the “Accountant”), which shall provide detailed supporting calculations both to the Employer and Executive within fifteen (15) business days of the date of termination, if applicable, or at such earlier time as is reasonably requested by the Employer or Executive. Executive and the Employer shall provide the Accountant with all information which the Accountant reasonably deems necessary in computing the Threshold Amount. For purposes of determining which of the alternative provisions of Section 19(a) shall apply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For purposes of determining whether and the extent to which the Parachute Payments will be subject to the Excise Tax, (i) no portion of the Parachute Payments the receipt or enjoyment of which Executive shall have waived at such time and in such manner as not to constitute a “payment” within the meaning of Section 280G(b) of the Code shall be taken into account; (ii) no portion of the Parachute Payments shall be taken into account which, in the written opinion of the Accountant, does not constitute a “parachute payment” within the meaning of Section 280G(b)(2) of the Code (including, without limitation, by reason of Section 280G(b)(4)(A) of the Code) and, in calculating the Excise Tax, no portion of such Parachute Payments shall be taken into account which, in the opinion of the Accountant,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Parachute Payments shall be determined by the Accountant in accordance with the principles of Sections 280G(d)(3) and (4) of the Code. Any determination by the Accountant shall be binding upon the Employer and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Anything in this Agreement to the contrary notwithstanding, if at the time of Executive’s separation from service within the meaning of Section 409A of the Code, the Employer determines that Executive is a “specified employee” within the meaning of Section 409A(a)(2)(B)(i) of the Code, then to the extent any payment or benefit that Executive becomes entitled to under this Agreement on account of Executive’s separation from service would be considered deferred compensation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Any payments delayed pursuant to this Section 20(a) shall bear interest during the period of such delay at the simple rate of five percent (5%)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intend that this Agreement will be administered in accordance with Section 409A of the Code and that the compensation arrangements under this Agreement be either exempt from or in full compliance with Section 409A of the Code. This Agreement shall be construed in a manner to give effect to such intention.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payment under this Agreement or otherwise (including any installment payments) shall be treated as a separate payment for purposes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in-kind benefits provided and expenses eligible for reimbursement under this Agreement must be provided by the Employer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Employer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Executive acknowledges that Executive is subject to the Employer’s Compensation Recovery Policy, adopted as of September 27, 2023, and effective as of October 2, 2023, which Executive acknowledges and agrees that he has reviewed.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(including, without limit, any attached exhibits hereto and any equity and award agreements referred to herein or therein) contains the entire agreement and understanding between the parties hereto with respect to the subject matter hereof and, as of the Effective Date, supersedes all prior agreements and understandings relating to such subject matter, including, without limitation, the Prior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provision in this Agreement shall be construed to adversely affect any of Executive’s rights to compensation or benefits (including equity compensation) payable in accordance with the terms of the Prior Agreement (and applicable equity award agreements) or any of Executive’s rights to indemnification with respect to Executive’s service under the Prior Agreement. The parties hereto shall not be liable or bound to any other party in any manner by any representations, warranties or covenants relating to such subject matter except as specifically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Section Headings</w:t>
      </w:r>
      <w:r>
        <w:rPr>
          <w:rFonts w:ascii="Times New Roman;Times;Serif" w:hAnsi="Times New Roman;Times;Serif"/>
          <w:b w:val="false"/>
          <w:i w:val="false"/>
          <w:caps w:val="false"/>
          <w:smallCaps w:val="false"/>
          <w:sz w:val="20"/>
        </w:rPr>
        <w:t>. Section headings used in this Agreement are included for convenience of reference only and will not affect the meaning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Board Approval</w:t>
      </w:r>
      <w:r>
        <w:rPr>
          <w:rFonts w:ascii="Times New Roman;Times;Serif" w:hAnsi="Times New Roman;Times;Serif"/>
          <w:b w:val="false"/>
          <w:i w:val="false"/>
          <w:caps w:val="false"/>
          <w:smallCaps w:val="false"/>
          <w:sz w:val="20"/>
        </w:rPr>
        <w:t>. The Employer represents that the Board (or the Compensation Committee thereof) has approved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is entered into as of the date and year first written above.</w:t>
      </w:r>
    </w:p>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75"/>
        <w:gridCol w:w="320"/>
        <w:gridCol w:w="545"/>
        <w:gridCol w:w="1955"/>
      </w:tblGrid>
      <w:tr>
        <w:trPr/>
        <w:tc>
          <w:tcPr>
            <w:tcW w:w="75" w:type="dxa"/>
            <w:tcBorders/>
            <w:vAlign w:val="center"/>
          </w:tcPr>
          <w:p>
            <w:pPr>
              <w:pStyle w:val="TableContents"/>
              <w:bidi w:val="0"/>
              <w:spacing w:before="0" w:after="283"/>
              <w:jc w:val="left"/>
              <w:rPr/>
            </w:pPr>
            <w:r>
              <w:rPr/>
              <w:t> </w:t>
            </w:r>
          </w:p>
        </w:tc>
        <w:tc>
          <w:tcPr>
            <w:tcW w:w="282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r>
          </w:p>
        </w:tc>
      </w:tr>
      <w:tr>
        <w:trPr/>
        <w:tc>
          <w:tcPr>
            <w:tcW w:w="75" w:type="dxa"/>
            <w:tcBorders/>
            <w:vAlign w:val="center"/>
          </w:tcPr>
          <w:p>
            <w:pPr>
              <w:pStyle w:val="TableContents"/>
              <w:bidi w:val="0"/>
              <w:spacing w:before="0" w:after="283"/>
              <w:jc w:val="left"/>
              <w:rPr/>
            </w:pPr>
            <w:r>
              <w:rPr/>
              <w:t> </w:t>
            </w:r>
          </w:p>
        </w:tc>
        <w:tc>
          <w:tcPr>
            <w:tcW w:w="282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 Holliday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Holliday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1970"/>
        <w:gridCol w:w="75"/>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Harrison Sitomer</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Harrison Sitomer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Employment and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Time-Based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LTIP Units or shares of restricted stock granted pursuant to Section 3(c) of this Agreement will be granted pursuant to definitive documentation consistent with the Employer’s general practices for documentation for such awards, subject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1.</w:t>
            </w:r>
          </w:p>
        </w:tc>
        <w:tc>
          <w:tcPr>
            <w:tcW w:w="10026" w:type="dxa"/>
            <w:tcBorders/>
            <w:vAlign w:val="center"/>
          </w:tcPr>
          <w:p>
            <w:pPr>
              <w:pStyle w:val="TableContents"/>
              <w:bidi w:val="0"/>
              <w:spacing w:before="0" w:after="283"/>
              <w:jc w:val="left"/>
              <w:rPr/>
            </w:pPr>
            <w:r>
              <w:rPr>
                <w:u w:val="single"/>
              </w:rPr>
              <w:t>Outperformance Modifier; Vesting and Forfeiture of Outperformance LTIP Units/Restricted Stock</w:t>
            </w:r>
            <w:r>
              <w:rPr/>
              <w:t>: The Outperformance Award shall be earned subject to the achievement of three-year specific operational or financial goals (the “Outperformance Metrics”) covering a measurement period of three fiscal years starting with the fiscal year during which the grant date occurs (the “Outperformance Measurement Period”). Such three-year goals will be established by the Compensation Committee in its discretion for each grant. Any LTIP Units or shares of restricted stock, as applicable, that are earned based upon achievement of the Outperformance Metrics will vest as of the end of the third fiscal year in the Outperformance Measurement Period (subject to determination of the Outperformance Metrics for the Outperformance Measurement Period, which the Employer shall cause to be completed as soon as practical after the end of such period), but only if and to the extent the corresponding LTIP Units or shares of restricted stock, as applicable, granted as the Annual Time-Based Amount have become vested on or before such date. To the extent any portion of the LTIP Units or shares of restricted stock, as applicable, granted as the Annual Time-Based Amount for any award under this Agreement are forfeited prior to the conclusion of the applicable Outperformance Measurement Period (e.g., as a result of a termination of Executive for Cause), then all of the LTIP Units or shares of restricted stock, as applicable, granted as an Outperformance Award under such award shall also be forfeited and no LTIP Units or shares of restricted stock, as applicable, may be earned based on the corresponding Outperformance Metrics upon the conclusion of the applicable Outperformance Measurement Period.</w:t>
            </w:r>
          </w:p>
        </w:tc>
      </w:tr>
    </w:tbl>
    <w:p>
      <w:pPr>
        <w:pStyle w:val="TextBody"/>
        <w:bidi w:val="0"/>
        <w:spacing w:before="0" w:after="0"/>
        <w:ind w:left="0" w:right="0" w:hanging="0"/>
        <w:jc w:val="left"/>
        <w:rPr>
          <w:caps w:val="false"/>
          <w:smallCaps w:val="false"/>
        </w:rPr>
      </w:pPr>
      <w:r>
        <w:rPr>
          <w:caps w:val="false"/>
          <w:smallCaps w:val="false"/>
        </w:rPr>
        <w:t> </w:t>
      </w:r>
    </w:p>
    <w:tbl>
      <w:tblPr>
        <w:tblW w:w="3410" w:type="dxa"/>
        <w:jc w:val="left"/>
        <w:tblInd w:w="-10" w:type="dxa"/>
        <w:tblLayout w:type="fixed"/>
        <w:tblCellMar>
          <w:top w:w="28" w:type="dxa"/>
          <w:left w:w="28" w:type="dxa"/>
          <w:bottom w:w="28" w:type="dxa"/>
          <w:right w:w="28" w:type="dxa"/>
        </w:tblCellMar>
      </w:tblPr>
      <w:tblGrid>
        <w:gridCol w:w="1400"/>
        <w:gridCol w:w="845"/>
        <w:gridCol w:w="545"/>
        <w:gridCol w:w="620"/>
      </w:tblGrid>
      <w:tr>
        <w:trPr/>
        <w:tc>
          <w:tcPr>
            <w:tcW w:w="3410" w:type="dxa"/>
            <w:gridSpan w:val="4"/>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Outperformance Metric Modifier</w:t>
            </w:r>
          </w:p>
        </w:tc>
      </w:tr>
      <w:tr>
        <w:trPr/>
        <w:tc>
          <w:tcPr>
            <w:tcW w:w="140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Threshold</w:t>
            </w:r>
          </w:p>
        </w:tc>
        <w:tc>
          <w:tcPr>
            <w:tcW w:w="54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Target</w:t>
            </w:r>
          </w:p>
        </w:tc>
        <w:tc>
          <w:tcPr>
            <w:tcW w:w="62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w:t>
            </w:r>
          </w:p>
        </w:tc>
      </w:tr>
      <w:tr>
        <w:trPr/>
        <w:tc>
          <w:tcPr>
            <w:tcW w:w="1400" w:type="dxa"/>
            <w:tcBorders>
              <w:left w:val="single" w:sz="8" w:space="0" w:color="000000"/>
              <w:bottom w:val="single" w:sz="8" w:space="0" w:color="000000"/>
              <w:right w:val="single" w:sz="8" w:space="0" w:color="000000"/>
            </w:tcBorders>
            <w:shd w:fill="FFFFFF" w:val="clear"/>
            <w:tcMar>
              <w:top w:w="0" w:type="dxa"/>
              <w:left w:w="107"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 Modifier</w:t>
            </w:r>
          </w:p>
        </w:tc>
        <w:tc>
          <w:tcPr>
            <w:tcW w:w="84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54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w:t>
            </w:r>
          </w:p>
        </w:tc>
        <w:tc>
          <w:tcPr>
            <w:tcW w:w="62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u w:val="single"/>
              </w:rPr>
              <w:t>No Sell</w:t>
            </w:r>
            <w:r>
              <w:rPr/>
              <w:t>: If Executive elects to receive the Annual Time-Based Amount in LTIP Units, the award agreements will provide that Executive may not sell, assign, transfer, or otherwise encumber or dispose of the LTIP Units until the earlier of (i) the date that is one-year after the vesting date of such LTIP Units, (ii) the termination of Executive’s employment or (iii) a Change-in-Control.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will not apply if the Executive elects to receive the Annual Time-Based Amount in shares of restricted stock.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1318"/>
        <w:gridCol w:w="8637"/>
      </w:tblGrid>
      <w:tr>
        <w:trPr/>
        <w:tc>
          <w:tcPr>
            <w:tcW w:w="25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pPr>
            <w:r>
              <w:rPr/>
              <w:t>3.</w:t>
            </w:r>
          </w:p>
        </w:tc>
        <w:tc>
          <w:tcPr>
            <w:tcW w:w="8637" w:type="dxa"/>
            <w:tcBorders/>
            <w:vAlign w:val="center"/>
          </w:tcPr>
          <w:p>
            <w:pPr>
              <w:pStyle w:val="TableContents"/>
              <w:bidi w:val="0"/>
              <w:spacing w:before="0" w:after="283"/>
              <w:jc w:val="both"/>
              <w:rPr/>
            </w:pPr>
            <w:r>
              <w:rPr>
                <w:u w:val="single"/>
              </w:rPr>
              <w:t>Distributions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If Executive elects to receive the Annual Time-Based Amount in LTIP Units, the award agreements will provide for cash distributions to be paid (and not to be forfeitable or repayable) on all LTIP Units granted as the Annual Time-Based Amount, whether vested or not, on a current basis. The LTIP Units granted as Outperformance LTIP Units will be Special LTIP Units. The Special LTIP Unit Sharing Percentage will equal 10% and the Distribution Participation Date will be the vesting date. To the extent the aggregate amount of distributions that would have been received on vested LTIP Units from the grant date of each award through the vesting date (if the Distribution Participation Date had been the issuance date) exceeds the amount of the Special LTIP Unit Distribution that Executive becomes entitled to upon such vesting date, Executive will be entitled to receive a cash payment in such amount on such vesting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 xml:space="preserve">If Executive elects to receive the Annual Time-Based Amount in shares of restricted stock, Executive will be entitled to receive dividends on shares of restricted stock granted as the Annual Time-Based Amount, whether vested or not, on a current basis. Shares of restricted stock granted as an Outperformance Award shall entitle Executive to receive dividend equivalents in an amount consistent with the distributions payable on Special LTIP Units set forth in Section 3(a) of this </w:t>
            </w:r>
            <w:r>
              <w:rPr>
                <w:u w:val="single"/>
              </w:rPr>
              <w:t>Exhibit A</w:t>
            </w:r>
            <w:r>
              <w:rPr/>
              <w:t>,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4.</w:t>
            </w:r>
          </w:p>
        </w:tc>
        <w:tc>
          <w:tcPr>
            <w:tcW w:w="10024" w:type="dxa"/>
            <w:tcBorders/>
            <w:vAlign w:val="center"/>
          </w:tcPr>
          <w:p>
            <w:pPr>
              <w:pStyle w:val="TableContents"/>
              <w:bidi w:val="0"/>
              <w:spacing w:before="0" w:after="283"/>
              <w:jc w:val="left"/>
              <w:rPr/>
            </w:pPr>
            <w:r>
              <w:rPr>
                <w:u w:val="single"/>
              </w:rPr>
              <w:t>Acceleration</w:t>
            </w:r>
            <w:r>
              <w:rPr/>
              <w:t xml:space="preserve">: The award agreements will provide for full acceleration of time-based vesting of the LTIP Units or shares of restricted stock, as applicable, in the event of any of (i) Executive’s termination of employment for Good Reason (including in connection with, or within eighteen (18) months of, a Change-in-Control) or if Executive’s employment is terminated without Cause (including as a result of the Employer’s election to not renew the Current Term or any Renewal Term, as applicable, as set forth in Section 7(e)(i) of the Agreement), (ii) Executive’s election to not renew the Current Term or any Renewal Term, as applicable, as set forth in Section 7(e)(ii) of the Agreement, or (iii) Executive’s termination of employment due to death or disability. Other terminations prior to time-based vesting or acceleration will result in forfeiture of all unvested amounts, including all LTIP Units or shares of restricted stock, as applicable, granted as an Outperformance Award. To the extent time-based vesting is accelerated for any LTIP Units or shares of restricted stock, as applicable, such LTIP Units or shares of restricted stock, as applicable, will remain subject to the Outperformance Metrics and the additional performance-based vesting provisions set forth above in Section 1 of this </w:t>
            </w:r>
            <w:r>
              <w:rPr>
                <w:u w:val="single"/>
              </w:rPr>
              <w:t>Exhibit A</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5.</w:t>
            </w:r>
          </w:p>
        </w:tc>
        <w:tc>
          <w:tcPr>
            <w:tcW w:w="10019" w:type="dxa"/>
            <w:tcBorders/>
            <w:vAlign w:val="center"/>
          </w:tcPr>
          <w:p>
            <w:pPr>
              <w:pStyle w:val="TableContents"/>
              <w:bidi w:val="0"/>
              <w:spacing w:before="0" w:after="283"/>
              <w:jc w:val="left"/>
              <w:rPr/>
            </w:pPr>
            <w:r>
              <w:rPr>
                <w:u w:val="single"/>
              </w:rPr>
              <w:t>Change-in-Control</w:t>
            </w:r>
            <w:r>
              <w:rPr/>
              <w:t>: The award agreements will provide that if a Change-in-Control occurs prior to (a) the end of the three-year performance period applicable to the Outperformance Metrics for such award and (b) the termination of Executive’s employment, then the performance period shall be deemed to have concluded upon the Change-in-Control and performance under the Outperformance Metrics shall be determined based on the Employer’s actual performance as of the date of such Change-in-Control (or the most recent practicable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Performance-Based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LTIP Units granted pursuant to Section 3(d) of this Agreement will be granted pursuant to definitive documentation consistent with the Employer’s general practices for documentation for such awards, subject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1.</w:t>
            </w:r>
          </w:p>
        </w:tc>
        <w:tc>
          <w:tcPr>
            <w:tcW w:w="9997" w:type="dxa"/>
            <w:tcBorders/>
            <w:vAlign w:val="center"/>
          </w:tcPr>
          <w:p>
            <w:pPr>
              <w:pStyle w:val="TableContents"/>
              <w:bidi w:val="0"/>
              <w:spacing w:before="0" w:after="283"/>
              <w:jc w:val="left"/>
              <w:rPr/>
            </w:pPr>
            <w:r>
              <w:rPr>
                <w:u w:val="single"/>
              </w:rPr>
              <w:t>Performance-Based Vesting</w:t>
            </w:r>
            <w:r>
              <w:rPr/>
              <w:t>: LTIP Units will be eligible to be earned based on relative TSR performance over a three-year period (with linear interpolation for earning between levels):</w:t>
            </w:r>
          </w:p>
        </w:tc>
      </w:tr>
    </w:tbl>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10" w:type="dxa"/>
        <w:tblLayout w:type="fixed"/>
        <w:tblCellMar>
          <w:top w:w="28" w:type="dxa"/>
          <w:left w:w="28" w:type="dxa"/>
          <w:bottom w:w="28" w:type="dxa"/>
          <w:right w:w="28" w:type="dxa"/>
        </w:tblCellMar>
      </w:tblPr>
      <w:tblGrid>
        <w:gridCol w:w="2645"/>
        <w:gridCol w:w="845"/>
        <w:gridCol w:w="545"/>
        <w:gridCol w:w="875"/>
      </w:tblGrid>
      <w:tr>
        <w:trPr/>
        <w:tc>
          <w:tcPr>
            <w:tcW w:w="4910" w:type="dxa"/>
            <w:gridSpan w:val="4"/>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Relative TSR over Three Years</w:t>
            </w:r>
          </w:p>
        </w:tc>
      </w:tr>
      <w:tr>
        <w:trPr/>
        <w:tc>
          <w:tcPr>
            <w:tcW w:w="26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Threshold</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Target</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Maximum</w:t>
            </w:r>
          </w:p>
        </w:tc>
      </w:tr>
      <w:tr>
        <w:trPr/>
        <w:tc>
          <w:tcPr>
            <w:tcW w:w="2645" w:type="dxa"/>
            <w:tcBorders>
              <w:left w:val="single" w:sz="8"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LTIP Units Earned (% of Target)</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Amount earned based on achievement of relative TSR to be modified down by up to 25% or up by up to 50% based on absolute TSR over three (3)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accelerated, TSR will be calculated on a simple, non-compounded basis based on TSR over the three-year period beginning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in the year in which the LTIP Units are granted. For LTIP Units granted in 2026 and thereafter, the TSR will be subject to review and adjustment for each subsequent grant at the discretion of the Compensation Committee, but the structure will otherwise remain the same.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left"/>
              <w:rPr/>
            </w:pPr>
            <w:r>
              <w:rPr>
                <w:u w:val="single"/>
              </w:rPr>
              <w:t>Time-Based Vesting</w:t>
            </w:r>
            <w:r>
              <w:rPr/>
              <w:t>: The LTIP Units will be subject to time-based vesting conditions. Subject to the provisions below, the LTIP Units will vest on December 31</w:t>
            </w:r>
            <w:r>
              <w:rPr>
                <w:position w:val="8"/>
                <w:sz w:val="19"/>
              </w:rPr>
              <w:t>st</w:t>
            </w:r>
            <w:r>
              <w:rPr/>
              <w:t xml:space="preserve"> of the third year following the grant (subject to performance-based vesting), if and as Executive’s employment continues through such dates and unless otherwise provided in this Agreement; provided that the first award of LTIP Units granted following the Execution Date shall vest on December 31, 2028.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left"/>
              <w:rPr/>
            </w:pPr>
            <w:r>
              <w:rPr>
                <w:u w:val="single"/>
              </w:rPr>
              <w:t>Continued Participation</w:t>
            </w:r>
            <w:r>
              <w:rPr/>
              <w:t>: Each award agreement will provide that the LTIP Units issued pursuant to such award agreement will remain outstanding (subject to earning based on achievement of the performance metrics in accordance with their terms) in the event that, prior to the conclusion of the applicable performance period for such award: (i) Executive terminates his employment for Good Reason or his employment is terminated without Cause (including as a result of the Employer’s election to not renew the Current Term or any Renewal Term, as applicable, as set forth in Section 7(e)(i) of the Agreement), or (ii) Executive’s employment is terminated due to death or disability. In the event of a termination pursuant to Section 7(e)(ii) of the Agreement, any shares, units or other awards covered by any Annual Performance-Based Awards that would vest more than twelve (12) months after the Termination Date shall be forfeited. Other terminations prior to time-based vesting or acceleration will result in forfeiture of the full award.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4.</w:t>
            </w:r>
          </w:p>
        </w:tc>
        <w:tc>
          <w:tcPr>
            <w:tcW w:w="10024" w:type="dxa"/>
            <w:tcBorders/>
            <w:vAlign w:val="center"/>
          </w:tcPr>
          <w:p>
            <w:pPr>
              <w:pStyle w:val="TableContents"/>
              <w:bidi w:val="0"/>
              <w:spacing w:before="0" w:after="283"/>
              <w:jc w:val="left"/>
              <w:rPr/>
            </w:pPr>
            <w:r>
              <w:rPr>
                <w:u w:val="single"/>
              </w:rPr>
              <w:t>Change-in-Control</w:t>
            </w:r>
            <w:r>
              <w:rPr/>
              <w:t>: Each equity award agreement will provide that if a Change-in-Control occurs prior to (a) the vesting of the LTIP Units and (b) the termination of Executive’s employment, then performance-based vesting will be measured in accordance with the vesting criteria set forth in the applicable award agreement from the beginning of the applicable performance period through the date of the Change-in-Control (as opposed to the period otherwise provided in such award agreement), but vesting of the LTIP Units will remain subject to Executive’s continued employment through the vesting date, subject to the acceleration of all earned LTIP Units in the circumstances set forth above. For purposes of measuring performance in the event of a Change-in-Control prior to the end of an applicable performance period, absolute and relative TSR performance will be measured based on actual, annualized performance through the date of the Change-in-Control (using the transaction price, or closest approximation, to the extent applicable) measured against the performance hurdles set forth in the applicable award agreement on a prorated basis. These provisions will continue to apply regardless of whether a Change-in-Control occurs during or after the term of any employment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u w:val="single"/>
              </w:rPr>
              <w:t>No Sell</w:t>
            </w:r>
            <w:r>
              <w:rPr/>
              <w:t>: Executive may not sell, assign, transfer, or otherwise encumber or dispose of LTIP Units until the earlier of (i) the date that is three years after such LTIP Units were granted, (ii) the termination of Executive’s employment or (iii) a Change-in-Control.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9" w:type="dxa"/>
            <w:tcBorders/>
            <w:vAlign w:val="center"/>
          </w:tcPr>
          <w:p>
            <w:pPr>
              <w:pStyle w:val="TableContents"/>
              <w:bidi w:val="0"/>
              <w:spacing w:before="0" w:after="283"/>
              <w:jc w:val="left"/>
              <w:rPr/>
            </w:pPr>
            <w:r>
              <w:rPr>
                <w:u w:val="single"/>
              </w:rPr>
              <w:t>Distributions</w:t>
            </w:r>
            <w:r>
              <w:rPr/>
              <w:t>: The Special LTIP Unit Sharing Percentage will equal 10% and the Distribution Participation Date will be the vesting date. To the extent the aggregate amount of distributions that would have been received on vested LTIP Units from the grant date of each award through the vesting date (if the Distribution Participation Date had been the issuance date) exceeds the amount of the Special LTIP Unit Distribution that Executive becomes entitled to upon such vesting date, Executive will be entitled to receive a cash payment in such amount on such vesting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7.</w:t>
            </w:r>
          </w:p>
        </w:tc>
        <w:tc>
          <w:tcPr>
            <w:tcW w:w="9990" w:type="dxa"/>
            <w:tcBorders/>
            <w:vAlign w:val="center"/>
          </w:tcPr>
          <w:p>
            <w:pPr>
              <w:pStyle w:val="TableContents"/>
              <w:bidi w:val="0"/>
              <w:spacing w:before="0" w:after="283"/>
              <w:jc w:val="left"/>
              <w:rPr/>
            </w:pPr>
            <w:r>
              <w:rPr>
                <w:u w:val="single"/>
              </w:rPr>
              <w:t>Units Granted</w:t>
            </w:r>
            <w:r>
              <w:rPr/>
              <w:t>: The maximum number of LTIP Units that could be earned will be granted and any LTIP Units that do not vest will be subsequently forfeited.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Harrison Sitomer (hereinafter referred to as “</w:t>
      </w:r>
      <w:r>
        <w:rPr>
          <w:rFonts w:ascii="Times New Roman;Times;Serif" w:hAnsi="Times New Roman;Times;Serif"/>
          <w:b/>
          <w:i/>
          <w:caps w:val="false"/>
          <w:smallCaps w:val="false"/>
          <w:sz w:val="20"/>
        </w:rPr>
        <w:t>Executive</w:t>
      </w:r>
      <w:r>
        <w:rPr>
          <w:rFonts w:ascii="Times New Roman;Times;Serif" w:hAnsi="Times New Roman;Times;Serif"/>
          <w:b w:val="false"/>
          <w:i w:val="false"/>
          <w:caps w:val="false"/>
          <w:smallCaps w:val="false"/>
          <w:sz w:val="20"/>
        </w:rPr>
        <w:t>”) and SL Green Realty Corp., a Maryland corporation (hereinafter referred to as “</w:t>
      </w:r>
      <w:r>
        <w:rPr>
          <w:rFonts w:ascii="Times New Roman;Times;Serif" w:hAnsi="Times New Roman;Times;Serif"/>
          <w:b/>
          <w:i/>
          <w:caps w:val="false"/>
          <w:smallCaps w:val="false"/>
          <w:sz w:val="20"/>
        </w:rPr>
        <w:t>Employer</w:t>
      </w:r>
      <w:r>
        <w:rPr>
          <w:rFonts w:ascii="Times New Roman;Times;Serif" w:hAnsi="Times New Roman;Times;Serif"/>
          <w:b w:val="false"/>
          <w:i w:val="false"/>
          <w:caps w:val="false"/>
          <w:smallCaps w:val="false"/>
          <w:sz w:val="20"/>
        </w:rPr>
        <w:t>”) are parties to an Employment and Noncompetition Agreement, dated as of February 27, 2026 (the “</w:t>
      </w:r>
      <w:r>
        <w:rPr>
          <w:rFonts w:ascii="Times New Roman;Times;Serif" w:hAnsi="Times New Roman;Times;Serif"/>
          <w:b/>
          <w:i/>
          <w:caps w:val="false"/>
          <w:smallCaps w:val="false"/>
          <w:sz w:val="20"/>
        </w:rPr>
        <w:t>Employment Agreement</w:t>
      </w:r>
      <w:r>
        <w:rPr>
          <w:rFonts w:ascii="Times New Roman;Times;Serif" w:hAnsi="Times New Roman;Times;Serif"/>
          <w:b w:val="false"/>
          <w:i w:val="false"/>
          <w:caps w:val="false"/>
          <w:smallCaps w:val="false"/>
          <w:sz w:val="20"/>
        </w:rPr>
        <w:t>”), which provided for Executive’s employment with Employer on the terms and conditions specified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7 of the Employment Agreement, Executive has agreed to execute a General Release of the type and nature set forth herein as a condition to his entitlement to certain payments and benefits upon his termination of employment with Employer;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mutual promises herein contained and for other good and valuable consideration received or to be received by Executive in accordance with the terms of the Employment Agreement, it is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Excluding enforcement of the covenants, promises and/or rights reserved herein (including but not limited to those contained in paragraph 3 below), (a) Executive hereby irrevocably and unconditionally waives, releases, settles (gives up),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the “</w:t>
      </w:r>
      <w:r>
        <w:rPr>
          <w:rFonts w:ascii="Times New Roman;Times;Serif" w:hAnsi="Times New Roman;Times;Serif"/>
          <w:b/>
          <w:i/>
          <w:caps w:val="false"/>
          <w:smallCaps w:val="false"/>
          <w:sz w:val="20"/>
        </w:rPr>
        <w:t>Releasees</w:t>
      </w:r>
      <w:r>
        <w:rPr>
          <w:rFonts w:ascii="Times New Roman;Times;Serif" w:hAnsi="Times New Roman;Times;Serif"/>
          <w:b w:val="false"/>
          <w:i w:val="false"/>
          <w:caps w:val="false"/>
          <w:smallCaps w:val="false"/>
          <w:sz w:val="20"/>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any claims for salary, salary increases, alleged promotions, expanded job responsibilities, constructive discharge, misrepresentation, bonuses, equity awards of any kind, severance payments, unvested retirement benefits, vacation entitlements, benefits, moving expenses, business expenses, attorneys’ fees, any claims which he may have under any contract or policy (whether such contract or policy is written or oral, express or implied), rights arising out of alleged violations of any covenant of good faith and fair dealing (express or implied), any tort, any legal restrictions on Employer’s right to terminate employees and any claims which he may have based upon any Federal, state or other governmental statute, regulation or ordinance, including, without limitation, Title VII of the Civil Rights Act of 1964, as amended, the Federal Age Discrimination In Employment Act of 1967, as amended (“ADEA”), the Employee Retirement Income Security Act of 1974, as amended (“ERISA”), the American with Disabilities Act, as amended (“ADA”), the Civil Rights Act of 1991, as amended, the Rehabilitation Act of 1973, as amended, the Older Workers Benefit Protection Act, as amended (“OWBPA”), the Worker Adjustment Retraining and Notification Act, as amended (“WARN”), the Fair Labor Standards Act, as amended (“FLSA”), the Occupational Safety and Health Act of 1970 (“OSHA”), the Family and Medical Leave Act of 1993, as amended (“FMLA”), the New York State Human Rights Law, as amended, the New York Labor Act, as amended, the New York Equal Pay Law, as amended, the New York Civil Rights Law, as amended, the New York Rights of Persons With Disabilities Law, as amended, the New York Equal Rights Law, as amended, the Sarbanes-Oxley Act of 2002, as amended (“SOX”), and Section 409A of the Internal Revenue Code of 1986, as amended (“Section 409A”), that Executive now has, or has ever had, or ever shall have, against each or any of the Releasees, by reason of any and all acts, omissions, events, circumstances or facts existing or occurring up through the date of Executive’s execution hereof that directly or indirectly arise out of, relate to, or are connected with, Executive’s services to, or employment by Employer (any of the foregoing being a “</w:t>
      </w:r>
      <w:r>
        <w:rPr>
          <w:rFonts w:ascii="Times New Roman;Times;Serif" w:hAnsi="Times New Roman;Times;Serif"/>
          <w:b/>
          <w:i/>
          <w:caps w:val="false"/>
          <w:smallCaps w:val="false"/>
          <w:sz w:val="20"/>
        </w:rPr>
        <w:t>Claim</w:t>
      </w:r>
      <w:r>
        <w:rPr>
          <w:rFonts w:ascii="Times New Roman;Times;Serif" w:hAnsi="Times New Roman;Times;Serif"/>
          <w:b w:val="false"/>
          <w:i w:val="false"/>
          <w:caps w:val="false"/>
          <w:smallCaps w:val="false"/>
          <w:sz w:val="20"/>
        </w:rPr>
        <w:t>” or, collectively, the “</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preclude Executive from exercising any legally protected whistleblower rights (including under Rule 21F under the Securities Exchange Act of 1934, as amended) or rights concerning the defense of trade secrets pursuant to Section 1833 of title 18 of the United States Code; and (b) Executive will not now, or in the future, accept any recovery (including monetary damages or any form of personal relief) in any forum, nor will he pursue or institute any Claim against any of the Releasees, except that this shall not apply to any rights to pursue any Claim that Executive may have to receive an award pursuant to the whistleblower provisions of any applicable law or regulation for providing information to the Securities and Exchange Commission or any other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Employer hereby irrevocably and unconditionally waives, releases, settles (gives up), acquits and forever discharges Executive and each of his respective heirs, executors, administrators, representatives, agents, successors and assigns (“</w:t>
      </w:r>
      <w:r>
        <w:rPr>
          <w:rFonts w:ascii="Times New Roman;Times;Serif" w:hAnsi="Times New Roman;Times;Serif"/>
          <w:b/>
          <w:i/>
          <w:caps w:val="false"/>
          <w:smallCaps w:val="false"/>
          <w:sz w:val="20"/>
        </w:rPr>
        <w:t>Executive Parties</w:t>
      </w:r>
      <w:r>
        <w:rPr>
          <w:rFonts w:ascii="Times New Roman;Times;Serif" w:hAnsi="Times New Roman;Times;Serif"/>
          <w:b w:val="false"/>
          <w:i w:val="false"/>
          <w:caps w:val="false"/>
          <w:smallCaps w:val="false"/>
          <w:sz w:val="20"/>
        </w:rPr>
        <w:t xml:space="preserve">”),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that Employer now has, or has ever had, or ever shall have, against Executive Parties, by reason of any and all acts, omissions, events, circumstances or facts existing or occurring through the date of Employer execution of this General Release that directly or indirectly arise out of, relate to, or are connected with, Executive’s services to, or employment by Employer;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General Release shall not apply to (x) any of the continuing obligations of Executive under the Employment Agreement, or under any agreements, plans, contracts, documents or programs described or referenced in the Employment Agreement or (y) claims against Executive relating to or arising out of any act of fraud, intentional misappropriation of funds, embezzlement or any other action with regard to Employer or any of its affiliated companies that constitutes a felony under any federal or state statute committed by Executive during the course of Executive’s employment with Employer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Notwithstanding the foregoing, neither Employer nor Executive has waived and/or relinquished any rights it or he may have to file any Claim that cannot be waived and/or relinquished pursuant to applicable laws, including, in the case of Executive, the right to file a charge or participate in any investigation with the Equal Employment Opportunity Commission or any other governmental or administrative agency that is responsible for enforcing a law on behalf of the government;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Executive does waive the right to receive any monetary or other recovery, should any agency or any other person pursue any claims on Executive’s behalf arising out of any claim released pursuant to this Agreement, except that such waiver does not apply to any right to recover any amounts pursuant to the exception set forth in Section 1(b) above. Moreover, this General Release shall not apply to (a) any of the continuing obligations of Employer or any other Releasee under the Employment Agreement (including, without limitation, Executive’s rights to indemnification, advancement of expenses and directors’ and officers’ insurance coverage), or under any agreements, plans, contracts, documents or programs described or referenced in the Employment Agreement or any other written agreement entered into between Executive and Employer or any of its affiliates, (b) any rights Executive may have to obtain contribution or indemnity against Employer or any other Releasee pursuant to contract, Employer’s or its affiliates’ charter and by-laws or similar organizational documents or otherwise, (c) any rights Executive may have to enforce the terms of this General Release or the Employment Agreement (including, without limitation, enforcing Employer’s obligation to provide severance payments and benefits and accelerated vesting of equity awards), (d) any claims with respect to the items described in Sections 4 and 7(f) of the Employment Agreement, and (e) any rights of Executive in connection with his interest as a stockholder, limited partner, optionholder or other equity holder of Employer or any of its affiliates whether under agreements between Executive and Employer or any of its affiliates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Executive understands that he has been given a period of twenty-one (21) days to review and consider this General Release before signing it pursuant to the ADEA. Executive further understands that he may use as much of this 21–day period as Executive wishes prior to signing.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Executive acknowledges and represents that he understands that he may revoke the General Release set forth in paragraph 1, including, the waiver of his rights under the ADEA, effectuated in this General Release, within seven (7) days of signing this General Release. Revocation can be made by delivering a written notice of revocation to the General Counsel, Executive Vice President and Corporate Secretary, SL Green Realty Corp., One Vanderbilt Avenue, New York, New York 10017. For this revocation to be effective, written notice must be received by the General Counsel, Executive Vice President and Corporate Secretary no later than the close of business on the seventh day after Executive signs this General Release. If Executive revokes the General Release set forth in paragraph 1, Employer shall have no obligations to Executive under Sections 7(a)(i), (ii), (iii), (iv) or (v), or Section 7(d) of the Employment Agreement, except to the extent specifically provided for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Executive and Employer respectively represent and acknowledge that in executing this General Release neither of them is relying upon, and has not relied upon, any representation or statement not set forth herein made by any of the agents, representatives or attorneys of the Releasees with regard to the subject matter, basis or effect of this General Release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General Release shall not in any way be construed as an admission (i) by any of the Releasees that any Releasee has acted wrongfully or that Executive has any rights whatsoever against any of the Releasees except as specifically set forth herein and (ii) by any of the Executive Parties that any Executive Party has acted wrongfully or that Employer has any rights whatsoever against any of the Executive Parties except as specifically set forth herein, and each of the Releasees and Executive Parties specifically disclaims any liability to any party for any wrongful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It is the desire and intent of the parties hereto that the provisions of this General Release be enforced to the fullest extent permissible under law. Should there be any conflict between any provision hereof and any present or future law, such law shall prevail, but the provisions affected thereby shall be curtailed and limited only to the extent necessary to bring them within the requirements of law, and the remaining provisions of this General Release shall remain in full force and effect and be fully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Executive represents and agrees that Executive (a) has, to the extent he desires, discussed all aspects of this General Release with his attorney, (b) has carefully read and fully understands all of the provisions of this General Release, and (c) is voluntarily executing this 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the parties hereto; fully supersedes any and all prior agreements or understandings between the parties hereto pertaining to the subject matter hereof; and may not be changed except by explicit written agreement to that effect subscribed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General Release is executed by Executive and Employer as of the _______ day of __________ , 20___.</w:t>
      </w:r>
    </w:p>
    <w:p>
      <w:pPr>
        <w:pStyle w:val="TextBody"/>
        <w:bidi w:val="0"/>
        <w:spacing w:before="0" w:after="0"/>
        <w:ind w:left="0" w:right="0" w:hanging="0"/>
        <w:jc w:val="left"/>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765"/>
        <w:gridCol w:w="1594"/>
      </w:tblGrid>
      <w:tr>
        <w:trPr/>
        <w:tc>
          <w:tcPr>
            <w:tcW w:w="75" w:type="dxa"/>
            <w:tcBorders/>
            <w:vAlign w:val="center"/>
          </w:tcPr>
          <w:p>
            <w:pPr>
              <w:pStyle w:val="TableContents"/>
              <w:bidi w:val="0"/>
              <w:spacing w:before="0" w:after="283"/>
              <w:jc w:val="left"/>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Harrison Sitomer</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6" w:name="tm267993d1_ex10-2.htm"/>
      <w:bookmarkStart w:id="47" w:name="kstm267993d1_ex102"/>
      <w:bookmarkEnd w:id="46"/>
      <w:bookmarkEnd w:id="47"/>
      <w:r>
        <w:rPr/>
        <w:t> </w:t>
      </w:r>
      <w:r>
        <w:br w:type="page"/>
      </w:r>
    </w:p>
    <w:p>
      <w:pPr>
        <w:pStyle w:val="TextBody"/>
        <w:bidi w:val="0"/>
        <w:jc w:val="right"/>
        <w:rPr>
          <w:b/>
        </w:rPr>
      </w:pPr>
      <w:r>
        <w:rPr>
          <w:b/>
        </w:rPr>
        <w:t>Exhibit 10.2</w:t>
      </w:r>
    </w:p>
    <w:p>
      <w:pPr>
        <w:pStyle w:val="TextBody"/>
        <w:bidi w:val="0"/>
        <w:jc w:val="right"/>
        <w:rPr/>
      </w:pPr>
      <w:r>
        <w:rPr/>
        <w:t> </w:t>
      </w:r>
    </w:p>
    <w:p>
      <w:pPr>
        <w:pStyle w:val="TextBody"/>
        <w:bidi w:val="0"/>
        <w:jc w:val="right"/>
        <w:rPr>
          <w:b/>
        </w:rPr>
      </w:pPr>
      <w:r>
        <w:rPr>
          <w:b/>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AMENDED AND RESTATED EMPLOYMENT AND NONCOMPETITION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EMPLOYMENT AND NONCOMPETITION AGREEMENT (“Agreement”) is made as of the 27th day of February, 2026 (the “Execution Date”), to be effective January 1, 2026 (the “Effective Date”), between Matthew DiLiberto (“Executive”) and SL Green Realty Corp., a Maryland corporation with its principal place of business at One Vanderbilt Avenue, New York, New York 10017 (the “Employer”), and, as of the Effective Date, amends in its entirety and completely restates that certain amended and restated employment agreement between Executive and the Employer dated as of March 2, 2023, as amended by that certain First Amendment thereto, dated as of January 30, 2024 (the “Prior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term of this Agreement shall commence on January 1, 2026 and, unless earlier terminated as provided in Section 6 below, shall terminate on January 1, 2029 (the “Current Term”); provided, however, that Sections 4, 7(e) and 8 (and any enforcement or other procedural provisions hereof affecting Sections 4, 7(e) and 8) hereof shall survive the termination of this Agreement as provided therein. In addition, in the event that a Change in Control occurs within 18 months prior to the scheduled expiration of the Current Term, Executive may elect, by written notice to the Employer within 30 days after the Change in Control, to extend the expiration of the Current Term until the date that is 18 months after such Change in Control. The period of Executive’s employment hereunder consisting of the Current Term, as extended if applicable, is herein referred to as the “Employment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Employment and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Duties</w:t>
      </w:r>
      <w:r>
        <w:rPr>
          <w:rFonts w:ascii="Times New Roman;Times;Serif" w:hAnsi="Times New Roman;Times;Serif"/>
          <w:b w:val="false"/>
          <w:i w:val="false"/>
          <w:caps w:val="false"/>
          <w:smallCaps w:val="false"/>
          <w:sz w:val="20"/>
        </w:rPr>
        <w:t>. During the Employment Period, Executive shall be employed in the business of the Employer and its affiliates. Executive shall serve the Employer as a senior corporate executive and shall have the title of Chief Financial Officer of the Employer. Executive will report to the Chief Executive Officer of the Employer and to the President of the Employer. Executive’s duties and authority shall be those as would normally attach to Executive’s position as Chief Financial Officer, including such duties and responsibilities as are customary among persons employed in similar capacities for similar companies, and as set forth in the By-laws of the Employer and as otherwise established from time to time by the Board of Directors of the Employer (the “Board”) and the Chief Executive Officer of the Employer, but in all events such duties shall be commensurate with his position as Chief Financial Officer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Executive agrees to his employment as described in this Section 2 and agrees to devote substantially all of his business time and efforts to the performance of his duties under this Agreement, excepting vacation time, holidays, sick days and periods of disability, and except as otherwise approved by the Board or Compensation Committee of the Board (the “Compensation Committee”); provided, however, that nothing herein shall be interpreted to preclude Executive, so long as there is no material interference with his duties hereunder, from (i) participating as an officer or director of, or advisor to, any charitable, non-profit, educational or other tax-exempt organizations or otherwise engaging in charitable, fraternal or trade group activities; (ii) investing and managing his assets as an investor in other entities or business ventures; provided that such investment and management does not violate Section 8 hereof; or (iii) serving as a member of the board of directors of a for-profit corporation with the approval of the Chief Executive Officer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Travel</w:t>
      </w:r>
      <w:r>
        <w:rPr>
          <w:rFonts w:ascii="Times New Roman;Times;Serif" w:hAnsi="Times New Roman;Times;Serif"/>
          <w:b w:val="false"/>
          <w:i w:val="false"/>
          <w:caps w:val="false"/>
          <w:smallCaps w:val="false"/>
          <w:sz w:val="20"/>
        </w:rPr>
        <w:t>. In performing his duties hereunder, Executive shall be available for all reasonable travel as the needs of the Employer’s business may require. Executive shall be based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Compensation and Benefits</w:t>
      </w:r>
      <w:r>
        <w:rPr>
          <w:rFonts w:ascii="Times New Roman;Times;Serif" w:hAnsi="Times New Roman;Times;Serif"/>
          <w:b w:val="false"/>
          <w:i w:val="false"/>
          <w:caps w:val="false"/>
          <w:smallCaps w:val="false"/>
          <w:sz w:val="20"/>
        </w:rPr>
        <w:t>. In consideration of Executive’s services hereunder, the Employer shall compensate Executive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Employer shall pay Executive an aggregate minimum annual salary at the rate of $660,000 per annum during the Employment Period (“Base Salary”). Base Salary shall be payable bi-weekly in accordance with the Employer’s normal business practices and shall be reviewed by the Board or Compensation Committee at least annually (and, for the avoidance of doubt, any increased Base Salary shall constitute “Base Salary” for all purposes hereof). In no event shall Executive’s Base Salary in effect at a particular time be reduced without his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Incentive Compensation/Bonuses</w:t>
      </w:r>
      <w:r>
        <w:rPr>
          <w:rFonts w:ascii="Times New Roman;Times;Serif" w:hAnsi="Times New Roman;Times;Serif"/>
          <w:b w:val="false"/>
          <w:i w:val="false"/>
          <w:caps w:val="false"/>
          <w:smallCaps w:val="false"/>
          <w:sz w:val="20"/>
        </w:rPr>
        <w:t>. In addition to Base Salary, with respect to fiscal year 2026 and thereafter during the Employment Period, Executive shall participate in an annual cash bonus program allowing Executive to earn an amount up to two hundred and fifty percent (250%) of Executive’s Base Salary based on the achievement of specific goals established in advance by the Compensation Committee, which shall comprise sixty percent (60%) of Executive’s cash bonus opportunity for each fiscal year (the “Formulaic Component”). The remaining forty percent (40%) of Executive’s cash bonus opportunity for each fiscal year shall be equal to (i) the cash value of the Formulaic Component for such year divided by (ii) 0.6, less (iii) the cash value of the Formulaic Component for such year (the “Non-Formulaic Component”). Goals for the Formulaic Component will be established by the Compensation Committee in its discretion and in consultation with the Chief Executive Officer at performance levels ranging from threshold performance (entitling Executive to earn fifty percent (50%) of Base Salary) to target performance (entitling Executive to earn one hundred and seventy-five percent (175%) of Base Salary) to maximum performance (entitling Executive to earn two hundred and fifty percent (250%) of Base Salary), with linear interpolation between performance levels. The portion of the Non-Formulaic Component earned by Executive for a given fiscal year (in a range between $0 and the amount of the Non-Formulaic Component determined by the formula set forth in this Section 3(b)), will be determined in the discretion of the Compensation Committee in consultation with the Chief Executive Officer of the Employer. Executive will be entitled to receive such annual cash bonuses, if any, as are earned pursuant to such program, any portion of which the Employer may pay in the form of shares of Common Stock, stock units, LTIP units (“LTIP Units”) in SL Green Operating Partnership, L.P. (the “Partnership”) or other equity awards, as determined at the time of grant by the Compensation Committee, in its sole discretion, and reflected in the minutes or consents of the Compensation Committee relating to the approval of such equity awards (“Annual Cash Bonus”); provided that, for the avoidance of doubt, Annual Cash Bonus shall include annual cash bonuses (including any portion received in equity) for years prior to 2026 that were not paid pursuant to the annual cash bonus program described in this Section 3(b). In addition, Executive shall be eligible to participate in any other bonus or incentive compensation plans in effect with respect to senior executive officers of the Employer, as the Board or Compensation Committee, in its sole discretion, may deem appropriate to reward Executive for job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Annual Time-Based Equity Awards</w:t>
      </w:r>
      <w:r>
        <w:rPr>
          <w:rFonts w:ascii="Times New Roman;Times;Serif" w:hAnsi="Times New Roman;Times;Serif"/>
          <w:b w:val="false"/>
          <w:i w:val="false"/>
          <w:caps w:val="false"/>
          <w:smallCaps w:val="false"/>
          <w:sz w:val="20"/>
        </w:rPr>
        <w:t xml:space="preserve">. During the Employment Period, Executive will be eligible to receive an annual grant of LTIP Units subject to time-based vesting conditions, with an equal amount of each such grant to vest on each January 1st following such grant during the remainder of the Employment Period (i.e., grants made in 2026, 2027 and 2028 will vest over approximately three years, two years and one year, respectively), if and as employment continues through such dates. The amount of the annual grant each year will be determined by the Compensation Committee based on its evaluation of Executive’s performance during the prior year; provided that the value of the LTIP Units to be granted for achievement of target performance during the prior year will not be less than $1,540,000 (the “Time-Based Target Amount”) (with each LTIP Unit valued using the average closing price of the common stock of the Employer for the ten (10) consecutive trading days ending on the last trading day of the prior year). The first annual grant of LTIP Units was made in February 2026, in the amount of the $1,540,000. Subsequent annual grants of LTIP Units will be made in January of each year beginning in January 2027 and will have terms consistent with the foregoing and the terms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Annual Performance-Based Equity Awards</w:t>
      </w:r>
      <w:r>
        <w:rPr>
          <w:rFonts w:ascii="Times New Roman;Times;Serif" w:hAnsi="Times New Roman;Times;Serif"/>
          <w:b w:val="false"/>
          <w:i w:val="false"/>
          <w:caps w:val="false"/>
          <w:smallCaps w:val="false"/>
          <w:sz w:val="20"/>
        </w:rPr>
        <w:t xml:space="preserve">. During the Employment Period, Executive will be eligible to receive, upon approval of the Board or Compensation Committee, an annual grant of LTIP Units, subject to performance-based vesting conditions, as the Employer, in its sole discretion, may deem appropriate for achievement of target performance of not less than $1,000,000 (i.e., the value of the number of LTIP Units that would be earned upon the achievement of the target performance goals, with each LTIP Unit valued using the average closing price of the common stock of the Employer for the ten (10) consecutive trading days ending on the last trading day of the prior fiscal year), as the Board or the Compensation Committee determines in its sole discretion. The first annual grant of the Annual Performance-Based Awards was made in February 2026, in the amount of $1,000,000. Subsequent annual grants of the Annual Performance-Based Awards will be made in January of each year during the Employment Period. Each award agreement will have terms consistent with the terms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Class O LTIP Unit Award</w:t>
      </w:r>
      <w:r>
        <w:rPr>
          <w:rFonts w:ascii="Times New Roman;Times;Serif" w:hAnsi="Times New Roman;Times;Serif"/>
          <w:b w:val="false"/>
          <w:i w:val="false"/>
          <w:caps w:val="false"/>
          <w:smallCaps w:val="false"/>
          <w:sz w:val="20"/>
        </w:rPr>
        <w:t>. In advance of entering into this Agreement, Employer granted to Executive 100,000 Class O LTIP Units on February 12, 2026, with an equal amount vesting on January 1, 2027, January 1, 2028 and January 1, 2029, subject to Executive’s continued employment through each such date and subject to forfeiture in the event that Executive and Employer failed, for any reason,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Executive shall be reimbursed for all reasonable business related expenses incurred by Executive at the request of or on behalf of the Employer, provided that such expenses are incurred and accounted for in accordance with the policies and procedures established by the Employer. Any expenses incurred by Executive during the Employment Period but not reimbursed by the Employer by the end of the Employment Period, shall remain the obligation of the Employer to so reimburse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Health and Welfare Benefit Plans</w:t>
      </w:r>
      <w:r>
        <w:rPr>
          <w:rFonts w:ascii="Times New Roman;Times;Serif" w:hAnsi="Times New Roman;Times;Serif"/>
          <w:b w:val="false"/>
          <w:i w:val="false"/>
          <w:caps w:val="false"/>
          <w:smallCaps w:val="false"/>
          <w:sz w:val="20"/>
        </w:rPr>
        <w:t>. During the Employment Period, Executive and Executive’s immediate family shall be entitled to participate in such health and welfare benefit plans as the Employer shall maintain from time to time for the benefit of senior executive officers of the Employer and their families, on the terms and subject to the conditions set forth in such plan. Nothing in this Section shall limit the Employer’s right to change or modify or terminate any benefit plan or program as it sees fit from time to time in the normal course of business so long as it does so for all senior executives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Vacations</w:t>
      </w:r>
      <w:r>
        <w:rPr>
          <w:rFonts w:ascii="Times New Roman;Times;Serif" w:hAnsi="Times New Roman;Times;Serif"/>
          <w:b w:val="false"/>
          <w:i w:val="false"/>
          <w:caps w:val="false"/>
          <w:smallCaps w:val="false"/>
          <w:sz w:val="20"/>
        </w:rPr>
        <w:t>. Executive shall be entitled to paid vacations in accordance with the then regular procedures of the Employer governing senior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 During the Employment Period, the Employer shall provide to Executive such other benefits, as generally made available to other senior executives of the Employer; provided that it is acknowledged that the Employer’s Chief Executive Officer and Chairman and President may be provided with additional benefits not made available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Indemnification and Liability Insurance</w:t>
      </w:r>
      <w:r>
        <w:rPr>
          <w:rFonts w:ascii="Times New Roman;Times;Serif" w:hAnsi="Times New Roman;Times;Serif"/>
          <w:b w:val="false"/>
          <w:i w:val="false"/>
          <w:caps w:val="false"/>
          <w:smallCaps w:val="false"/>
          <w:sz w:val="20"/>
        </w:rPr>
        <w:t>. The Employer agrees to indemnify Executive to the fullest extent permitted by applicable law, as the same exists and may hereafter be amended, from and against any and all losses, damages, claims, liabilities and expenses asserted against, or incurred or suffered by, Executive (including the costs and expenses of legal counsel retained by the Employer to defend Executive and judgments, fines and amounts paid in settlement actually and reasonably incurred by or imposed on such indemnified party) with respect to any action, suit or proceeding, whether civil, criminal administrative or investigative (“Proceeding”) in which Executive is made a party or threatened to be made a party, either with regard to his entering into this Agreement with the Employer or in his capacity as an officer or director, or former officer or director, of the Employer, any affiliate thereof or any other entity for which he may serve in such capacity pursuant to this Agreement or at the request of the Employer or any of its affiliates. To the fullest extent permitted by law, costs and expenses incurred by Executive in defense of any Proceeding (including attorneys’ fees) shall be paid by the Employer in advance of the final disposition of such litigation upon receipt by the Employer of a written request for payment. The Employer also agrees to secure and maintain officers and directors liability insurance providing coverage for Executive. The provisions of this Section 4 shall in no way limit, and shall be in addition to, Executive’s right to indemnification and advancement of expenses provided under the Employer’s and its subsidiaries’ organizational documents and any indemnification or other agreements entered into with Executive, and shall remain in effect after this Agreement is terminated irrespective of the reasons for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Employer’s Policies</w:t>
      </w:r>
      <w:r>
        <w:rPr>
          <w:rFonts w:ascii="Times New Roman;Times;Serif" w:hAnsi="Times New Roman;Times;Serif"/>
          <w:b w:val="false"/>
          <w:i w:val="false"/>
          <w:caps w:val="false"/>
          <w:smallCaps w:val="false"/>
          <w:sz w:val="20"/>
        </w:rPr>
        <w:t>. Executive agrees to observe and comply with the reasonable rules and regulations of the Employer as adopted by the Board and the Chief Executive Officer from time to time regarding the performance of his duties and communicated to Executive, and to carry out and perform orders, directions and policies communicated to him from time to time by the Board and the Chief Executive Officer, so long as same are otherwise consistent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Executive’s employment hereunder may be terminated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by the Employer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Executive’s employment hereunder shall terminate upon his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If, as a result of Executive’s incapacity due to physical or mental illness or disability, Executive shall have been incapable of performing his duties hereunder even with a reasonable accommodation on a full-time basis for the entire period of four consecutive months or any one hundred and twenty (120) days in a one hundred and eighty (180) day period, and within thirty (30) days after written Notice of Termination (as defined in Section 6(d)) is given he shall not have returned to the performance of his duties hereunder on a substantially full-time basis, the Employer may terminate Executive’s employment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The Employer may terminate Executive’s employment hereunder for Cause by the Chief Executive Officer of the Employer or a majority vote of all of the members of the Board upon written notice to Executive. For purposes of this Agreement, “Cause” shall mean Executive’s: (A) being convicted of, or pleading guilty or nolo contendere to, a felony (other than a traffic violation); (B) material breach of any of his obligations under Sections 8(a) through 8(e) of this Agreement; (C) willful misconduct that results in material harm to the Employer or its reputation; (D) material fraud with regard to the Employer or any of its affiliates; (E) willful, material violation of any reasonable written rule, regulation or policy of the Employer applicable to senior executives and previously provided to Executive that results in material harm to the Employer or its reputation; or (F) willful and substantial failure to make reasonable attempts in good faith to substantially perform his material duties pursuant to this Agreement (other than by reason of illness or disability) (it being understood that, for this purpose, the manner and level of Executive’s performance shall not be determined based on the financial performance (including without limitation the performance of the stock) of the Employer). For clarity, no act or failure to act, on the part of Executive shall be considered “willful,” unless done, or omitted to be done, by him in bad faith and without reasonable belief that his action or omission was in, or not opposed to, the best interest of the Employer, and, in addition, conduct shall not be considered “willful” with respect to any action taken or not taken based on the advice of the Employer’s outside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Without Cause</w:t>
      </w:r>
      <w:r>
        <w:rPr>
          <w:rFonts w:ascii="Times New Roman;Times;Serif" w:hAnsi="Times New Roman;Times;Serif"/>
          <w:b w:val="false"/>
          <w:i w:val="false"/>
          <w:caps w:val="false"/>
          <w:smallCaps w:val="false"/>
          <w:sz w:val="20"/>
        </w:rPr>
        <w:t>. Executive’s employment hereunder may be terminated by the Employer at any time without Cause (as defined in Section 6(a)(iii) above), by the Chief Executive Officer of the Employer or a majority vote of all of the members of the Board upon written notice to Executive, subject only to the severance and other payment provisions specifically set forth in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by 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Executive may terminate his employment hereunder for disability within the meaning of Section 6(a)(ii)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With Good Reason</w:t>
      </w:r>
      <w:r>
        <w:rPr>
          <w:rFonts w:ascii="Times New Roman;Times;Serif" w:hAnsi="Times New Roman;Times;Serif"/>
          <w:b w:val="false"/>
          <w:i w:val="false"/>
          <w:caps w:val="false"/>
          <w:smallCaps w:val="false"/>
          <w:sz w:val="20"/>
        </w:rPr>
        <w:t>. Executive’s employment hereunder may be terminated by Executive with Good Reason. For purposes of this Agreement, “Good Reason” shall mean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material adverse change or diminution in duties, responsibilities, status or positions with the Employer from the level of Executive’s duties, responsibilities, status or positions as Chief Financial Officer of a publicly traded company, except in connection with the termination of Executive’s employment for Cause, disability, retirement or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failure by the Employer to pay compensation when due in accordance with the provisions of Section 3, which failure has not been cured within twenty (20) business days after the notice of the failure (specifying the same) has been given by Executive to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breach by the Employer of any provision of this Agreement, and, unless such breach occurs following a Change-in-Control, such breach has not been cured within thirty (30) days after notice of noncompliance (specifying the nature of the noncompliance) has been given by Executive to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Employer’s requiring Executive to be based in an office not meeting the requirements of the last sentence of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reduction by the Employer in Executive’s Base Salary to less than the minimum Base Salary set forth in Section 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failure by the Employer to continue in effect an equity award program or other substantially similar program under which Executive is eligible to receive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material reduction in Executive’s benefits under any benefit plan (other than an equity award program) compared to those currently received (other than in connection with and proportionate to the reduction of the benefits received by all senior executives or undertaken in order to maintain such plan in compliance with any federal, state or local law or regulation governing benefits plans, including, but not limited to, the Employee Retirement Income Security Act of 1974, which shall not constitute Good Reason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failure by the Employer to obtain from any successor to the Employer an agreement to be bound by this Agreement pursuant to Section 15 hereof, which has not been cured within thirty (30) days after the notice of the failure (specifying the same) has been given by Executive to the Employer, but in all events prior to the completion of a Change-in-Control except to the extent the successor is bound by operation of law, it being understood that failure to obtain such agreement to be bound will in no way alter or compromise the effectiveness of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completion of a Change-in-Control, the failure of the Employer and Executive to amend this Agreement to provide that Executive shall be entitled to receive for each fiscal year (or partial fiscal year) during the period from the date of the Change-in-Control through the end of the Employment Period total direct compensation (taking into account market-standard illiquidity and minority discounts for any non-publicly traded equity compensation and annualized for any partial fiscal year) equal to or greater than the total direct compensation received by Executive for the most recently completed fiscal year immediately prior to the Change-in-Control and, except as otherwise agreed by the parties, having terms consistent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no termination will be deemed to be for Good Reason hereunder unless (i) Executive provides written notice to the Employer identifying the applicable event within ninety (90) days after Executive becomes aware of such event(s), (ii) if a cure period applies, the Employer fails to remedy the event within the applicable cure period following such notice, and (iii) if a cure period applies, Executive terminates his employment as a result of such failure to cure within sixty (60) days after the end of such cure period; if no cure period applies, Executive shall terminate his employment with Good Reason on the date specified in the notice described in (i) above, which shall be no later than sixty (60) days from the date of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Without Good Reason</w:t>
      </w:r>
      <w:r>
        <w:rPr>
          <w:rFonts w:ascii="Times New Roman;Times;Serif" w:hAnsi="Times New Roman;Times;Serif"/>
          <w:b w:val="false"/>
          <w:i w:val="false"/>
          <w:caps w:val="false"/>
          <w:smallCaps w:val="false"/>
          <w:sz w:val="20"/>
        </w:rPr>
        <w:t>. Executive shall have the right to terminate his employment hereunder without Good Reason, subject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following terms shall be defined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“Change-in-Control” shall be deemed to have occurred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together with all “affiliates” and “associates” (as such terms are defined in Rule 12b-2 under the Securities Exchange Act of 1934 (the “Exchange Act”)) of such Person, shall become the “beneficial owner” (as such term is defined in Rule 13d-3 under the Exchange Act), directly or indirectly, of securities of the Employer representing (i) 25% or more of either (1) the combined voting power of the Employer’s then outstanding securities having the right to vote in an election of the Board (“Voting Securities”) or (2) the then outstanding shares of all classes of stock of the Employer (in either such case other than as a result of the acquisition of securities directly from the Employer) or (ii) 49% or more of either (1) the combined voting power of the Employer’s Voting Securities or (2) the then outstanding shares of all classes of stock of the Employer (in either such case whether or not as a result of the acquisition of securities directly from the Employer);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members of the Board at the beginning of any consecutive 24-calendar-month period commencing on or after the date hereof (the “Incumbent Directors”) cease for any reason other than due to death to constitute at least a majority of the members of the Board; provided that any director whose election, or nomination for election by the Employer’s stockholders, was approved by a vote of at least a majority of the Incumbent Directors, shall be deemed to be an Incumbent Director;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consummated (1) any consolidation, merger, reorganization or similar form of corporate transaction (“Business Transaction”) of the Employer or any subsidiary that would result in the Voting Securities of the Employer outstanding immediately prior to such Business Transaction representing (either by remaining outstanding or by being converted into voting securities of the surviving entity) less than a majority of the total voting power of the voting securities of the surviving entity outstanding immediately after such Business Transaction or ceasing to have the power to elect at least a majority of the board of directors or other governing body of such surviving entity or (2) any sale, lease, exchange or other transfer (in one transaction or a series of transactions contemplated or arranged by any party as a single plan) (x) of all or substantially all of the assets of the Employer, if the shareholders of the Employer and unitholders of the Partnership taken as a whole and considered as one class immediately before such transaction own, immediately after consummation of such transaction, equity securities and partnership units possessing less than a majority of the surviving or acquiring corporation and partnership (or other acquiring entity(ies)) taken as a whole, (y) of 50% or more of the outstanding Class A Units of the Partnership (or other securities of the Partnership that represent the general partner’s interest in the Partnership) to any Person (other than the Employer or any of its subsidiaries), together with all “affiliates” and “associates” (as such terms are defined in Rule 12b-2 under the Exchange Act) of such Person, or (z) which results in neither the Employer nor any of its subsidiaries acting as the sole general partner of the Partnership under the Delaware Revised Uniform Limited Partnership Act, 6 Del. C. §17-101, et seq;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stockholders of the Employer shall approve any plan or proposal for the liquidation or dissolution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 “Change-in-Control” shall not be deemed to have occurred for purposes of the foregoing clause (A)(i) (but for the avoidance of doubt, without limiting Executive’s rights in connection with clause (A)(ii)), solely as the result of an acquisition of securities by the Employer which, by reducing the number of shares of stock or other Voting Securities outstanding, increases (x) the proportionate number of shares of stock of the Employer beneficially owned by any Person to 25% or more of the shares of stock then outstanding or (y) the proportionate voting power represented by the Voting Securities beneficially owned by any Person to 25% or more of the combined voting power of all then outstanding Voting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Person referred to in clause (x) or (y) of this sentence shall thereafter become the beneficial owner of any additional stock of the Employer or other Voting Securities (other than pursuant to a share split, stock dividend, or similar transaction), then a “Change-in-Control” shall be deemed to have occurred for purposes of the foregoing clause (A)(i).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“Person” shall have the meaning used in Sections 13(d) and 14(d) of the Exchange Act; provided however, that the term “Person” shall not include (A) Executive or (B) the Employer, any of its subsidiaries, or any trustee, fiduciary or other person or entity holding securities under any employee benefit plan of the Employer or any of its subsidiaries. In addition, no Change-in-Control shall be deemed to have occurred under clause (i)(A) above by virtue of a “group” (as such term is used in Sections 13(d) and 14(d) of the Exchange Act) becoming a beneficial owner as described in such clause, if any individual or entity described in clause (A) or (B) of the foregoing sentence is a member of such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Any termination of Executive’s employment by the Employer or by Executive (other than on account of death) shall be communicated by written Notice of Termination to the other party hereto in accordance with Section 11 of this Agreement. For purposes of this Agreement, a “Notice of Termination” shall mean a notice which shall indicate the specific termination provision in this Agreement relied upon and, as applicable, shall set forth in reasonable detail the facts and circumstances claimed to provide a basis for termination of Executive’s employment under the provision so indicated. Executive’s employment shall terminate as of the effective date set forth in the Notice of Termination (the “Termination Date”). Upon any Termination Date, at the request of the Board, Executive agrees to resign from any positions then held by Executive with the Employer and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Compensation Upon Termination; Change-in-Control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By Employer Without Cause or By Executive With Good Reason</w:t>
      </w:r>
      <w:r>
        <w:rPr>
          <w:rFonts w:ascii="Times New Roman;Times;Serif" w:hAnsi="Times New Roman;Times;Serif"/>
          <w:b w:val="false"/>
          <w:i w:val="false"/>
          <w:caps w:val="false"/>
          <w:smallCaps w:val="false"/>
          <w:sz w:val="20"/>
        </w:rPr>
        <w:t xml:space="preserve">. If, during the Employment Period (i) Executive is terminated by the Employer without Cause pursuant to Section 6(a)(iv) above, or (ii) Executive shall terminate his employment hereunder with Good Reason pursuant to Section (6)(b)(ii) above, then the Employment Period shall terminate as of the Termination Date, Executive shall be entitled to receive his earned and accrued but unpaid Base Salary on the Termination Date, and Executive shall also be entitled to the following payments and benefits in lieu of any further compensation for periods subsequent to the Termination Date, subject, in the case of the following items, to (1) Executive’s execution of a mutual release agreement with the Employer in the form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(the “Release Agreement”), which the Employer shall execute within five (5) business days after such execution by Executive, and (2) the effectiveness and irrevocability of the Release Agreement with respect to Executive within thirty (30) days after the Termination Date (with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Termination Date being referred to herein as the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Payment Date, Executive shall receive a prorated cash payment equal to (A) the average of the Annual Cash Bonuses earned by Executive in respect of the three most recently completed fiscal years multiplied by (B) a fraction, the numerator of which is the number of days in the fiscal year in which Executive’s employment terminates through the Termination Date (and the number of days in the prior fiscal year, in the event that Executive’s Annual Cash Bonus for such year had not been determined as of the Termination Date) and the denominator of which is 365 (the “Prorated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as severance pay, in a single payment on the Payment Date, an amount in cash equal to (A) the sum of (I) Executive’s Base Salary in effect and (II) the average of the Annual Cash Bonuses earned by Executive in respect of the three most recently completed fiscal years (the sum of (I) and (II) being referred to as the “Annual Compensation Amount”) and (B) an amount equal to (I) if the Termination Date occurs before the annual grant of LTIP Units in January 2027 pursuant to Section 3(c), two (2) times the Time-Based Target Amount, (II) if the Termination Date occurs after the annual grant of LTIP Units in January 2027 and before the annual grant of LTIP Units in January 2028 pursuant to Section 3(c), the Time-Based Target Amount or (III) otherwise, zero (the “Time-Based Severance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Employer shall pay the monthly employer contribution costs of continued group health, dental and vision plan insurance coverage for Executive and his dependents under the plans and programs in which Executive participated immediately prior to the Termination Date, or plans and programs maintained by the Employer in replacement thereof in which the senior executives of the Employer are eligible to participate, for a period of twelve (12) months following the Termination Date. If the payment of any COBRA or health insurance premiums by the Employer on behalf of Executive as described herein would otherwise violate any applicable nondiscrimination rules or cause the reimbursement of claims to be taxable under the Patient Protection and Affordable Care Act of 2010, together with the Health Care and Education Reconciliation Act of 2010 (collectively, the “Act”) or Section 105(h) of the Internal Revenue Code of 1986, as amended (the “Code”), the Employer shall in lieu thereof provide to Executive a taxable lump-sum payment in an amount equal to the sum of the monthly (or then remaining) COBRA premiums that Executive would be required to pay to maintain Executive’s group health insurance coverage in effect on the Termination Date for the remaining portion of the twelve (12) month period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unvested shares of restricted stock, restricted stock units, LTIP Units or other equity-based awards (i.e., shares, units or other awards then still subject to restrictions under the applicable award agreement) granted to Executive by the Employer or the Partnership, other than any awards that are or, at grant, were subject to performance-based vesting conditions beyond continued employment (“Performance-Based Awards”), shall not be forfeited on the Termination Date and shall become vested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free from such restrictions), and any unexercisable or unvested stock options or Class O LTIP Units granted to Executive by the Employer or the Partnership shall not be forfeited on the Termination Date and shall become vested and exercisable, on the Payment Date. Any unexercised stock options or Class O LTIP Units granted to Executive by the Employer or the Partnership shall remain exercisable until the second January 1 to follow the Termination Date or, if earlier, the expiration of the initial applicable term stated at the time of the grant. Any Performance-Based Awards shall be governed by their terms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such termination occurs in connection with or within eighteen (18) months after a Change-in-Control, then, in addition to the payments and benefits set forth above (or, as specifically cited below, in lieu of such payments and benefits): (A) in lieu of the severance payment set forth in Section 7(a)(ii), Executive shall receive as severance pay, in a single payment on the Payment Date, an amount in cash equal to (I) two (2) times the Annual Compensation Amount and (II) the Time-Based Severance Amount; (B) the insurance coverage or payments provided for in Section 7(a)(iii) above shall be extended from twelve (12) months to twenty-four (24) months; (C) neither Executive nor the Employer shall be required to execute the Release Agreement; and (D) if such Change-in-Control also constitutes a “change in the ownership” of the Employer, a “change in the effective control” of the Employer or a “change in ownership of a substantial portion of the assets” of the Employer, each within the meaning of Section 409A of the Code, and the regulations promulgated thereunder, then the Payment Date shall occur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this Section 7(a) or Section 7(f),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By the Employer For Cause or By Executive Without Good Reason</w:t>
      </w:r>
      <w:r>
        <w:rPr>
          <w:rFonts w:ascii="Times New Roman;Times;Serif" w:hAnsi="Times New Roman;Times;Serif"/>
          <w:b w:val="false"/>
          <w:i w:val="false"/>
          <w:caps w:val="false"/>
          <w:smallCaps w:val="false"/>
          <w:sz w:val="20"/>
        </w:rPr>
        <w:t>. If, during the Employment Period, (i) Executive is terminated by the Employer for Cause pursuant to Section 6(a)(iii) above, or (ii) Executive voluntarily terminates his employment hereunder without Good Reason pursuant to Section 6(b)(iii) above, then the Employment Period shall terminate as of the Termination Date and Executive shall be entitled to receive his earned and accrued but unpaid Base Salary on the Termination Date, but, for avoidance of doubt, shall not be entitled to any annual cash bonus for the year in which the termination occurs, severance payment, continuation of benefits or acceleration of vesting or extension of exercise period of any equity awards, except as otherwise provided in the documentation applicable to such equity awards. Other than as may be provided under Section 4, Section 8, Section 19 or Section 20 or as expressly provided in this Section 7(b) or Section 7(f),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by Reason of Death</w:t>
      </w:r>
      <w:r>
        <w:rPr>
          <w:rFonts w:ascii="Times New Roman;Times;Serif" w:hAnsi="Times New Roman;Times;Serif"/>
          <w:b w:val="false"/>
          <w:i w:val="false"/>
          <w:caps w:val="false"/>
          <w:smallCaps w:val="false"/>
          <w:sz w:val="20"/>
        </w:rPr>
        <w:t>. If Executive’s employment terminates due to his death during the Employment Period, Executive’s estate (or a beneficiary designated by Executive in writing prior to his death) shall be entitled to the following payments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thirty (30) days after the Termination Date, Executive’s estate (or a beneficiary designated by Executive in writing prior to his death) shall receive an amount equal to (A) any earned and accrued but unpaid Base Salary and (B) an amount in cash equal to (I) the Prorated Bonus and (II) if the Termination Date occurs before the annual grant of LTIP Units in January 2028 pursuant to Section 3(c), an amount equal to (a) the Time-Based Target Amount multiplied by (b) a fraction, the numerator of which is the number of days in the fiscal year having elapsed prior to the Termination Date and the denominator of which is 365 (or, in the event a Change-in-Control occurred prior to the annual grant of LTIP Units pursuant to Section 3(c) in January of the year of the Termination Date, the lesser of 1 or the fraction of a year from the Termination Date to December 31, 2028) (the “Prorated Time-Based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unvested shares of restricted stock, restricted stock units, LTIP Units or other equity-based awards (i.e., shares, units or other awards then still subject to restrictions under the applicable award agreement) granted to Executive by the Employer or the Partnership, other than any Performance-Based Awards, shall not be forfeited and shall become vested (i.e., free from such restrictions), and any unexercisable or unvested stock options or Class O LTIP Units granted to Executive by the Employer or the Partnership shall not be forfeited and shall become vested and exercisable on the date of Executive’s termination due to his death for the benefit of Executive’s estate (or a beneficiary designated by Executive in writing prior to his death). Any vested unexercised stock options or Class O LTIP Units granted to Executive by the Employer or the Partnership shall remain vested and exercisable until the earlier of (A) the date on which the term of such stock options otherwise would have expired, or (B) the second January 1 after the date of Executive’s termination due to his death. Any Performance-based Awards shall be governed by their terms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this Section 7(c) or Section 7(f),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by Reason of Disability</w:t>
      </w:r>
      <w:r>
        <w:rPr>
          <w:rFonts w:ascii="Times New Roman;Times;Serif" w:hAnsi="Times New Roman;Times;Serif"/>
          <w:b w:val="false"/>
          <w:i w:val="false"/>
          <w:caps w:val="false"/>
          <w:smallCaps w:val="false"/>
          <w:sz w:val="20"/>
        </w:rPr>
        <w:t>. In the event that Executive’s employment terminates during the Employment Period due to his disability as defined in Section 6(a)(ii) above, Executive shall be entitled to receive his earned and accrued but unpaid Base Salary on the Termination Date and Executive shall be entitled to the following payments and benefits in lieu of any further compensation for periods subsequent to the Termination Date, subject to (1) Executive’s execution of the Release Agreement, which Release Agreement the Employer shall execute within five (5) business days after such execution by Executive, and (2) the effectiveness and irrevocability of the Release Agreement with respect to Executive within thirty (30) days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Payment Date, Executive shall receive an amount equal to the Prorated Bonus and the Prorated Time-Based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as severance pay, in a single payment on the Payment Date, an amount in cash equal to the sum of the Annual Compensation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Employer shall provide the insurance coverage or make the payments described in Section 7(a)(iii) above for a period of thirty-six (36) months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unvested shares of restricted stock, restricted stock units, LTIP Units or other equity-based awards (i.e., shares, units or other awards then still subject to restrictions under the applicable award agreement) granted to Executive by the Employer or the Partnership, other than any Performance-Based Awards, shall become vested on the Termination Date. Furthermore, any vested unexercised stock options or Class O LTIP Units granted to Executive by the Employer or the Partnership shall remain vested and exercisable until the earlier of (A) the date on which the term of such stock options or Class O LTIP Units otherwise would have expired, or (B) the second January 1 after the Termination Date. Any Performance-Based Awards shall be governed by their terms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may be provided under Section 4, Section 8, Section 19 or Section 20 or as expressly provided in this Section 7(d) or Section 7(f),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Upon or After Expiration of the Employment Period</w:t>
      </w:r>
      <w:r>
        <w:rPr>
          <w:rFonts w:ascii="Times New Roman;Times;Serif" w:hAnsi="Times New Roman;Times;Serif"/>
          <w:b w:val="false"/>
          <w:i w:val="false"/>
          <w:caps w:val="false"/>
          <w:smallCaps w:val="false"/>
          <w:sz w:val="20"/>
        </w:rPr>
        <w:t>. In the event of a termination of Executive’s employment upon or after the expiration of the Employment Period by either party for any reason other than a termination of Executive’s employment by the Employer for Cause, Executive shall be entitled to receive, subject to compliance with the continuing obligations of Executive under this Agreement and further subject to Executive’s execution of the Release Agreement and non-revocation of the Release Agreement within thirty (30) days after the date of such termination, a cash payment equal to one-half of the Annual Compensation Amount, which cash payment shall be payable on the date that is six (6) months after the date of termination. Other than as may be provided under Section 4, Section 8, Section 19 or Section 20 or as expressly provided in this Section 7(e) or Section 7(f), the Employer shall have no further obligations hereunder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of the foregoing provisions to the contrary and without regard to any release requirement, Executive (or his estate, as applicable) shall be entitled to (i) receive payment for any already accrued but unused vacation days and any unreimbursed expenses already incurred on behalf of the Employer (to the extent consistent with the Employer’s expense reimbursement policies absent a termination), (ii) retain any already vested stock options or any other already vested equity-based compensation or deferred compensation (subject, in each case, to the terms of the underlying option or equity award agreement and plan (including, without limitation, any provision of an option providing for its expiration upon or within a certain number of days following termination) or deferred compensation agreement), (iii) retain all rights Executive has to obtain advancement of expenses, contribution or indemnification from the Employer and its affiliates pursuant to this Agreement, any other contract, the Employer’s and its affiliates’ charter and by-laws or similar organizational documents or otherwise, and (iv) retain any vested benefits and rights in any employee benefit plans (including 401(k) plans) in which he participated during his employment, in the case of each of (i)-(iv) above, as of the Termination Date. Nothing in this Section 7 shall be construed to limit any rights Executive may have to elect to continue his health coverage pursuant to 29 U.S.C. § 1161 et seq. (commonly known as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Executive will not be required to seek other employment or attempt to reduce any payments due to Executive under this Section 7, and any compensation (in whatever form) earned by Executive from any subsequent employment will not be offset or reduce the Employer’s obligations under this Section 7 following Executive’s termination. The Employer’s obligation to pay Executive any payments under this Section 7 will not be subject to set-off, counterclaim or recoupment of amounts owed by Executive to the Employer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Confidentiality; Prohibited Activities</w:t>
      </w:r>
      <w:r>
        <w:rPr>
          <w:rFonts w:ascii="Times New Roman;Times;Serif" w:hAnsi="Times New Roman;Times;Serif"/>
          <w:b w:val="false"/>
          <w:i w:val="false"/>
          <w:caps w:val="false"/>
          <w:smallCaps w:val="false"/>
          <w:sz w:val="20"/>
        </w:rPr>
        <w:t>. Executive and the Employer recognize that due to the nature of his employment and relationship with the Employer, Executive has access to and develops confidential business information, proprietary information, and trade secrets relating to the business and operations of the Employer. Executive acknowledges that (i) such information is valuable to the business of the Employer, (ii) subject to limited exceptions described herein, disclosure of such information to any person or entity other than the Employer would cause irreparable damage to the Employer, (iii) the principal businesses of the Employer is the Business (as defined below) and (iv) the Employer is one of the limited number of persons who have developed a business such as the Business. For purposes of this Agreement, the “Business” means the acquisition, development, management, leasing or financing of (A) any office real estate property, including without limitation the origination of first-mortgage and mezzanine debt or preferred equity financing for real estate projects throughout the New York City metropolitan area or, as of any particular date, any other metropolitan area in which the Employer was significantly engaged in any such activities within the prior twelve (12) months (measured as at least five percent (5%) of the Employer’s revenues on a trailing 12-month basis), and (B) any multi-family residential or retail real estate property located inside the borough of Manhattan with a value of at least $25,000,000. Executive further acknowledges that his duties for the Employer include the duty to develop and maintain client, customer, employee, and other business relationships on behalf of the Employer; and that access to and development of those close business relationships for the Employer render his services special, unique and extraordinary. In recognition that the goodwill and business relationships described herein are valuable to the Employer, and that loss of or damage to those relationships would destroy or diminish the value of the Employer, and in consideration of the compensation (including severance) arrangements hereunder, and other good and valuable consideration the receipt and sufficiency of which are hereby acknowledged by Executive, Executive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During the term of this Agreement (including any extensions), and at all times thereafter, Executive shall maintain the confidentiality of all confidential or proprietary information of the Employer (“Confidential Information”), and, except (i) in furtherance of the Business, (ii) in the performance of his duties, (iii) as directed or authorized by the Employer, (iv) as specifically required by law or by court order, (v) to enforce or defend Executive’s rights under this Agreement or as a part of or in any arbitration or litigation that involves Executive, on the one hand, and/or any of the Employer or any of its affiliates, on the other hand, or otherwise, or (vi) for disclosure to Executive’s advisors on a confidential basis, he shall not directly or indirectly disclose any such Confidential Information to any third party. For purposes of this Agreement, “Confidential Information” includes, without limitation: client or customer lists, identities, contacts, business and financial information (excluding those of Executive prior to employment with Employer); investment strategies; pricing information or policies; fees or commission arrangements of the Employer; marketing plans, projections, presentations or strategies of the Employer; financial and budget information of the Employer; new personnel acquisition plans; and all other proprietary business related information which has not been publicly disclosed by the Employer. This restriction shall apply regardless of whether such Confidential Information is in written, graphic, recorded, photographic, data or any machine-readable form or is orally conveyed to, or memorized by, Executive. Notwithstanding anything herein to the contrary, Confidential Information shall not be deemed to include information that (w) is or becomes generally available to the public other than as a result of a prohibited disclosure by Executive or at Executive’s direction or by any other person who directly or indirectly receives such information from Executive, (x) is or becomes available to Executive on a non-confidential basis from a source which is entitled to disclose it to Executive, (y) is previously known by Executive prior to his receipt of such information from the Employer, or (z) is information that is required to be disclosed in order to comply with any applicable law or court order. For the avoidance of doubt, Section 8(a) shall not interfere with Executive’s rights to retain copies of any documents or data relating to Executive’s compensation and benefits (including, without limitation, copies of this Agreement, and side letters and any documents relating to any of Executive’s equity-based award rights or other compensation and benefits) and/or discuss the same with Executive’s immediate family or advisors on a confidential basis. In addition, nothing in this Agreement shall be interpreted or applied to prohibit Executive from disclosing matters that are protected under any applicable whistleblower laws, including reporting possible violations of laws or regulations, or responding to inquiries from, or testifying before, any governmental agency or self-regulating authority, all without notice to or consent from the Employer, nor shall anything in this Agreement be interpreted or applied to prohibit the Employer from reporting possible violations of laws or regulations, or responding to inquiries from, or testifying before, any governmental agency of self-regulating authority, all without notice to or consent from Executive. Additionally, Executive is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Prohibited Activities</w:t>
      </w:r>
      <w:r>
        <w:rPr>
          <w:rFonts w:ascii="Times New Roman;Times;Serif" w:hAnsi="Times New Roman;Times;Serif"/>
          <w:b w:val="false"/>
          <w:i w:val="false"/>
          <w:caps w:val="false"/>
          <w:smallCaps w:val="false"/>
          <w:sz w:val="20"/>
        </w:rPr>
        <w:t>. Because Executive’s services to the Employer are essential and because Executive has access to the Employer’s Confidential Information, Executive covenants and agrees that, so long as the Employer has not materially breached its obligations to Executive under this Agreement (or, in the event such breach has occurred, the Employer has cured such breach within sixty (60) days of Executive providing the Employer with written notice of such breach, or such breach only occurred following a material breach by Executive of his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Employment Period, any period thereafter during which Executive remains employed by the Employer and for the Non-Compete Period (as defined below), Executive will not, anywhere in the United States, without the prior written consent of the Board which shall include the unanimous consent of the Directors other than any other officer of the Employer, directly or indirectly (individually, or through or on behalf of another entity as owner, partner, agent, employee, consultant, or in any other capacity), engage, participate or assist, as an owner, partner, employee, consultant, director, officer, trustee or agent, in any element of the Business, subject, however, to Section 8(c)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Employment Period, any period thereafter during which Executive remains employed by the Employer and (x) in the case of clause (A) below, the 18-month period following the termination of Executive by either party for any reason (including upon or after the scheduled expiration of the term of this Agreement (including any extensions)) other than a termination in connection with or within eighteen (18) months after a Change-in-Control that constitutes a termination either by the Employer without Cause or by Executive with Good Reason, or (y) the one-year period following such termination in the case of clause (B) below, Executive will not, without the prior written consent of the Board which shall include the unanimous consent of the Directors who are not officers of the Employer, directly or indirectly (individually, or through or on behalf of another entity as owner, partner, agent, employee, consultant, or in any other capacity), (A) solicit, encourage, or engage in any activity to induce any employee of the Employer to terminate employment with the Employer, or to become employed by, or to enter into a business relationship with, any other person or entity, except to the extent that any such solicitation, encouragement or engagement is directly in furtherance of the performance of Executive’s duties to the Employer as set forth in this Agreement or (B) solicit, encourage, or engage in any activity to induce any prospective party to a transaction with the Employer (including, without limitation, potential purchases, sales or leases of real estate assets) that is under agreement, negotiation or active consideration by the Employer to not enter into or complete such transaction with the Employer (or to only do so on terms less favorable to the Employer than otherwise would have been obtained); provided that, following the termination of Executive, this clause (B) shall only apply to transactions that were under agreement, negotiation or active consideration by the Employer during the six-month period prior to such termination. For purposes of this subsection, the term “employee” means any individual who is an employee of or exclusive consultant to the Employer (or any affiliate) during the six-month period prior to Executive’s last day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8(b)(ii) shall not be construed to restrict or limit (i) general employee-related advertising not targeted at employees of the Employer, (ii) Executive’s ability to provide employment references regarding particular individuals upon request, (iii) Executive’s responding to a request from any former employee of the Employer or any of its affiliates for advice on employment matters or (iv) actions taken by any third party with which Executive is associated if Executive is not personally involved in any manner in the matter and has not identified such employee or prospective party for solicitation, hiring or inducement.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“Non-Compete Period” means the 6-month period following the termination of Executive by either party for any reason, including any termination of Executive’s employment upon or after the expiration of the Employment Period without any early termination under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Investments/Activities</w:t>
      </w:r>
      <w:r>
        <w:rPr>
          <w:rFonts w:ascii="Times New Roman;Times;Serif" w:hAnsi="Times New Roman;Times;Serif"/>
          <w:b w:val="false"/>
          <w:i w:val="false"/>
          <w:caps w:val="false"/>
          <w:smallCaps w:val="false"/>
          <w:sz w:val="20"/>
        </w:rPr>
        <w:t>. Notwithstanding anything contained herein to the contrary, Executive is not prohibited by this Section 8 from (i) engaging in any activities permitted under Section 2(b); (ii) being employed by or providing services to an entity if a subsidiary, division, unit or other affiliate of such entity engages in the Business, so long as Executive does not have oversight of, is not involved in and does not participate in any way in the operations, activities or business of such subsidiary, division, unit or other affiliate (including, without limitation, oversight, participation, communications or other involvement in any manner in strategic planning or decision-making relating to such operations, activities or business); or (iii) making investments (A) expressly disclosed to the Employer in writing before the date hereof; (B) solely for investment purposes and without participating in the business in which the investments are made, in any entity that engages, directly or indirectly, in the acquisition, development, construction, operation, management, financing or leasing of office real estate properties, regardless of where they are located, if (x) Executive’s aggregate investment in each such entity constitutes less than five percent (5%) of the equity ownership of such entity, (y) the investment in the entity is in securities traded on any national securities exchange or limited partnership (or similar equity interests) in a private fund, and (z) Executive is not a controlling person of, or a member of a group which controls, such entity; or (C) if the investment is made in (1) assets other than Competing Properties (including, without limitation, multi-family residential or retail real estate properties located outside of New York City) or (2) any entity other than one that is engaged, directly or indirectly, in the acquisition, development, construction, operation, management, financing or leasing of Competing Properties. For purposes of this Agreement, a “Competing Property” means: (i) an office real estate property located outside of New York City, unless the property (A) is not an appropriate investment opportunity for the Employer (as determined by the Board in good faith), (B) is not directly competitive with the Business of the Employer and (C) has a fair market value at the time Executive’s investment is made of less than $25,000,000, (ii) an office real estate property located in New York City or (iii) a multi-family residential or retail real estate property located in Manhattan having a fair market at the time Executive’s investment is made of more than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Employer Property</w:t>
      </w:r>
      <w:r>
        <w:rPr>
          <w:rFonts w:ascii="Times New Roman;Times;Serif" w:hAnsi="Times New Roman;Times;Serif"/>
          <w:b w:val="false"/>
          <w:i w:val="false"/>
          <w:caps w:val="false"/>
          <w:smallCaps w:val="false"/>
          <w:sz w:val="20"/>
        </w:rPr>
        <w:t>. Executive acknowledges that all originals and copies of materials, records and documents generated by him or coming into his possession during his employment by the Employer are the sole property of the Employer (“Employer Property”). During his employment, and at all times thereafter, Executive shall not remove, or cause to be removed, from the premises of the Employer, copies of any record, file, memorandum, document, computer related information or equipment, or any other item relating to the business of the Employer, except as required by law or legal process or in furtherance of his duties under this Agreement. When Executive terminates his employment with the Employer, upon request by the Employer, Executive shall promptly deliver to the Employer all originals and copies of Employer Property in his possession or control and shall not retain any tangible (whether written or electronic, but excluding unaccessed electronic backup copies) originals or copies in any form, except that Executive may retain copies (in any form) of his Rolodex, address book and similar contact information. For the avoidance of doubt, this Section 8(d) shall not interfere with Executive’s rights to retain copies of any documents or data (in any form) relating to Executive’s compensation and benefits (including, without limitation, copies of this Agreement, and side letters and any documents relating to any of Executive’s equity-based award rights or other compensation and benefits) and/or discuss the same with Executive’s advisors or immediate family (in each case, on a confidential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Disparagement</w:t>
      </w:r>
      <w:r>
        <w:rPr>
          <w:rFonts w:ascii="Times New Roman;Times;Serif" w:hAnsi="Times New Roman;Times;Serif"/>
          <w:b w:val="false"/>
          <w:i w:val="false"/>
          <w:caps w:val="false"/>
          <w:smallCaps w:val="false"/>
          <w:sz w:val="20"/>
        </w:rPr>
        <w:t>. For one (1) year following termination of Executive’s employment for any reason, Executive shall not intentionally disclose or cause to be disclosed any negative, adverse or derogatory comments or information about (i) the Employer and its parent, affiliates or subsidiaries, if any; (ii) any product or service provided by the Employer and its parent, affiliates or subsidiaries, if any; or (iii) the Employer’s and its parent’s, affiliates’ or subsidiaries’ prospects for the future. For one (1) year following termination of Executive’s employment for any reason, the Employer shall not disclose or cause to be disclosed any negative, adverse or derogatory comments or information (whether of a professional or personal nature) about Executive. Nothing in this Section shall prohibit either the Employer or Executive from (v) testifying truthfully in any legal or administrative proceeding or otherwise truthfully responding to any other request for information or testimony that Executive is legally required to respond to, (w) making any truthful statement to the extent necessary to rebut any untrue public statements made by another party, (x) making any legally required disclosures, and/or discussing any of the above with the Employer’s legal advisors or Executive’s legal advisors on a confidential basis, or (y) making any statement as part of or in any arbitration or court proceeding that involves Executive, on the one hand, and/or any of the Employer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Executive declares that the foregoing limitations in Sections 8(a) through 8(e) above are reasonable and necessary for the adequate protection of the business and the goodwill of the Employer. If any restriction contained in this Section 8 shall be deemed to be invalid, illegal or unenforceable by reason of the extent, duration or scope thereof, or otherwise, then the court making such determination shall have the right to reduce such extent, duration, scope, or other provisions hereof to make the restriction consistent with applicable law, and in its reduced form such restriction shall then be enforceable in the manner contemplated hereby. In the event that Executive breaches any of the promises contained in this Section 8, Executive acknowledges that the Employer’s remedy at law for damages will be inadequate and that the Employer may be entitled to specific performance, a temporary restraining order or preliminary injunction to prevent Executive’s prospective or continuing breach and to maintain the status quo. The existence of this right to injunctive relief, or other equitable relief, or the Employer’s exercise of any of these rights, shall not limit any other rights or remedies the Employer may have in law or in equity, including, without limitation, the right to arbitration contained in Section 9 hereof and the right to compensatory and monetary damages. Executive and the Employer hereby agree to waive his and its right to a jury trial with respect to any action commenced to enforce the terms of this Agreement. Executive shall have remedies comparable to those of the Employer as set forth above in this Section 8(f) if the Employer breaches Section 8(e).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Transition.</w:t>
      </w:r>
      <w:r>
        <w:rPr>
          <w:rFonts w:ascii="Times New Roman;Times;Serif" w:hAnsi="Times New Roman;Times;Serif"/>
          <w:b w:val="false"/>
          <w:i w:val="false"/>
          <w:caps w:val="false"/>
          <w:smallCaps w:val="false"/>
          <w:sz w:val="20"/>
        </w:rPr>
        <w:t xml:space="preserve"> Regardless of the reason for his departure from the Employer, Executive agrees that at the Employer’s sole costs and expense, for a period of not more than thirty (30) days after termination of Executive, he shall take all steps reasonably requested by the Employer to effect a successful transition of client and customer relationships to the person or persons designated by the Employer, subject to Executive’s obligations to his new employer,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Cooperation with Respect to Litigation</w:t>
      </w:r>
      <w:r>
        <w:rPr>
          <w:rFonts w:ascii="Times New Roman;Times;Serif" w:hAnsi="Times New Roman;Times;Serif"/>
          <w:b w:val="false"/>
          <w:i w:val="false"/>
          <w:caps w:val="false"/>
          <w:smallCaps w:val="false"/>
          <w:sz w:val="20"/>
        </w:rPr>
        <w:t>. During the Employment Period and at all times thereafter, Executive agrees to give prompt written notice to the Employer of any formally asserted written claim relating to the Employer and to cooperate, in good faith, with the Employer in connection with any and all pending, potential or future claims, investigations or actions which directly or indirectly relate to any action, event or activity about which Executive has or is reasonably believed by the Employer to have direct material knowledge in connection with or as a result of his employment by the Employer hereunder, provided that Executive is not waiving any legal rights he may have. Such cooperation will include all assistance that the Employer, its counsel or its representatives may reasonably request, including reviewing documents, meeting with counsel, providing factual information and material, and appearing or testifying as a witness; provided, however, that the Employer will reimburse Executive for all reasonable expenses, including travel, lodging and meals, and reasonable legal fees and expenses (except to the extent that legal representation is provided by the Employer at the Employer’s expense) incurred by him in fulfilling his obligations under this Section 8(h) and, except as may be required by law or by court order, should Executive then be employed by an entity other than the Employer, such cooperation will not materially interfere with Executive’s then current employment or his efforts to obtain new employment. In addition, for all time that Executive reasonably expends at the request of the Employer in cooperating with the Employer pursuant to this Section 8(h) when Executive is no longer employed by the Employer, the Employer shall compensate Executive at a per diem rate equal to the sum of (A) Base Salary in Executive’s last fiscal year of employment during the Employment Period plus (B) Executive’s actual Annual Cash Bonus for the last full fiscal year of employment during the Employment Period for which such a bonus was determined, divided by two hundred and twenty (220); provided that Executive’s right to such compensation shall not apply to time spent in activities that could have been compelled pursuant to a subpoena, including testimony and related attendance at depositions, hearings or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Section 8 and any other provisions relating to the enforcement thereof shall survive termination of Executive’s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Any controversy or claim arising out of or relating to this Agreement or the breach of this Agreement (other than a controversy or claim arising under Section 8, to the extent necessary for the Employer (or its affiliates, where applicable) to avail itself of the rights and remedies referred to in Section 8(f)) that is not resolved by Executive and the Employer (or its affiliates, where applicable) shall be submitted to binding arbitration by the American Arbitration Association in New York, New York in accordance with New York law and the Commercial Arbitration Rules (the “Rules”) of the American Arbitration Association (the “AAA”), and a neutral arbitrator will selected in a manner consistent with such Rules. Such arbitration shall be confidential and private and conducted in accordance with the Rules. Any such arbitration proceeding shall take place in New York City before a single arbitrator (rather than a panel of arbitrators). Each party shall bear its respective costs (including attorney’s fees, and there shall be no award of attorney’s fees. Judgment upon the final award(s) rendered by such arbitrator, after giving effect to the AAA internal appeals process, may be entered in any court having jurisdiction thereof. The determination of the arbitrator shall be conclusive and binding on the Employer (or its affiliates, where applicable) and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Conflicting Agreements</w:t>
      </w:r>
      <w:r>
        <w:rPr>
          <w:rFonts w:ascii="Times New Roman;Times;Serif" w:hAnsi="Times New Roman;Times;Serif"/>
          <w:b w:val="false"/>
          <w:i w:val="false"/>
          <w:caps w:val="false"/>
          <w:smallCaps w:val="false"/>
          <w:sz w:val="20"/>
        </w:rPr>
        <w:t>. Executive hereby represents and warrants that the execution of this Agreement and the performance of his obligations hereunder will not breach or be in conflict with any other agreement to which he is a party or is bound, and that he is not now subject to any covenants against competition or similar covenants which would affect the performance of his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hereunder shall be in writing and shall be delivered by hand and or sent by email (with electronic return receipt) or sent, postage prepaid, by registered or certified mail or overnight courier service and shall be deemed given when so delivered by hand, if emailed, the same day as it is sent if during normal business hours (or if not, then the next business day), or, if mailed, three (3) days after mailing (or one (1) business day in the case of express mail or overnight courier service),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DiLiberto, at the last home address on the books and records of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br/>
        <w:t>One Vanderbilt Avenue</w:t>
        <w:br/>
        <w:t>New York, New York 10017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Chief Legal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Northern Avenue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 02210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Ettore A. Santucci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esantucci@goodwinlaw.com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as either party may from time to time specify by written notice to the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or modification of this Agreement shall be effective unless it shall be in writing and signed by the parties hereto. No waiver of rights under this Agreement shall be effective against any party hereto unless in writing and signed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any portion thereof) or the application of any such provision (or any portion thereof) to any person or circumstances shall be held invalid, illegal or unenforceable in any respect by a court of competent jurisdiction, such invalidity, illegality or unenforceability shall not affect any other provision hereof (or the remaining portion hereof) or the application of such provision to any other persons or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The Employer shall be entitled to withhold from any payments or deemed payments any amount of tax withholding it determines to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both parties and their respective successors and assigns, including any corporation with which or into which the Employer may be merged or which may succeed to its assets or business, provided, however, that the obligations of Executive are personal and shall not be assigned by him. This Agreement shall inure to the benefit of and be enforceable by Executive’s personal and legal representatives, executors, administrators, assigns, heirs, distributees, devisees and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all of which shall be considered one and the same agreement, and shall become effective when one or more such counterparts have been signed by each of the parties and delivered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New York applicable to agreements made and to be performed entirely within such State, without regard to the conflicts of law principles of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Choice of Venue</w:t>
      </w:r>
      <w:r>
        <w:rPr>
          <w:rFonts w:ascii="Times New Roman;Times;Serif" w:hAnsi="Times New Roman;Times;Serif"/>
          <w:b w:val="false"/>
          <w:i w:val="false"/>
          <w:caps w:val="false"/>
          <w:smallCaps w:val="false"/>
          <w:sz w:val="20"/>
        </w:rPr>
        <w:t>. Subject to the provisions of Section 9, Executive and the Employer each agree to submit to the jurisdiction of the United States District Court for the Southern District of New York or the Supreme Court of the State of New York, New York County, for the purpose of any action to enforce any of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tab/>
        <w:t>     </w:t>
        <w:tab/>
        <w:t>     </w:t>
      </w:r>
      <w:r>
        <w:rPr>
          <w:rFonts w:ascii="Times New Roman;Times;Serif" w:hAnsi="Times New Roman;Times;Serif"/>
          <w:b w:val="false"/>
          <w:i w:val="false"/>
          <w:caps w:val="false"/>
          <w:smallCaps w:val="false"/>
          <w:sz w:val="20"/>
          <w:u w:val="single"/>
        </w:rPr>
        <w:t>Parachutes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this Agreement, if all or any portion of the payments and benefits provided under this Agreement (including without limitation any accelerated vesting and any other payment or benefit received in connection with a Change-in-Control or the termination of Executive’s employment), or any other payments and benefits which Executive receives or is entitled to receive under any plan, program, arrangement or other agreement, whether from the Employer or an affiliate of the Employer, or any combination of the foregoing, would constitute an excess “parachute payment” within the meaning of Section 280G of the Code (whether or not under an existing plan, arrangement or other agreement) (each such parachute payment, a “Parachute Payment”), and would result in the imposition on Executive of an excise tax under Section 4999 of the Code or any successor thereto, then the following provisions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Parachute Payments, reduced by the sum of (1) the Excise Tax and (2) the total of the federal, state, and local income and employment taxes payable by Executive on the amount of the Parachute Payments which is in excess of the Threshold Amount, are greater than or equal to the Threshold Amount, Executive shall be entitled to the full benefits payable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Threshold Amount is less than (x) the Parachute Payments, but greater than (y) the Parachute Payments reduced by the sum of (1) the Excise Tax and (2) the total of the federal, state, and local income and employment taxes on the amount of the Parachute Payments which is in excess of the Threshold Amount, then the Parachute Payments shall be reduced (but not below zero) to the extent necessary so that the Parachute Payment shall not exceed the Threshold Amount. In such event, the Parachute Payments shall be reduced in the following order, in each case, in reverse chronological order beginning with the Parachute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Parachute Payments all amounts or payments that are not subject to calculation under Treas. Reg. §1.280G-1, Q&amp;A-24(b) or (c) shall be reduced before any amounts that are subject to calculation under Treas. Reg. §1.280G-1, Q&amp;A-24(b) or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purposes of this Section 19, “Threshold Amount” shall mean three times Executive’s “base amount” within the meaning of Section 280G(b)(3) of the Code and the regulations promulgated thereunder less one dollar ($1.00); and “Excise Tax” shall mean the excise tax imposed by Section 4999 of the Code, and any interest or penalties incurred by Executive with respect to such excise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determination as to which of the alternative provisions of Section 19(a) shall apply to Executive shall be made at the Employer’s expense by a certified public accounting firm of national reputation reasonably selected by the Employer and approved of by Executive, with such approval not to be unreasonably withheld (the “Accountant”), which shall provide detailed supporting calculations both to the Employer and Executive within fifteen (15) business days of the date of termination, if applicable, or at such earlier time as is reasonably requested by the Employer or Executive. Executive and the Employer shall provide the Accountant with all information which the Accountant reasonably deems necessary in computing the Threshold Amount. For purposes of determining which of the alternative provisions of Section 19(a) shall apply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For purposes of determining whether and the extent to which the Parachute Payments will be subject to the Excise Tax, (i) no portion of the Parachute Payments the receipt or enjoyment of which Executive shall have waived at such time and in such manner as not to constitute a “payment” within the meaning of Section 280G(b) of the Code shall be taken into account; (ii) no portion of the Parachute Payments shall be taken into account which, in the written opinion of the Accountant, does not constitute a “parachute payment” within the meaning of Section 280G(b)(2) of the Code (including by reason of Section 280G(b)(4)(A) of the Code) and, in calculating the Excise Tax, no portion of such Parachute Payments shall be taken into account which, in the opinion of the Accountant,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Parachute Payments shall be determined by the Accountant in accordance with the principles of Sections 280G(d)(3) and (4) of the Code. Any determination by the Accountant shall be binding upon the Employer and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tab/>
        <w:t>     </w:t>
        <w:tab/>
        <w:t>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Anything in this Agreement to the contrary notwithstanding, if at the time of Executive’s separation from service within the meaning of Section 409A of the Code, the Employer determines that Executive is a “specified employee” within the meaning of Section 409A(a)(2)(B)(i) of the Code, then to the extent any payment or benefit that Executive becomes entitled to under this Agreement on account of Executive’s separation from service would be considered deferred compensation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Any payments delayed pursuant to this Section 20(a) shall bear interest during the period of such delay at the simple rate of five percent (5%)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intend that this Agreement will be administered in accordance with Section 409A of the Code and that the compensation arrangements under this Agreement be either exempt from or in full compliance with Section 409A of the Code. This Agreement shall be construed in a manner to give effect to such intention.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payment under this Agreement or otherwise (including any installment payments) shall be treated as a separate payment for purposes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in-kind benefits provided and expenses eligible for reimbursement under this Agreement must be provided by the Employer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Employer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Executive acknowledges that Executive is subject to the Employer’s Compensation Recovery Policy, adopted as of September 27, 2023, and effective as of October 2, 2023, which Executive acknowledges and agrees that Executive has reviewed.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(including, without limit, any attached exhibits hereto and any equity and award agreements referred to herein or therein) contains the entire agreement and understanding between the parties hereto with respect to the subject matter hereof and, as of the Effective Date, supersedes all prior agreements and understandings relating to such subject matter, including, without limitation, the Prior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provision in this Agreement shall be construed to adversely affect any of Executive’s rights to compensation or benefits (including equity compensation) payable in accordance with the terms of the Prior Agreement (and applicable equity award agreements) or any of Executive’s rights to indemnification with respect to Executive’s service under the Prior Agreement. The parties hereto shall not be liable or bound to any other party in any manner by any representations, warranties or covenants relating to such subject matter except as specifically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Section Headings</w:t>
      </w:r>
      <w:r>
        <w:rPr>
          <w:rFonts w:ascii="Times New Roman;Times;Serif" w:hAnsi="Times New Roman;Times;Serif"/>
          <w:b w:val="false"/>
          <w:i w:val="false"/>
          <w:caps w:val="false"/>
          <w:smallCaps w:val="false"/>
          <w:sz w:val="20"/>
        </w:rPr>
        <w:t>. Section headings used in this Agreement are included for convenience of reference only and will not affect the meaning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Board Approval</w:t>
      </w:r>
      <w:r>
        <w:rPr>
          <w:rFonts w:ascii="Times New Roman;Times;Serif" w:hAnsi="Times New Roman;Times;Serif"/>
          <w:b w:val="false"/>
          <w:i w:val="false"/>
          <w:caps w:val="false"/>
          <w:smallCaps w:val="false"/>
          <w:sz w:val="20"/>
        </w:rPr>
        <w:t>. The Employer represents that the Board (or the Compensation Committee thereof) has approved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is entered into as of the date and year first written above.</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320"/>
        <w:gridCol w:w="2450"/>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 Holliday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Marc Holliday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240" w:type="dxa"/>
        <w:jc w:val="left"/>
        <w:tblInd w:w="0" w:type="dxa"/>
        <w:tblLayout w:type="fixed"/>
        <w:tblCellMar>
          <w:top w:w="0" w:type="dxa"/>
          <w:left w:w="0" w:type="dxa"/>
          <w:bottom w:w="0" w:type="dxa"/>
          <w:right w:w="0" w:type="dxa"/>
        </w:tblCellMar>
      </w:tblPr>
      <w:tblGrid>
        <w:gridCol w:w="2165"/>
        <w:gridCol w:w="75"/>
      </w:tblGrid>
      <w:tr>
        <w:trPr/>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DiLiberto</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Matthew DiLiberto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Employment and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Time-Based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LTIP Units granted pursuant to Section 3(c) of this Agreement will be granted pursuant to definitive documentation consistent with the Employer’s general practices for documentation for such awards, subject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agreements will provide that Executive may not sell, assign, transfer, or otherwise encumber or dispose of the LTIP Units until the earlier of (i) the date that is three years after the grant date of such LTIP Units, (ii) the termination of Executive’s employment or (iii) a Change-in-Control.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agreements will provide for cash distributions to be paid (and not to be forfeitable or repayable) on all LTIP Units granted whether vested or not on a current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agreements will provide for full acceleration of vesting of the LTIP Units in the event of any of (i) Executive’s termination for Good Reason (including in connection with, or within 18 months of, a Change in Control) or if Executive is terminated without Cause, (ii) Executive’s termination of employment due to death or disability, or (iii) Executive’s resignation following the expiration of the Employment Period, in any case, regardless of whether such termination occurs during the Employment Period or thereafter. Other terminations prior to time-based vesting or acceleration will result in forfeiture of all unvested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Performance-Based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LTIP Units granted pursuant to Section 3(d) of this Agreement will be granted pursuant to definitive documentation consistent with the Employer’s general practices for documentation for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Matthew DiLiberto (hereinafter referred to as “</w:t>
      </w:r>
      <w:r>
        <w:rPr>
          <w:rFonts w:ascii="Times New Roman;Times;Serif" w:hAnsi="Times New Roman;Times;Serif"/>
          <w:b/>
          <w:i/>
          <w:caps w:val="false"/>
          <w:smallCaps w:val="false"/>
          <w:sz w:val="20"/>
        </w:rPr>
        <w:t>Executive</w:t>
      </w:r>
      <w:r>
        <w:rPr>
          <w:rFonts w:ascii="Times New Roman;Times;Serif" w:hAnsi="Times New Roman;Times;Serif"/>
          <w:b w:val="false"/>
          <w:i w:val="false"/>
          <w:caps w:val="false"/>
          <w:smallCaps w:val="false"/>
          <w:sz w:val="20"/>
        </w:rPr>
        <w:t>”) and SL Green Realty Corp., a Maryland corporation (hereinafter referred to as “</w:t>
      </w:r>
      <w:r>
        <w:rPr>
          <w:rFonts w:ascii="Times New Roman;Times;Serif" w:hAnsi="Times New Roman;Times;Serif"/>
          <w:b/>
          <w:i/>
          <w:caps w:val="false"/>
          <w:smallCaps w:val="false"/>
          <w:sz w:val="20"/>
        </w:rPr>
        <w:t>Employer</w:t>
      </w:r>
      <w:r>
        <w:rPr>
          <w:rFonts w:ascii="Times New Roman;Times;Serif" w:hAnsi="Times New Roman;Times;Serif"/>
          <w:b w:val="false"/>
          <w:i w:val="false"/>
          <w:caps w:val="false"/>
          <w:smallCaps w:val="false"/>
          <w:sz w:val="20"/>
        </w:rPr>
        <w:t>”) are parties to an Amended and Restated Employment and Noncompetition Agreement, dated as of February 27, 2026 (the “</w:t>
      </w:r>
      <w:r>
        <w:rPr>
          <w:rFonts w:ascii="Times New Roman;Times;Serif" w:hAnsi="Times New Roman;Times;Serif"/>
          <w:b/>
          <w:i/>
          <w:caps w:val="false"/>
          <w:smallCaps w:val="false"/>
          <w:sz w:val="20"/>
        </w:rPr>
        <w:t>Employment Agreement</w:t>
      </w:r>
      <w:r>
        <w:rPr>
          <w:rFonts w:ascii="Times New Roman;Times;Serif" w:hAnsi="Times New Roman;Times;Serif"/>
          <w:b w:val="false"/>
          <w:i w:val="false"/>
          <w:caps w:val="false"/>
          <w:smallCaps w:val="false"/>
          <w:sz w:val="20"/>
        </w:rPr>
        <w:t>”), which provided for Executive’s employment with Employer on the terms and conditions specified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7 of the Employment Agreement, Executive has agreed to execute a General Release of the type and nature set forth herein as a condition to his entitlement to certain payments and benefits upon his termination of employment with Employer;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mutual promises herein contained and for other good and valuable consideration received or to be received by Executive in accordance with the terms of the Employment Agreement, it is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Excluding enforcement of the covenants, promises and/or rights reserved herein (including but not limited to those contained in paragraph 3 below), (a) Executive hereby irrevocably and unconditionally waives, releases, settles (gives up),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the “</w:t>
      </w:r>
      <w:r>
        <w:rPr>
          <w:rFonts w:ascii="Times New Roman;Times;Serif" w:hAnsi="Times New Roman;Times;Serif"/>
          <w:b/>
          <w:i/>
          <w:caps w:val="false"/>
          <w:smallCaps w:val="false"/>
          <w:sz w:val="20"/>
        </w:rPr>
        <w:t>Releasees</w:t>
      </w:r>
      <w:r>
        <w:rPr>
          <w:rFonts w:ascii="Times New Roman;Times;Serif" w:hAnsi="Times New Roman;Times;Serif"/>
          <w:b w:val="false"/>
          <w:i w:val="false"/>
          <w:caps w:val="false"/>
          <w:smallCaps w:val="false"/>
          <w:sz w:val="20"/>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any claims for salary, salary increases, alleged promotions, expanded job responsibilities, constructive discharge, misrepresentation, bonuses, equity awards of any kind, severance payments, unvested retirement benefits, vacation entitlements, benefits, moving expenses, business expenses, attorneys’ fees, any claims which he may have under any contract or policy (whether such contract or policy is written or oral, express or implied), rights arising out of alleged violations of any covenant of good faith and fair dealing (express or implied), any tort, any legal restrictions on Employer’s right to terminate employees and any claims which he may have based upon any Federal, state or other governmental statute, regulation or ordinance, including, without limitation, Title VII of the Civil Rights Act of 1964, as amended, the Federal Age Discrimination In Employment Act of 1967, as amended (“ADEA”), the Employee Retirement Income Security Act of 1974, as amended (“ERISA”), the American with Disabilities Act, as amended (“ADA”), the Civil Rights Act of 1991, as amended, the Rehabilitation Act of 1973, as amended, the Older Workers Benefit Protection Act, as amended (“OWBPA”), the Worker Adjustment Retraining and Notification Act, as amended (“WARN”), the Fair Labor Standards Act, as amended (“FLSA”), the Occupational Safety and Health Act of 1970 (“OSHA”), the Family and Medical Leave Act of 1993, as amended (“FMLA”), the New York State Human Rights Law, as amended, the New York Labor Act, as amended, the New York Equal Pay Law, as amended, the New York Civil Rights Law, as amended, the New York Rights of Persons With Disabilities Law, as amended, the New York Equal Rights Law, as amended, the Sarbanes-Oxley Act of 2002, as amended (“SOX”), and Section 409A of the Internal Revenue Code of 1986, as amended (“Section 409A”), that Executive now has, or has ever had, or ever shall have, against each or any of the Releasees, by reason of any and all acts, omissions, events, circumstances or facts existing or occurring up through the date of Executive’s execution hereof that directly or indirectly arise out of, relate to, or are connected with, Executive’s services to, or employment by Employer (any of the foregoing being a “</w:t>
      </w:r>
      <w:r>
        <w:rPr>
          <w:rFonts w:ascii="Times New Roman;Times;Serif" w:hAnsi="Times New Roman;Times;Serif"/>
          <w:b/>
          <w:i/>
          <w:caps w:val="false"/>
          <w:smallCaps w:val="false"/>
          <w:sz w:val="20"/>
        </w:rPr>
        <w:t>Claim</w:t>
      </w:r>
      <w:r>
        <w:rPr>
          <w:rFonts w:ascii="Times New Roman;Times;Serif" w:hAnsi="Times New Roman;Times;Serif"/>
          <w:b w:val="false"/>
          <w:i w:val="false"/>
          <w:caps w:val="false"/>
          <w:smallCaps w:val="false"/>
          <w:sz w:val="20"/>
        </w:rPr>
        <w:t>” or, collectively, the “</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preclude Executive from exercising any legally protected whistleblower rights (including under Rule 21F under the Securities Exchange Act of 1934, as amended) or rights concerning the defense of trade secrets pursuant to Section 1833 of title 18 of the United States Code; and (b) Executive will not now, or in the future, accept any recovery (including monetary damages or any form of personal relief) in any forum, nor will he pursue or institute any Claim against any of the Releasees, except that this shall not apply to any rights to pursue any Claim that Executive may have to receive an award pursuant to the whistleblower provisions of any applicable law or regulation for providing information to the Securities and Exchange Commission or any other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Employer hereby irrevocably and unconditionally waives, releases, settles (gives up), acquits and forever discharges Executive and each of his respective heirs, executors, administrators, representatives, agents, successors and assigns (“</w:t>
      </w:r>
      <w:r>
        <w:rPr>
          <w:rFonts w:ascii="Times New Roman;Times;Serif" w:hAnsi="Times New Roman;Times;Serif"/>
          <w:b/>
          <w:i/>
          <w:caps w:val="false"/>
          <w:smallCaps w:val="false"/>
          <w:sz w:val="20"/>
        </w:rPr>
        <w:t>Executive Parties</w:t>
      </w:r>
      <w:r>
        <w:rPr>
          <w:rFonts w:ascii="Times New Roman;Times;Serif" w:hAnsi="Times New Roman;Times;Serif"/>
          <w:b w:val="false"/>
          <w:i w:val="false"/>
          <w:caps w:val="false"/>
          <w:smallCaps w:val="false"/>
          <w:sz w:val="20"/>
        </w:rPr>
        <w:t xml:space="preserve">”),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that Employer now has, or has ever had, or ever shall have, against Executive Parties, by reason of any and all acts, omissions, events, circumstances or facts existing or occurring through the date of Employer execution of this General Release that directly or indirectly arise out of, relate to, or are connected with, Executive’s services to, or employment by Employer;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General Release shall not apply to (x) any of the continuing obligations of Executive under the Employment Agreement, or under any agreements, plans, contracts, documents or programs described or referenced in the Employment Agreement or (y) claims against Executive relating to or arising out of any act of fraud, intentional misappropriation of funds, embezzlement or any other action with regard to Employer or any of its affiliated companies that constitutes a felony under any federal or state statute committed by Executive during the course of Executive’s employment with Employer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Notwithstanding the foregoing, neither Employer nor Executive has waived and/or relinquished any rights it or he may have to file any Claim that cannot be waived and/or relinquished pursuant to applicable laws, including, in the case of Executive, the right to file a charge or participate in any investigation with the Equal Employment Opportunity Commission or any other governmental or administrative agency that is responsible for enforcing a law on behalf of the government;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Executive does waive the right to receive any monetary or other recovery, should any agency or any other person pursue any claims on Executive’s behalf arising out of any claim released pursuant to this Agreement, except that such waiver does not apply to any right to recover any amounts pursuant to the exception set forth in Section 1(b) above. Moreover, this General Release shall not apply to (a) any of the continuing obligations of Employer or any other Releasee under the Employment Agreement (including, without limitation, Executive’s rights to indemnification, advancement of expenses and directors’ and officers’ insurance coverage), or under any agreements, plans, contracts, documents or programs described or referenced in the Employment Agreement or any other written agreement entered into between Executive and Employer or any of its affiliates, (b) any rights Executive may have to obtain contribution or indemnity against Employer or any other Releasee pursuant to contract, Employer’s or its affiliates’ charter and by-laws or similar organizational documents or otherwise, (c) any rights Executive may have to enforce the terms of this General Release or the Employment Agreement (including, without limitation, enforcing Employer’s obligation to provide severance payments and benefits and accelerated vesting of equity awards), (d) any claims with respect to the items described in Sections 4 and 7(e) of the Employment Agreement, and (e) any rights of Executive in connection with his interest as a stockholder, limited partner, optionholder or other equity holder of Employer or any of its affiliates whether under agreements between Executive and Employer or any of its affiliates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Executive understands that he has been given a period of twenty-one (21) days to review and consider this General Release before signing it pursuant to the ADEA. Executive further understands that he may use as much of this 21–day period as Executive wishes prior to signing.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Executive acknowledges and represents that he understands that he may revoke the General Release set forth in paragraph 1, including, the waiver of his rights under the ADEA, effectuated in this General Release, within seven (7) days of signing this General Release. Revocation can be made by delivering a written notice of revocation to the General Counsel, Executive Vice President and Corporate Secretary, SL Green Realty Corp., One Vanderbilt Avenue, New York, New York 10017. For this revocation to be effective, written notice must be received by the General Counsel, Executive Vice President and Corporate Secretary no later than the close of business on the seventh day after Executive signs this General Release. If Executive revokes the General Release set forth in paragraph 1, Employer shall have no obligations to Executive under Sections 7(a)(i), (ii), (iii), (iv) or (v), or Section 7(d) of the Employment Agreement, except to the extent specifically provided for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Executive and Employer respectively represent and acknowledge that in executing this General Release neither of them is relying upon, and has not relied upon, any representation or statement not set forth herein made by any of the agents, representatives or attorneys of the Releasees with regard to the subject matter, basis or effect of this General Release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General Release shall not in any way be construed as an admission (i) by any of the Releasees that any Releasee has acted wrongfully or that Executive has any rights whatsoever against any of the Releasees except as specifically set forth herein and (ii) by any of the Executive Parties that any Executive Party has acted wrongfully or that Employer has any rights whatsoever against any of the Executive Parties except as specifically set forth herein, and each of the Releasees and Executive Parties specifically disclaims any liability to any party for any wrongful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It is the desire and intent of the parties hereto that the provisions of this General Release be enforced to the fullest extent permissible under law. Should there be any conflict between any provision hereof and any present or future law, such law shall prevail, but the provisions affected thereby shall be curtailed and limited only to the extent necessary to bring them within the requirements of law, and the remaining provisions of this General Release shall remain in full force and effect and be fully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Executive represents and agrees that Executive (a) has, to the extent he desires, discussed all aspects of this General Release with his attorney, (b) has carefully read and fully understands all of the provisions of this General Release, and (c) is voluntarily executing this 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the parties hereto; fully supersedes any and all prior agreements or understandings between the parties hereto pertaining to the subject matter hereof; and may not be changed except by explicit written agreement to that effect subscribed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General Release is executed by Executive and Employer as of the _______ day of __________ , 20___.</w:t>
      </w:r>
    </w:p>
    <w:p>
      <w:pPr>
        <w:pStyle w:val="TextBody"/>
        <w:bidi w:val="0"/>
        <w:spacing w:before="0" w:after="0"/>
        <w:ind w:left="0" w:right="0" w:hanging="0"/>
        <w:jc w:val="left"/>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673"/>
        <w:gridCol w:w="1686"/>
      </w:tblGrid>
      <w:tr>
        <w:trPr/>
        <w:tc>
          <w:tcPr>
            <w:tcW w:w="75" w:type="dxa"/>
            <w:tcBorders/>
            <w:vAlign w:val="center"/>
          </w:tcPr>
          <w:p>
            <w:pPr>
              <w:pStyle w:val="TableContents"/>
              <w:bidi w:val="0"/>
              <w:spacing w:before="0" w:after="283"/>
              <w:jc w:val="left"/>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DiLiberto</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 GREEN REALTY CORP.</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8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36718</Words>
  <Characters>196925</Characters>
  <CharactersWithSpaces>236313</CharactersWithSpaces>
  <Paragraphs>1384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