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207010</wp:posOffset>
            </wp:positionH>
            <wp:positionV relativeFrom="page">
              <wp:posOffset>714375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31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121" w:lineRule="exact"/>
        <w:rPr>
          <w:sz w:val="24"/>
          <w:szCs w:val="24"/>
          <w:color w:val="auto"/>
        </w:rPr>
      </w:pPr>
    </w:p>
    <w:p>
      <w:pPr>
        <w:ind w:left="360" w:hanging="35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7" w:lineRule="exact"/>
        <w:rPr>
          <w:sz w:val="24"/>
          <w:szCs w:val="24"/>
          <w:color w:val="auto"/>
        </w:rPr>
      </w:pPr>
    </w:p>
    <w:p>
      <w:pPr>
        <w:ind w:left="360" w:hanging="35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1" w:lineRule="exact"/>
        <w:rPr>
          <w:sz w:val="24"/>
          <w:szCs w:val="24"/>
          <w:color w:val="auto"/>
        </w:rPr>
      </w:pPr>
    </w:p>
    <w:tbl>
      <w:tblPr>
        <w:tblLayout w:type="fixed"/>
        <w:tblInd w:w="146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For the transition period from</w:t>
            </w:r>
          </w:p>
        </w:tc>
        <w:tc>
          <w:tcPr>
            <w:tcW w:w="2520" w:type="dxa"/>
            <w:vAlign w:val="bottom"/>
          </w:tcPr>
          <w:p>
            <w:pPr>
              <w:ind w:left="60"/>
              <w:spacing w:after="0"/>
              <w:rPr>
                <w:sz w:val="20"/>
                <w:szCs w:val="20"/>
                <w:color w:val="auto"/>
              </w:rPr>
            </w:pPr>
            <w:r>
              <w:rPr>
                <w:rFonts w:ascii="Arial" w:cs="Arial" w:eastAsia="Arial" w:hAnsi="Arial"/>
                <w:sz w:val="14"/>
                <w:szCs w:val="14"/>
                <w:b w:val="1"/>
                <w:bCs w:val="1"/>
                <w:color w:val="auto"/>
              </w:rPr>
              <w:t>to</w:t>
            </w:r>
          </w:p>
        </w:tc>
      </w:tr>
      <w:tr>
        <w:trPr>
          <w:trHeight w:val="306"/>
        </w:trPr>
        <w:tc>
          <w:tcPr>
            <w:tcW w:w="748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3"/>
              </w:rPr>
              <w:t>Commission File Number: 1-13199 (SL Green Realty Corp.)</w:t>
            </w:r>
          </w:p>
        </w:tc>
      </w:tr>
      <w:tr>
        <w:trPr>
          <w:trHeight w:val="319"/>
        </w:trPr>
        <w:tc>
          <w:tcPr>
            <w:tcW w:w="748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2"/>
              </w:rPr>
              <w:t>Commission File Number: 33-167793-02 (SL Green Operating Partnership, L.P.)</w:t>
            </w:r>
          </w:p>
        </w:tc>
      </w:tr>
      <w:tr>
        <w:trPr>
          <w:trHeight w:val="306"/>
        </w:trPr>
        <w:tc>
          <w:tcPr>
            <w:tcW w:w="7480" w:type="dxa"/>
            <w:vAlign w:val="bottom"/>
            <w:gridSpan w:val="3"/>
          </w:tcPr>
          <w:p>
            <w:pPr>
              <w:jc w:val="center"/>
              <w:ind w:left="748"/>
              <w:spacing w:after="0"/>
              <w:rPr>
                <w:sz w:val="20"/>
                <w:szCs w:val="20"/>
                <w:color w:val="auto"/>
              </w:rPr>
            </w:pPr>
            <w:r>
              <w:rPr>
                <w:rFonts w:ascii="Arial" w:cs="Arial" w:eastAsia="Arial" w:hAnsi="Arial"/>
                <w:sz w:val="14"/>
                <w:szCs w:val="14"/>
                <w:color w:val="auto"/>
                <w:w w:val="91"/>
              </w:rPr>
              <w:t>______________________________________________________________________</w:t>
            </w:r>
          </w:p>
        </w:tc>
      </w:tr>
      <w:tr>
        <w:trPr>
          <w:trHeight w:val="476"/>
        </w:trPr>
        <w:tc>
          <w:tcPr>
            <w:tcW w:w="7480" w:type="dxa"/>
            <w:vAlign w:val="bottom"/>
            <w:gridSpan w:val="3"/>
          </w:tcPr>
          <w:p>
            <w:pPr>
              <w:jc w:val="center"/>
              <w:ind w:left="748"/>
              <w:spacing w:after="0"/>
              <w:rPr>
                <w:sz w:val="20"/>
                <w:szCs w:val="20"/>
                <w:color w:val="auto"/>
              </w:rPr>
            </w:pPr>
            <w:r>
              <w:rPr>
                <w:rFonts w:ascii="Arial" w:cs="Arial" w:eastAsia="Arial" w:hAnsi="Arial"/>
                <w:sz w:val="32"/>
                <w:szCs w:val="32"/>
                <w:b w:val="1"/>
                <w:bCs w:val="1"/>
                <w:color w:val="auto"/>
                <w:w w:val="97"/>
              </w:rPr>
              <w:t>SL GREEN REALTY CORP.</w:t>
            </w:r>
          </w:p>
        </w:tc>
      </w:tr>
      <w:tr>
        <w:trPr>
          <w:trHeight w:val="395"/>
        </w:trPr>
        <w:tc>
          <w:tcPr>
            <w:tcW w:w="7480" w:type="dxa"/>
            <w:vAlign w:val="bottom"/>
            <w:gridSpan w:val="3"/>
          </w:tcPr>
          <w:p>
            <w:pPr>
              <w:jc w:val="center"/>
              <w:ind w:left="748"/>
              <w:spacing w:after="0"/>
              <w:rPr>
                <w:sz w:val="20"/>
                <w:szCs w:val="20"/>
                <w:color w:val="auto"/>
              </w:rPr>
            </w:pPr>
            <w:r>
              <w:rPr>
                <w:rFonts w:ascii="Arial" w:cs="Arial" w:eastAsia="Arial" w:hAnsi="Arial"/>
                <w:sz w:val="32"/>
                <w:szCs w:val="32"/>
                <w:b w:val="1"/>
                <w:bCs w:val="1"/>
                <w:color w:val="auto"/>
                <w:w w:val="97"/>
              </w:rPr>
              <w:t>SL GREEN OPERATING PARTNERSHIP, L.P.</w:t>
            </w:r>
          </w:p>
        </w:tc>
      </w:tr>
      <w:tr>
        <w:trPr>
          <w:trHeight w:val="160"/>
        </w:trPr>
        <w:tc>
          <w:tcPr>
            <w:tcW w:w="2600" w:type="dxa"/>
            <w:vAlign w:val="bottom"/>
          </w:tcPr>
          <w:p>
            <w:pPr>
              <w:spacing w:after="0"/>
              <w:rPr>
                <w:sz w:val="13"/>
                <w:szCs w:val="13"/>
                <w:color w:val="auto"/>
              </w:rPr>
            </w:pPr>
          </w:p>
        </w:tc>
        <w:tc>
          <w:tcPr>
            <w:tcW w:w="4880" w:type="dxa"/>
            <w:vAlign w:val="bottom"/>
            <w:gridSpan w:val="2"/>
          </w:tcPr>
          <w:p>
            <w:pPr>
              <w:jc w:val="center"/>
              <w:ind w:right="1689"/>
              <w:spacing w:after="0" w:line="160" w:lineRule="exact"/>
              <w:rPr>
                <w:sz w:val="20"/>
                <w:szCs w:val="20"/>
                <w:color w:val="auto"/>
              </w:rPr>
            </w:pPr>
            <w:r>
              <w:rPr>
                <w:rFonts w:ascii="Arial" w:cs="Arial" w:eastAsia="Arial" w:hAnsi="Arial"/>
                <w:sz w:val="14"/>
                <w:szCs w:val="14"/>
                <w:color w:val="auto"/>
                <w:w w:val="91"/>
              </w:rPr>
              <w:t>(Exact name of registrant as specified in its charter)</w:t>
            </w:r>
          </w:p>
        </w:tc>
      </w:tr>
      <w:tr>
        <w:trPr>
          <w:trHeight w:val="180"/>
        </w:trPr>
        <w:tc>
          <w:tcPr>
            <w:tcW w:w="7480" w:type="dxa"/>
            <w:vAlign w:val="bottom"/>
            <w:gridSpan w:val="3"/>
          </w:tcPr>
          <w:p>
            <w:pPr>
              <w:jc w:val="center"/>
              <w:ind w:left="748"/>
              <w:spacing w:after="0"/>
              <w:rPr>
                <w:sz w:val="20"/>
                <w:szCs w:val="20"/>
                <w:color w:val="auto"/>
              </w:rPr>
            </w:pPr>
            <w:r>
              <w:rPr>
                <w:rFonts w:ascii="Arial" w:cs="Arial" w:eastAsia="Arial" w:hAnsi="Arial"/>
                <w:sz w:val="14"/>
                <w:szCs w:val="14"/>
                <w:color w:val="auto"/>
                <w:w w:val="91"/>
              </w:rPr>
              <w:t>______________________________________________________________________</w:t>
            </w:r>
          </w:p>
        </w:tc>
      </w:tr>
      <w:tr>
        <w:trPr>
          <w:trHeight w:val="339"/>
        </w:trPr>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93"/>
              </w:rPr>
              <w:t>SL Green Realty Corp.</w:t>
            </w:r>
          </w:p>
        </w:tc>
        <w:tc>
          <w:tcPr>
            <w:tcW w:w="2360" w:type="dxa"/>
            <w:vAlign w:val="bottom"/>
          </w:tcPr>
          <w:p>
            <w:pPr>
              <w:jc w:val="center"/>
              <w:ind w:left="689"/>
              <w:spacing w:after="0"/>
              <w:rPr>
                <w:sz w:val="20"/>
                <w:szCs w:val="20"/>
                <w:color w:val="auto"/>
              </w:rPr>
            </w:pPr>
            <w:r>
              <w:rPr>
                <w:rFonts w:ascii="Arial" w:cs="Arial" w:eastAsia="Arial" w:hAnsi="Arial"/>
                <w:sz w:val="16"/>
                <w:szCs w:val="16"/>
                <w:b w:val="1"/>
                <w:bCs w:val="1"/>
                <w:color w:val="auto"/>
                <w:w w:val="96"/>
              </w:rPr>
              <w:t>Maryland</w:t>
            </w:r>
          </w:p>
        </w:tc>
        <w:tc>
          <w:tcPr>
            <w:tcW w:w="2520" w:type="dxa"/>
            <w:vAlign w:val="bottom"/>
          </w:tcPr>
          <w:p>
            <w:pPr>
              <w:jc w:val="center"/>
              <w:ind w:left="1549"/>
              <w:spacing w:after="0"/>
              <w:rPr>
                <w:sz w:val="20"/>
                <w:szCs w:val="20"/>
                <w:color w:val="auto"/>
              </w:rPr>
            </w:pPr>
            <w:r>
              <w:rPr>
                <w:rFonts w:ascii="Arial" w:cs="Arial" w:eastAsia="Arial" w:hAnsi="Arial"/>
                <w:sz w:val="16"/>
                <w:szCs w:val="16"/>
                <w:b w:val="1"/>
                <w:bCs w:val="1"/>
                <w:color w:val="auto"/>
                <w:w w:val="91"/>
              </w:rPr>
              <w:t>13-3956775</w:t>
            </w:r>
          </w:p>
        </w:tc>
      </w:tr>
      <w:tr>
        <w:trPr>
          <w:trHeight w:val="213"/>
        </w:trPr>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91"/>
              </w:rPr>
              <w:t>SL Green Operating Partnership, L.P.</w:t>
            </w:r>
          </w:p>
        </w:tc>
        <w:tc>
          <w:tcPr>
            <w:tcW w:w="2360" w:type="dxa"/>
            <w:vAlign w:val="bottom"/>
          </w:tcPr>
          <w:p>
            <w:pPr>
              <w:jc w:val="center"/>
              <w:ind w:left="689"/>
              <w:spacing w:after="0"/>
              <w:rPr>
                <w:sz w:val="20"/>
                <w:szCs w:val="20"/>
                <w:color w:val="auto"/>
              </w:rPr>
            </w:pPr>
            <w:r>
              <w:rPr>
                <w:rFonts w:ascii="Arial" w:cs="Arial" w:eastAsia="Arial" w:hAnsi="Arial"/>
                <w:sz w:val="16"/>
                <w:szCs w:val="16"/>
                <w:b w:val="1"/>
                <w:bCs w:val="1"/>
                <w:color w:val="auto"/>
                <w:w w:val="91"/>
              </w:rPr>
              <w:t>Delaware</w:t>
            </w:r>
          </w:p>
        </w:tc>
        <w:tc>
          <w:tcPr>
            <w:tcW w:w="2520" w:type="dxa"/>
            <w:vAlign w:val="bottom"/>
          </w:tcPr>
          <w:p>
            <w:pPr>
              <w:jc w:val="center"/>
              <w:ind w:left="1549"/>
              <w:spacing w:after="0"/>
              <w:rPr>
                <w:sz w:val="20"/>
                <w:szCs w:val="20"/>
                <w:color w:val="auto"/>
              </w:rPr>
            </w:pPr>
            <w:r>
              <w:rPr>
                <w:rFonts w:ascii="Arial" w:cs="Arial" w:eastAsia="Arial" w:hAnsi="Arial"/>
                <w:sz w:val="16"/>
                <w:szCs w:val="16"/>
                <w:b w:val="1"/>
                <w:bCs w:val="1"/>
                <w:color w:val="auto"/>
                <w:w w:val="91"/>
              </w:rPr>
              <w:t>13-3960938</w:t>
            </w:r>
          </w:p>
        </w:tc>
      </w:tr>
      <w:tr>
        <w:trPr>
          <w:trHeight w:val="138"/>
        </w:trPr>
        <w:tc>
          <w:tcPr>
            <w:tcW w:w="2600" w:type="dxa"/>
            <w:vAlign w:val="bottom"/>
          </w:tcPr>
          <w:p>
            <w:pPr>
              <w:spacing w:after="0"/>
              <w:rPr>
                <w:sz w:val="12"/>
                <w:szCs w:val="12"/>
                <w:color w:val="auto"/>
              </w:rPr>
            </w:pPr>
          </w:p>
        </w:tc>
        <w:tc>
          <w:tcPr>
            <w:tcW w:w="2360" w:type="dxa"/>
            <w:vAlign w:val="bottom"/>
          </w:tcPr>
          <w:p>
            <w:pPr>
              <w:jc w:val="center"/>
              <w:ind w:left="689"/>
              <w:spacing w:after="0"/>
              <w:rPr>
                <w:sz w:val="20"/>
                <w:szCs w:val="20"/>
                <w:color w:val="auto"/>
              </w:rPr>
            </w:pPr>
            <w:r>
              <w:rPr>
                <w:rFonts w:ascii="Arial" w:cs="Arial" w:eastAsia="Arial" w:hAnsi="Arial"/>
                <w:sz w:val="12"/>
                <w:szCs w:val="12"/>
                <w:color w:val="auto"/>
                <w:w w:val="95"/>
              </w:rPr>
              <w:t>(State or other jurisdiction of</w:t>
            </w:r>
          </w:p>
        </w:tc>
        <w:tc>
          <w:tcPr>
            <w:tcW w:w="2520" w:type="dxa"/>
            <w:vAlign w:val="bottom"/>
          </w:tcPr>
          <w:p>
            <w:pPr>
              <w:jc w:val="center"/>
              <w:ind w:left="1549"/>
              <w:spacing w:after="0"/>
              <w:rPr>
                <w:sz w:val="20"/>
                <w:szCs w:val="20"/>
                <w:color w:val="auto"/>
              </w:rPr>
            </w:pPr>
            <w:r>
              <w:rPr>
                <w:rFonts w:ascii="Arial" w:cs="Arial" w:eastAsia="Arial" w:hAnsi="Arial"/>
                <w:sz w:val="12"/>
                <w:szCs w:val="12"/>
                <w:color w:val="auto"/>
                <w:w w:val="97"/>
              </w:rPr>
              <w:t>(I.R.S. Employer</w:t>
            </w:r>
          </w:p>
        </w:tc>
      </w:tr>
      <w:tr>
        <w:trPr>
          <w:trHeight w:val="157"/>
        </w:trPr>
        <w:tc>
          <w:tcPr>
            <w:tcW w:w="2600" w:type="dxa"/>
            <w:vAlign w:val="bottom"/>
          </w:tcPr>
          <w:p>
            <w:pPr>
              <w:spacing w:after="0"/>
              <w:rPr>
                <w:sz w:val="13"/>
                <w:szCs w:val="13"/>
                <w:color w:val="auto"/>
              </w:rPr>
            </w:pPr>
          </w:p>
        </w:tc>
        <w:tc>
          <w:tcPr>
            <w:tcW w:w="2360" w:type="dxa"/>
            <w:vAlign w:val="bottom"/>
          </w:tcPr>
          <w:p>
            <w:pPr>
              <w:jc w:val="center"/>
              <w:ind w:left="689"/>
              <w:spacing w:after="0"/>
              <w:rPr>
                <w:sz w:val="20"/>
                <w:szCs w:val="20"/>
                <w:color w:val="auto"/>
              </w:rPr>
            </w:pPr>
            <w:r>
              <w:rPr>
                <w:rFonts w:ascii="Arial" w:cs="Arial" w:eastAsia="Arial" w:hAnsi="Arial"/>
                <w:sz w:val="12"/>
                <w:szCs w:val="12"/>
                <w:color w:val="auto"/>
                <w:w w:val="94"/>
              </w:rPr>
              <w:t>incorporation or organization)</w:t>
            </w:r>
          </w:p>
        </w:tc>
        <w:tc>
          <w:tcPr>
            <w:tcW w:w="2520" w:type="dxa"/>
            <w:vAlign w:val="bottom"/>
          </w:tcPr>
          <w:p>
            <w:pPr>
              <w:jc w:val="center"/>
              <w:ind w:left="1529"/>
              <w:spacing w:after="0"/>
              <w:rPr>
                <w:sz w:val="20"/>
                <w:szCs w:val="20"/>
                <w:color w:val="auto"/>
              </w:rPr>
            </w:pPr>
            <w:r>
              <w:rPr>
                <w:rFonts w:ascii="Arial" w:cs="Arial" w:eastAsia="Arial" w:hAnsi="Arial"/>
                <w:sz w:val="12"/>
                <w:szCs w:val="12"/>
                <w:color w:val="auto"/>
                <w:w w:val="98"/>
              </w:rPr>
              <w:t>Identification No.)</w:t>
            </w:r>
          </w:p>
        </w:tc>
      </w:tr>
      <w:tr>
        <w:trPr>
          <w:trHeight w:val="428"/>
        </w:trPr>
        <w:tc>
          <w:tcPr>
            <w:tcW w:w="7480" w:type="dxa"/>
            <w:vAlign w:val="bottom"/>
            <w:gridSpan w:val="3"/>
          </w:tcPr>
          <w:p>
            <w:pPr>
              <w:jc w:val="center"/>
              <w:ind w:left="748"/>
              <w:spacing w:after="0"/>
              <w:rPr>
                <w:sz w:val="20"/>
                <w:szCs w:val="20"/>
                <w:color w:val="auto"/>
              </w:rPr>
            </w:pPr>
            <w:r>
              <w:rPr>
                <w:rFonts w:ascii="Arial" w:cs="Arial" w:eastAsia="Arial" w:hAnsi="Arial"/>
                <w:sz w:val="18"/>
                <w:szCs w:val="18"/>
                <w:b w:val="1"/>
                <w:bCs w:val="1"/>
                <w:color w:val="auto"/>
                <w:w w:val="90"/>
              </w:rPr>
              <w:t>One Vanderbilt Avenue, New York, NY 10017</w:t>
            </w:r>
          </w:p>
        </w:tc>
      </w:tr>
      <w:tr>
        <w:trPr>
          <w:trHeight w:val="157"/>
        </w:trPr>
        <w:tc>
          <w:tcPr>
            <w:tcW w:w="2600" w:type="dxa"/>
            <w:vAlign w:val="bottom"/>
          </w:tcPr>
          <w:p>
            <w:pPr>
              <w:spacing w:after="0"/>
              <w:rPr>
                <w:sz w:val="13"/>
                <w:szCs w:val="13"/>
                <w:color w:val="auto"/>
              </w:rPr>
            </w:pPr>
          </w:p>
        </w:tc>
        <w:tc>
          <w:tcPr>
            <w:tcW w:w="4880" w:type="dxa"/>
            <w:vAlign w:val="bottom"/>
            <w:gridSpan w:val="2"/>
          </w:tcPr>
          <w:p>
            <w:pPr>
              <w:jc w:val="center"/>
              <w:ind w:right="1689"/>
              <w:spacing w:after="0"/>
              <w:rPr>
                <w:sz w:val="20"/>
                <w:szCs w:val="20"/>
                <w:color w:val="auto"/>
              </w:rPr>
            </w:pPr>
            <w:r>
              <w:rPr>
                <w:rFonts w:ascii="Arial" w:cs="Arial" w:eastAsia="Arial" w:hAnsi="Arial"/>
                <w:sz w:val="12"/>
                <w:szCs w:val="12"/>
                <w:color w:val="auto"/>
                <w:w w:val="96"/>
              </w:rPr>
              <w:t>(Address of principal executive offices—Zip Code)</w:t>
            </w:r>
          </w:p>
        </w:tc>
      </w:tr>
      <w:tr>
        <w:trPr>
          <w:trHeight w:val="442"/>
        </w:trPr>
        <w:tc>
          <w:tcPr>
            <w:tcW w:w="2600" w:type="dxa"/>
            <w:vAlign w:val="bottom"/>
          </w:tcPr>
          <w:p>
            <w:pPr>
              <w:spacing w:after="0"/>
              <w:rPr>
                <w:sz w:val="24"/>
                <w:szCs w:val="24"/>
                <w:color w:val="auto"/>
              </w:rPr>
            </w:pPr>
          </w:p>
        </w:tc>
        <w:tc>
          <w:tcPr>
            <w:tcW w:w="2360" w:type="dxa"/>
            <w:vAlign w:val="bottom"/>
          </w:tcPr>
          <w:p>
            <w:pPr>
              <w:jc w:val="center"/>
              <w:ind w:left="689"/>
              <w:spacing w:after="0"/>
              <w:rPr>
                <w:sz w:val="20"/>
                <w:szCs w:val="20"/>
                <w:color w:val="auto"/>
              </w:rPr>
            </w:pPr>
            <w:r>
              <w:rPr>
                <w:rFonts w:ascii="Arial" w:cs="Arial" w:eastAsia="Arial" w:hAnsi="Arial"/>
                <w:sz w:val="18"/>
                <w:szCs w:val="18"/>
                <w:b w:val="1"/>
                <w:bCs w:val="1"/>
                <w:color w:val="auto"/>
                <w:w w:val="90"/>
              </w:rPr>
              <w:t>(212) 594-2700</w:t>
            </w:r>
          </w:p>
        </w:tc>
        <w:tc>
          <w:tcPr>
            <w:tcW w:w="2520" w:type="dxa"/>
            <w:vAlign w:val="bottom"/>
          </w:tcPr>
          <w:p>
            <w:pPr>
              <w:spacing w:after="0"/>
              <w:rPr>
                <w:sz w:val="24"/>
                <w:szCs w:val="24"/>
                <w:color w:val="auto"/>
              </w:rPr>
            </w:pPr>
          </w:p>
        </w:tc>
      </w:tr>
      <w:tr>
        <w:trPr>
          <w:trHeight w:val="142"/>
        </w:trPr>
        <w:tc>
          <w:tcPr>
            <w:tcW w:w="2600" w:type="dxa"/>
            <w:vAlign w:val="bottom"/>
          </w:tcPr>
          <w:p>
            <w:pPr>
              <w:spacing w:after="0"/>
              <w:rPr>
                <w:sz w:val="12"/>
                <w:szCs w:val="12"/>
                <w:color w:val="auto"/>
              </w:rPr>
            </w:pPr>
          </w:p>
        </w:tc>
        <w:tc>
          <w:tcPr>
            <w:tcW w:w="4880" w:type="dxa"/>
            <w:vAlign w:val="bottom"/>
            <w:gridSpan w:val="2"/>
          </w:tcPr>
          <w:p>
            <w:pPr>
              <w:jc w:val="center"/>
              <w:ind w:right="1669"/>
              <w:spacing w:after="0"/>
              <w:rPr>
                <w:sz w:val="20"/>
                <w:szCs w:val="20"/>
                <w:color w:val="auto"/>
              </w:rPr>
            </w:pPr>
            <w:r>
              <w:rPr>
                <w:rFonts w:ascii="Arial" w:cs="Arial" w:eastAsia="Arial" w:hAnsi="Arial"/>
                <w:sz w:val="12"/>
                <w:szCs w:val="12"/>
                <w:color w:val="auto"/>
                <w:w w:val="92"/>
              </w:rPr>
              <w:t>(Registrant's telephone number, including area code)</w:t>
            </w:r>
          </w:p>
        </w:tc>
      </w:tr>
      <w:tr>
        <w:trPr>
          <w:trHeight w:val="180"/>
        </w:trPr>
        <w:tc>
          <w:tcPr>
            <w:tcW w:w="7480" w:type="dxa"/>
            <w:vAlign w:val="bottom"/>
            <w:gridSpan w:val="3"/>
          </w:tcPr>
          <w:p>
            <w:pPr>
              <w:jc w:val="center"/>
              <w:ind w:left="748"/>
              <w:spacing w:after="0"/>
              <w:rPr>
                <w:sz w:val="20"/>
                <w:szCs w:val="20"/>
                <w:color w:val="auto"/>
              </w:rPr>
            </w:pPr>
            <w:r>
              <w:rPr>
                <w:rFonts w:ascii="Arial" w:cs="Arial" w:eastAsia="Arial" w:hAnsi="Arial"/>
                <w:sz w:val="14"/>
                <w:szCs w:val="14"/>
                <w:color w:val="auto"/>
                <w:w w:val="91"/>
              </w:rPr>
              <w:t>______________________________________________________________________</w:t>
            </w:r>
          </w:p>
        </w:tc>
      </w:tr>
    </w:tbl>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8400" w:type="dxa"/>
            <w:vAlign w:val="bottom"/>
            <w:gridSpan w:val="7"/>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26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Registrant</w:t>
            </w:r>
          </w:p>
        </w:tc>
        <w:tc>
          <w:tcPr>
            <w:tcW w:w="120" w:type="dxa"/>
            <w:vAlign w:val="bottom"/>
            <w:vMerge w:val="restart"/>
          </w:tcPr>
          <w:p>
            <w:pPr>
              <w:spacing w:after="0"/>
              <w:rPr>
                <w:sz w:val="22"/>
                <w:szCs w:val="22"/>
                <w:color w:val="auto"/>
              </w:rPr>
            </w:pPr>
          </w:p>
        </w:tc>
        <w:tc>
          <w:tcPr>
            <w:tcW w:w="15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vMerge w:val="restart"/>
          </w:tcPr>
          <w:p>
            <w:pPr>
              <w:spacing w:after="0"/>
              <w:rPr>
                <w:sz w:val="22"/>
                <w:szCs w:val="22"/>
                <w:color w:val="auto"/>
              </w:rPr>
            </w:pP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00" w:type="dxa"/>
            <w:vAlign w:val="bottom"/>
            <w:vMerge w:val="restart"/>
          </w:tcPr>
          <w:p>
            <w:pPr>
              <w:spacing w:after="0"/>
              <w:rPr>
                <w:sz w:val="22"/>
                <w:szCs w:val="22"/>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SL Green Realty Corp.</w:t>
            </w:r>
          </w:p>
        </w:tc>
        <w:tc>
          <w:tcPr>
            <w:tcW w:w="1620" w:type="dxa"/>
            <w:vAlign w:val="bottom"/>
            <w:gridSpan w:val="2"/>
          </w:tcPr>
          <w:p>
            <w:pPr>
              <w:spacing w:after="0"/>
              <w:rPr>
                <w:sz w:val="20"/>
                <w:szCs w:val="20"/>
                <w:color w:val="auto"/>
              </w:rPr>
            </w:pPr>
            <w:r>
              <w:rPr>
                <w:rFonts w:ascii="Arial" w:cs="Arial" w:eastAsia="Arial" w:hAnsi="Arial"/>
                <w:sz w:val="18"/>
                <w:szCs w:val="18"/>
                <w:color w:val="auto"/>
              </w:rPr>
              <w:t>SLG</w:t>
            </w:r>
          </w:p>
        </w:tc>
        <w:tc>
          <w:tcPr>
            <w:tcW w:w="3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$0.01 par value</w:t>
            </w:r>
          </w:p>
        </w:tc>
        <w:tc>
          <w:tcPr>
            <w:tcW w:w="2800" w:type="dxa"/>
            <w:vAlign w:val="bottom"/>
          </w:tcPr>
          <w:p>
            <w:pPr>
              <w:ind w:left="2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7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SL Green Realty Corp.</w:t>
            </w:r>
          </w:p>
        </w:tc>
        <w:tc>
          <w:tcPr>
            <w:tcW w:w="1620" w:type="dxa"/>
            <w:vAlign w:val="bottom"/>
            <w:gridSpan w:val="2"/>
          </w:tcPr>
          <w:p>
            <w:pPr>
              <w:spacing w:after="0" w:line="189" w:lineRule="exact"/>
              <w:rPr>
                <w:sz w:val="20"/>
                <w:szCs w:val="20"/>
                <w:color w:val="auto"/>
              </w:rPr>
            </w:pPr>
            <w:r>
              <w:rPr>
                <w:rFonts w:ascii="Arial" w:cs="Arial" w:eastAsia="Arial" w:hAnsi="Arial"/>
                <w:sz w:val="18"/>
                <w:szCs w:val="18"/>
                <w:color w:val="auto"/>
              </w:rPr>
              <w:t>SLG.PRI</w:t>
            </w:r>
          </w:p>
        </w:tc>
        <w:tc>
          <w:tcPr>
            <w:tcW w:w="396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88"/>
              </w:rPr>
              <w:t>6.500% Series I Cumulative Redeemable Preferred</w:t>
            </w:r>
          </w:p>
        </w:tc>
        <w:tc>
          <w:tcPr>
            <w:tcW w:w="2800" w:type="dxa"/>
            <w:vAlign w:val="bottom"/>
          </w:tcPr>
          <w:p>
            <w:pPr>
              <w:ind w:left="20"/>
              <w:spacing w:after="0" w:line="189" w:lineRule="exact"/>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Stock, $0.01 par value</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32" w:lineRule="exact"/>
        <w:rPr>
          <w:sz w:val="24"/>
          <w:szCs w:val="24"/>
          <w:color w:val="auto"/>
        </w:rPr>
      </w:pPr>
    </w:p>
    <w:p>
      <w:pPr>
        <w:spacing w:after="0"/>
        <w:tabs>
          <w:tab w:leader="none" w:pos="1440" w:val="left"/>
          <w:tab w:leader="none" w:pos="1880" w:val="left"/>
          <w:tab w:leader="none" w:pos="2800" w:val="left"/>
          <w:tab w:leader="none" w:pos="5060" w:val="left"/>
          <w:tab w:leader="none" w:pos="5520" w:val="left"/>
        </w:tabs>
        <w:rPr>
          <w:sz w:val="20"/>
          <w:szCs w:val="20"/>
          <w:color w:val="auto"/>
        </w:rPr>
      </w:pPr>
      <w:r>
        <w:rPr>
          <w:rFonts w:ascii="Arial" w:cs="Arial" w:eastAsia="Arial" w:hAnsi="Arial"/>
          <w:sz w:val="14"/>
          <w:szCs w:val="14"/>
          <w:color w:val="auto"/>
        </w:rPr>
        <w:t>SL Green Realty Corp.</w:t>
        <w:tab/>
        <w:t>Yes x</w:t>
        <w:tab/>
        <w:t>No o</w:t>
      </w:r>
      <w:r>
        <w:rPr>
          <w:sz w:val="20"/>
          <w:szCs w:val="20"/>
          <w:color w:val="auto"/>
        </w:rPr>
        <w:tab/>
      </w:r>
      <w:r>
        <w:rPr>
          <w:rFonts w:ascii="Arial" w:cs="Arial" w:eastAsia="Arial" w:hAnsi="Arial"/>
          <w:sz w:val="14"/>
          <w:szCs w:val="14"/>
          <w:color w:val="auto"/>
        </w:rPr>
        <w:t>SL Green Operating Partnership, L.P.</w:t>
        <w:tab/>
        <w:t>Yes o</w:t>
      </w:r>
      <w:r>
        <w:rPr>
          <w:sz w:val="20"/>
          <w:szCs w:val="20"/>
          <w:color w:val="auto"/>
        </w:rPr>
        <w:tab/>
      </w:r>
      <w:r>
        <w:rPr>
          <w:rFonts w:ascii="Arial" w:cs="Arial" w:eastAsia="Arial" w:hAnsi="Arial"/>
          <w:sz w:val="13"/>
          <w:szCs w:val="13"/>
          <w:color w:val="auto"/>
        </w:rPr>
        <w:t>No x</w:t>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32" w:lineRule="exact"/>
        <w:rPr>
          <w:sz w:val="24"/>
          <w:szCs w:val="24"/>
          <w:color w:val="auto"/>
        </w:rPr>
      </w:pPr>
    </w:p>
    <w:p>
      <w:pPr>
        <w:spacing w:after="0"/>
        <w:tabs>
          <w:tab w:leader="none" w:pos="1440" w:val="left"/>
          <w:tab w:leader="none" w:pos="1900" w:val="left"/>
          <w:tab w:leader="none" w:pos="2800" w:val="left"/>
          <w:tab w:leader="none" w:pos="5060" w:val="left"/>
          <w:tab w:leader="none" w:pos="5520" w:val="left"/>
        </w:tabs>
        <w:rPr>
          <w:sz w:val="20"/>
          <w:szCs w:val="20"/>
          <w:color w:val="auto"/>
        </w:rPr>
      </w:pPr>
      <w:r>
        <w:rPr>
          <w:rFonts w:ascii="Arial" w:cs="Arial" w:eastAsia="Arial" w:hAnsi="Arial"/>
          <w:sz w:val="14"/>
          <w:szCs w:val="14"/>
          <w:color w:val="auto"/>
        </w:rPr>
        <w:t>SL Green Realty Corp.</w:t>
        <w:tab/>
        <w:t>Yes o</w:t>
        <w:tab/>
        <w:t>No x</w:t>
      </w:r>
      <w:r>
        <w:rPr>
          <w:sz w:val="20"/>
          <w:szCs w:val="20"/>
          <w:color w:val="auto"/>
        </w:rPr>
        <w:tab/>
      </w:r>
      <w:r>
        <w:rPr>
          <w:rFonts w:ascii="Arial" w:cs="Arial" w:eastAsia="Arial" w:hAnsi="Arial"/>
          <w:sz w:val="14"/>
          <w:szCs w:val="14"/>
          <w:color w:val="auto"/>
        </w:rPr>
        <w:t>SL Green Operating Partnership, L.P.</w:t>
        <w:tab/>
        <w:t>Yes o</w:t>
      </w:r>
      <w:r>
        <w:rPr>
          <w:sz w:val="20"/>
          <w:szCs w:val="20"/>
          <w:color w:val="auto"/>
        </w:rPr>
        <w:tab/>
      </w:r>
      <w:r>
        <w:rPr>
          <w:rFonts w:ascii="Arial" w:cs="Arial" w:eastAsia="Arial" w:hAnsi="Arial"/>
          <w:sz w:val="13"/>
          <w:szCs w:val="13"/>
          <w:color w:val="auto"/>
        </w:rPr>
        <w:t>No x</w:t>
      </w:r>
    </w:p>
    <w:p>
      <w:pPr>
        <w:spacing w:after="0" w:line="119" w:lineRule="exact"/>
        <w:rPr>
          <w:sz w:val="24"/>
          <w:szCs w:val="24"/>
          <w:color w:val="auto"/>
        </w:rPr>
      </w:pPr>
    </w:p>
    <w:p>
      <w:pPr>
        <w:ind w:right="80"/>
        <w:spacing w:after="0" w:line="28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2" w:lineRule="exact"/>
        <w:rPr>
          <w:sz w:val="24"/>
          <w:szCs w:val="24"/>
          <w:color w:val="auto"/>
        </w:rPr>
      </w:pPr>
    </w:p>
    <w:p>
      <w:pPr>
        <w:spacing w:after="0"/>
        <w:tabs>
          <w:tab w:leader="none" w:pos="1440" w:val="left"/>
          <w:tab w:leader="none" w:pos="1880" w:val="left"/>
          <w:tab w:leader="none" w:pos="2800" w:val="left"/>
          <w:tab w:leader="none" w:pos="5060" w:val="left"/>
          <w:tab w:leader="none" w:pos="5520" w:val="left"/>
        </w:tabs>
        <w:rPr>
          <w:sz w:val="20"/>
          <w:szCs w:val="20"/>
          <w:color w:val="auto"/>
        </w:rPr>
      </w:pPr>
      <w:r>
        <w:rPr>
          <w:rFonts w:ascii="Arial" w:cs="Arial" w:eastAsia="Arial" w:hAnsi="Arial"/>
          <w:sz w:val="14"/>
          <w:szCs w:val="14"/>
          <w:color w:val="auto"/>
        </w:rPr>
        <w:t>SL Green Realty Corp.</w:t>
        <w:tab/>
        <w:t>Yes x</w:t>
        <w:tab/>
        <w:t>No o</w:t>
      </w:r>
      <w:r>
        <w:rPr>
          <w:sz w:val="20"/>
          <w:szCs w:val="20"/>
          <w:color w:val="auto"/>
        </w:rPr>
        <w:tab/>
      </w:r>
      <w:r>
        <w:rPr>
          <w:rFonts w:ascii="Arial" w:cs="Arial" w:eastAsia="Arial" w:hAnsi="Arial"/>
          <w:sz w:val="14"/>
          <w:szCs w:val="14"/>
          <w:color w:val="auto"/>
        </w:rPr>
        <w:t>SL Green Operating Partnership, L.P.</w:t>
        <w:tab/>
        <w:t>Yes x</w:t>
      </w:r>
      <w:r>
        <w:rPr>
          <w:sz w:val="20"/>
          <w:szCs w:val="20"/>
          <w:color w:val="auto"/>
        </w:rPr>
        <w:tab/>
      </w:r>
      <w:r>
        <w:rPr>
          <w:rFonts w:ascii="Arial" w:cs="Arial" w:eastAsia="Arial" w:hAnsi="Arial"/>
          <w:sz w:val="13"/>
          <w:szCs w:val="13"/>
          <w:color w:val="auto"/>
        </w:rPr>
        <w:t>No o</w:t>
      </w:r>
    </w:p>
    <w:p>
      <w:pPr>
        <w:spacing w:after="0" w:line="105" w:lineRule="exact"/>
        <w:rPr>
          <w:sz w:val="24"/>
          <w:szCs w:val="24"/>
          <w:color w:val="auto"/>
        </w:rPr>
      </w:pPr>
    </w:p>
    <w:p>
      <w:pPr>
        <w:ind w:right="240"/>
        <w:spacing w:after="0" w:line="28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2" w:lineRule="exact"/>
        <w:rPr>
          <w:sz w:val="24"/>
          <w:szCs w:val="24"/>
          <w:color w:val="auto"/>
        </w:rPr>
      </w:pPr>
    </w:p>
    <w:p>
      <w:pPr>
        <w:spacing w:after="0"/>
        <w:tabs>
          <w:tab w:leader="none" w:pos="1460" w:val="left"/>
          <w:tab w:leader="none" w:pos="1920" w:val="left"/>
          <w:tab w:leader="none" w:pos="2840" w:val="left"/>
          <w:tab w:leader="none" w:pos="5100" w:val="left"/>
          <w:tab w:leader="none" w:pos="5560" w:val="left"/>
        </w:tabs>
        <w:rPr>
          <w:sz w:val="20"/>
          <w:szCs w:val="20"/>
          <w:color w:val="auto"/>
        </w:rPr>
      </w:pPr>
      <w:r>
        <w:rPr>
          <w:rFonts w:ascii="Arial" w:cs="Arial" w:eastAsia="Arial" w:hAnsi="Arial"/>
          <w:sz w:val="14"/>
          <w:szCs w:val="14"/>
          <w:color w:val="auto"/>
        </w:rPr>
        <w:t>SL Green Realty Corp.</w:t>
        <w:tab/>
        <w:t>Yes x</w:t>
        <w:tab/>
        <w:t>No o</w:t>
      </w:r>
      <w:r>
        <w:rPr>
          <w:sz w:val="20"/>
          <w:szCs w:val="20"/>
          <w:color w:val="auto"/>
        </w:rPr>
        <w:tab/>
      </w:r>
      <w:r>
        <w:rPr>
          <w:rFonts w:ascii="Arial" w:cs="Arial" w:eastAsia="Arial" w:hAnsi="Arial"/>
          <w:sz w:val="14"/>
          <w:szCs w:val="14"/>
          <w:color w:val="auto"/>
        </w:rPr>
        <w:t>SL Green Operating Partnership, L.P.</w:t>
        <w:tab/>
        <w:t>Yes x</w:t>
      </w:r>
      <w:r>
        <w:rPr>
          <w:sz w:val="20"/>
          <w:szCs w:val="20"/>
          <w:color w:val="auto"/>
        </w:rPr>
        <w:tab/>
      </w:r>
      <w:r>
        <w:rPr>
          <w:rFonts w:ascii="Arial" w:cs="Arial" w:eastAsia="Arial" w:hAnsi="Arial"/>
          <w:sz w:val="13"/>
          <w:szCs w:val="13"/>
          <w:color w:val="auto"/>
        </w:rPr>
        <w:t>No o</w:t>
      </w:r>
    </w:p>
    <w:p>
      <w:pPr>
        <w:spacing w:after="0" w:line="119" w:lineRule="exact"/>
        <w:rPr>
          <w:sz w:val="24"/>
          <w:szCs w:val="24"/>
          <w:color w:val="auto"/>
        </w:rPr>
      </w:pPr>
    </w:p>
    <w:p>
      <w:pPr>
        <w:ind w:right="440"/>
        <w:spacing w:after="0" w:line="286"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69" w:lineRule="exact"/>
        <w:rPr>
          <w:sz w:val="24"/>
          <w:szCs w:val="24"/>
          <w:color w:val="auto"/>
        </w:rPr>
      </w:pPr>
    </w:p>
    <w:p>
      <w:pPr>
        <w:spacing w:after="0"/>
        <w:tabs>
          <w:tab w:leader="none" w:pos="1440" w:val="left"/>
          <w:tab w:leader="none" w:pos="2300" w:val="left"/>
          <w:tab w:leader="none" w:pos="4560" w:val="left"/>
        </w:tabs>
        <w:rPr>
          <w:sz w:val="20"/>
          <w:szCs w:val="20"/>
          <w:color w:val="auto"/>
        </w:rPr>
      </w:pPr>
      <w:r>
        <w:rPr>
          <w:rFonts w:ascii="Arial" w:cs="Arial" w:eastAsia="Arial" w:hAnsi="Arial"/>
          <w:sz w:val="14"/>
          <w:szCs w:val="14"/>
          <w:color w:val="auto"/>
        </w:rPr>
        <w:t>SL Green Realty Corp.</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SL Green Operating Partnership, L.P.</w:t>
      </w:r>
      <w:r>
        <w:rPr>
          <w:sz w:val="20"/>
          <w:szCs w:val="20"/>
          <w:color w:val="auto"/>
        </w:rPr>
        <w:tab/>
      </w:r>
      <w:r>
        <w:rPr>
          <w:rFonts w:ascii="Arial" w:cs="Arial" w:eastAsia="Arial" w:hAnsi="Arial"/>
          <w:sz w:val="14"/>
          <w:szCs w:val="14"/>
          <w:color w:val="auto"/>
        </w:rPr>
        <w:t>o</w:t>
      </w:r>
    </w:p>
    <w:p>
      <w:pPr>
        <w:spacing w:after="0" w:line="119" w:lineRule="exact"/>
        <w:rPr>
          <w:sz w:val="24"/>
          <w:szCs w:val="24"/>
          <w:color w:val="auto"/>
        </w:rPr>
      </w:pPr>
    </w:p>
    <w:p>
      <w:pPr>
        <w:spacing w:after="0" w:line="28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2740" w:type="dxa"/>
            <w:vAlign w:val="bottom"/>
          </w:tcPr>
          <w:p>
            <w:pPr>
              <w:spacing w:after="0"/>
              <w:rPr>
                <w:sz w:val="20"/>
                <w:szCs w:val="20"/>
                <w:color w:val="auto"/>
              </w:rPr>
            </w:pPr>
            <w:r>
              <w:rPr>
                <w:rFonts w:ascii="Arial" w:cs="Arial" w:eastAsia="Arial" w:hAnsi="Arial"/>
                <w:sz w:val="14"/>
                <w:szCs w:val="14"/>
                <w:color w:val="auto"/>
              </w:rPr>
              <w:t>SL Green Realty Corp.</w:t>
            </w:r>
          </w:p>
        </w:tc>
        <w:tc>
          <w:tcPr>
            <w:tcW w:w="28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33"/>
        </w:trPr>
        <w:tc>
          <w:tcPr>
            <w:tcW w:w="274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jc w:val="center"/>
              <w:ind w:right="469"/>
              <w:spacing w:after="0"/>
              <w:rPr>
                <w:sz w:val="20"/>
                <w:szCs w:val="20"/>
                <w:color w:val="auto"/>
              </w:rPr>
            </w:pPr>
            <w:r>
              <w:rPr>
                <w:rFonts w:ascii="Arial" w:cs="Arial" w:eastAsia="Arial" w:hAnsi="Arial"/>
                <w:sz w:val="14"/>
                <w:szCs w:val="14"/>
                <w:color w:val="auto"/>
              </w:rPr>
              <w:t>x</w:t>
            </w:r>
          </w:p>
        </w:tc>
        <w:tc>
          <w:tcPr>
            <w:tcW w:w="4320" w:type="dxa"/>
            <w:vAlign w:val="bottom"/>
          </w:tcPr>
          <w:p>
            <w:pPr>
              <w:ind w:left="1660"/>
              <w:spacing w:after="0"/>
              <w:rPr>
                <w:sz w:val="20"/>
                <w:szCs w:val="20"/>
                <w:color w:val="auto"/>
              </w:rPr>
            </w:pPr>
            <w:r>
              <w:rPr>
                <w:rFonts w:ascii="Arial" w:cs="Arial" w:eastAsia="Arial" w:hAnsi="Arial"/>
                <w:sz w:val="14"/>
                <w:szCs w:val="14"/>
                <w:color w:val="auto"/>
              </w:rPr>
              <w:t>Accelerated Filer</w:t>
            </w:r>
          </w:p>
        </w:tc>
        <w:tc>
          <w:tcPr>
            <w:tcW w:w="1180" w:type="dxa"/>
            <w:vAlign w:val="bottom"/>
          </w:tcPr>
          <w:p>
            <w:pPr>
              <w:jc w:val="center"/>
              <w:ind w:left="989"/>
              <w:spacing w:after="0"/>
              <w:rPr>
                <w:sz w:val="20"/>
                <w:szCs w:val="20"/>
                <w:color w:val="auto"/>
              </w:rPr>
            </w:pPr>
            <w:r>
              <w:rPr>
                <w:rFonts w:ascii="Arial" w:cs="Arial" w:eastAsia="Arial" w:hAnsi="Arial"/>
                <w:sz w:val="14"/>
                <w:szCs w:val="14"/>
                <w:color w:val="auto"/>
              </w:rPr>
              <w:t>o</w:t>
            </w:r>
          </w:p>
        </w:tc>
      </w:tr>
      <w:tr>
        <w:trPr>
          <w:trHeight w:val="194"/>
        </w:trPr>
        <w:tc>
          <w:tcPr>
            <w:tcW w:w="274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jc w:val="center"/>
              <w:ind w:right="469"/>
              <w:spacing w:after="0"/>
              <w:rPr>
                <w:sz w:val="20"/>
                <w:szCs w:val="20"/>
                <w:color w:val="auto"/>
              </w:rPr>
            </w:pPr>
            <w:r>
              <w:rPr>
                <w:rFonts w:ascii="Arial" w:cs="Arial" w:eastAsia="Arial" w:hAnsi="Arial"/>
                <w:sz w:val="14"/>
                <w:szCs w:val="14"/>
                <w:color w:val="auto"/>
              </w:rPr>
              <w:t>o</w:t>
            </w:r>
          </w:p>
        </w:tc>
        <w:tc>
          <w:tcPr>
            <w:tcW w:w="4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2740" w:type="dxa"/>
            <w:vAlign w:val="bottom"/>
          </w:tcPr>
          <w:p>
            <w:pPr>
              <w:ind w:left="20"/>
              <w:spacing w:after="0"/>
              <w:rPr>
                <w:sz w:val="20"/>
                <w:szCs w:val="20"/>
                <w:color w:val="auto"/>
              </w:rPr>
            </w:pPr>
            <w:r>
              <w:rPr>
                <w:rFonts w:ascii="Arial" w:cs="Arial" w:eastAsia="Arial" w:hAnsi="Arial"/>
                <w:sz w:val="14"/>
                <w:szCs w:val="14"/>
                <w:color w:val="auto"/>
              </w:rPr>
              <w:t>Smaller Reporting Company</w:t>
            </w:r>
          </w:p>
        </w:tc>
        <w:tc>
          <w:tcPr>
            <w:tcW w:w="2860" w:type="dxa"/>
            <w:vAlign w:val="bottom"/>
          </w:tcPr>
          <w:p>
            <w:pPr>
              <w:jc w:val="center"/>
              <w:ind w:right="469"/>
              <w:spacing w:after="0" w:line="141" w:lineRule="exact"/>
              <w:rPr>
                <w:sz w:val="20"/>
                <w:szCs w:val="20"/>
                <w:color w:val="auto"/>
              </w:rPr>
            </w:pPr>
            <w:r>
              <w:rPr>
                <w:rFonts w:ascii="MS PGothic" w:cs="MS PGothic" w:eastAsia="MS PGothic" w:hAnsi="MS PGothic"/>
                <w:sz w:val="14"/>
                <w:szCs w:val="14"/>
                <w:color w:val="auto"/>
                <w:w w:val="85"/>
              </w:rPr>
              <w:t>☐</w:t>
            </w:r>
          </w:p>
        </w:tc>
        <w:tc>
          <w:tcPr>
            <w:tcW w:w="4320" w:type="dxa"/>
            <w:vAlign w:val="bottom"/>
          </w:tcPr>
          <w:p>
            <w:pPr>
              <w:ind w:left="1660"/>
              <w:spacing w:after="0"/>
              <w:rPr>
                <w:sz w:val="20"/>
                <w:szCs w:val="20"/>
                <w:color w:val="auto"/>
              </w:rPr>
            </w:pPr>
            <w:r>
              <w:rPr>
                <w:rFonts w:ascii="Arial" w:cs="Arial" w:eastAsia="Arial" w:hAnsi="Arial"/>
                <w:sz w:val="14"/>
                <w:szCs w:val="14"/>
                <w:color w:val="auto"/>
              </w:rPr>
              <w:t>Emerging Growth Company</w:t>
            </w:r>
          </w:p>
        </w:tc>
        <w:tc>
          <w:tcPr>
            <w:tcW w:w="1180" w:type="dxa"/>
            <w:vAlign w:val="bottom"/>
          </w:tcPr>
          <w:p>
            <w:pPr>
              <w:jc w:val="center"/>
              <w:ind w:left="989"/>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4"/>
          <w:szCs w:val="24"/>
          <w:color w:val="auto"/>
        </w:rPr>
      </w:pPr>
    </w:p>
    <w:p>
      <w:pPr>
        <w:sectPr>
          <w:pgSz w:w="11900" w:h="16838" w:orient="portrait"/>
          <w:cols w:equalWidth="0" w:num="1">
            <w:col w:w="11240"/>
          </w:cols>
          <w:pgMar w:left="320" w:top="1248" w:right="339" w:bottom="360" w:gutter="0" w:footer="0" w:header="0"/>
        </w:sectPr>
      </w:pPr>
    </w:p>
    <w:p>
      <w:pPr>
        <w:spacing w:after="0" w:line="3" w:lineRule="exact"/>
        <w:rPr>
          <w:sz w:val="24"/>
          <w:szCs w:val="24"/>
          <w:color w:val="auto"/>
        </w:rPr>
      </w:pPr>
    </w:p>
    <w:p>
      <w:pPr>
        <w:ind w:left="20"/>
        <w:spacing w:after="0" w:line="23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4" w:lineRule="exact"/>
        <w:rPr>
          <w:sz w:val="24"/>
          <w:szCs w:val="24"/>
          <w:color w:val="auto"/>
        </w:rPr>
      </w:pPr>
    </w:p>
    <w:p>
      <w:pPr>
        <w:ind w:left="20" w:right="260"/>
        <w:spacing w:after="0" w:line="267"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o</w:t>
      </w:r>
    </w:p>
    <w:p>
      <w:pPr>
        <w:spacing w:after="0" w:line="28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8" w:lineRule="exact"/>
        <w:rPr>
          <w:sz w:val="24"/>
          <w:szCs w:val="24"/>
          <w:color w:val="auto"/>
        </w:rPr>
      </w:pPr>
    </w:p>
    <w:p>
      <w:pPr>
        <w:sectPr>
          <w:pgSz w:w="11900" w:h="16838" w:orient="portrait"/>
          <w:cols w:equalWidth="0" w:num="2">
            <w:col w:w="10840" w:space="40"/>
            <w:col w:w="360"/>
          </w:cols>
          <w:pgMar w:left="320" w:top="1248" w:right="339" w:bottom="360" w:gutter="0" w:footer="0" w:header="0"/>
          <w:type w:val="continuous"/>
        </w:sectPr>
      </w:pPr>
    </w:p>
    <w:p>
      <w:pPr>
        <w:spacing w:after="0"/>
        <w:rPr>
          <w:sz w:val="20"/>
          <w:szCs w:val="20"/>
          <w:color w:val="auto"/>
        </w:rPr>
      </w:pPr>
      <w:r>
        <w:rPr>
          <w:rFonts w:ascii="Arial" w:cs="Arial" w:eastAsia="Arial" w:hAnsi="Arial"/>
          <w:sz w:val="12"/>
          <w:szCs w:val="12"/>
          <w:color w:val="auto"/>
        </w:rPr>
        <w:t>SL Green Operating Partnership, L.P.</w:t>
      </w:r>
    </w:p>
    <w:p>
      <w:pPr>
        <w:sectPr>
          <w:pgSz w:w="11900" w:h="16838" w:orient="portrait"/>
          <w:cols w:equalWidth="0" w:num="1">
            <w:col w:w="11240"/>
          </w:cols>
          <w:pgMar w:left="320" w:top="1248" w:right="339" w:bottom="36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262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2960" w:type="dxa"/>
            <w:vAlign w:val="bottom"/>
          </w:tcPr>
          <w:p>
            <w:pPr>
              <w:jc w:val="center"/>
              <w:ind w:right="369"/>
              <w:spacing w:after="0"/>
              <w:rPr>
                <w:sz w:val="20"/>
                <w:szCs w:val="20"/>
                <w:color w:val="auto"/>
              </w:rPr>
            </w:pPr>
            <w:r>
              <w:rPr>
                <w:rFonts w:ascii="Arial" w:cs="Arial" w:eastAsia="Arial" w:hAnsi="Arial"/>
                <w:sz w:val="14"/>
                <w:szCs w:val="14"/>
                <w:color w:val="auto"/>
              </w:rPr>
              <w:t>o</w:t>
            </w:r>
          </w:p>
        </w:tc>
        <w:tc>
          <w:tcPr>
            <w:tcW w:w="5300" w:type="dxa"/>
            <w:vAlign w:val="bottom"/>
          </w:tcPr>
          <w:p>
            <w:pPr>
              <w:ind w:left="1640"/>
              <w:spacing w:after="0"/>
              <w:rPr>
                <w:sz w:val="20"/>
                <w:szCs w:val="20"/>
                <w:color w:val="auto"/>
              </w:rPr>
            </w:pPr>
            <w:r>
              <w:rPr>
                <w:rFonts w:ascii="Arial" w:cs="Arial" w:eastAsia="Arial" w:hAnsi="Arial"/>
                <w:sz w:val="14"/>
                <w:szCs w:val="14"/>
                <w:color w:val="auto"/>
              </w:rPr>
              <w:t>Accelerated Filer</w:t>
            </w:r>
          </w:p>
        </w:tc>
        <w:tc>
          <w:tcPr>
            <w:tcW w:w="240" w:type="dxa"/>
            <w:vAlign w:val="bottom"/>
          </w:tcPr>
          <w:p>
            <w:pPr>
              <w:jc w:val="center"/>
              <w:ind w:left="46"/>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94"/>
        </w:trPr>
        <w:tc>
          <w:tcPr>
            <w:tcW w:w="262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2960" w:type="dxa"/>
            <w:vAlign w:val="bottom"/>
          </w:tcPr>
          <w:p>
            <w:pPr>
              <w:jc w:val="center"/>
              <w:ind w:right="349"/>
              <w:spacing w:after="0"/>
              <w:rPr>
                <w:sz w:val="20"/>
                <w:szCs w:val="20"/>
                <w:color w:val="auto"/>
              </w:rPr>
            </w:pPr>
            <w:r>
              <w:rPr>
                <w:rFonts w:ascii="Arial" w:cs="Arial" w:eastAsia="Arial" w:hAnsi="Arial"/>
                <w:sz w:val="14"/>
                <w:szCs w:val="14"/>
                <w:color w:val="auto"/>
                <w:w w:val="85"/>
              </w:rPr>
              <w:t>x</w:t>
            </w:r>
          </w:p>
        </w:tc>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4"/>
                <w:szCs w:val="14"/>
                <w:color w:val="auto"/>
              </w:rPr>
              <w:t>Smaller Reporting Company</w:t>
            </w:r>
          </w:p>
        </w:tc>
        <w:tc>
          <w:tcPr>
            <w:tcW w:w="2960" w:type="dxa"/>
            <w:vAlign w:val="bottom"/>
          </w:tcPr>
          <w:p>
            <w:pPr>
              <w:jc w:val="center"/>
              <w:ind w:right="369"/>
              <w:spacing w:after="0" w:line="141" w:lineRule="exact"/>
              <w:rPr>
                <w:sz w:val="20"/>
                <w:szCs w:val="20"/>
                <w:color w:val="auto"/>
              </w:rPr>
            </w:pPr>
            <w:r>
              <w:rPr>
                <w:rFonts w:ascii="MS PGothic" w:cs="MS PGothic" w:eastAsia="MS PGothic" w:hAnsi="MS PGothic"/>
                <w:sz w:val="14"/>
                <w:szCs w:val="14"/>
                <w:color w:val="auto"/>
                <w:w w:val="85"/>
              </w:rPr>
              <w:t>☐</w:t>
            </w:r>
          </w:p>
        </w:tc>
        <w:tc>
          <w:tcPr>
            <w:tcW w:w="5300" w:type="dxa"/>
            <w:vAlign w:val="bottom"/>
          </w:tcPr>
          <w:p>
            <w:pPr>
              <w:ind w:left="1640"/>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jc w:val="center"/>
              <w:ind w:left="26"/>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55"/>
        </w:trPr>
        <w:tc>
          <w:tcPr>
            <w:tcW w:w="10880" w:type="dxa"/>
            <w:vAlign w:val="bottom"/>
            <w:gridSpan w:val="3"/>
          </w:tcPr>
          <w:p>
            <w:pPr>
              <w:ind w:left="40"/>
              <w:spacing w:after="0"/>
              <w:rPr>
                <w:sz w:val="20"/>
                <w:szCs w:val="20"/>
                <w:color w:val="auto"/>
              </w:rPr>
            </w:pPr>
            <w:r>
              <w:rPr>
                <w:rFonts w:ascii="Arial" w:cs="Arial" w:eastAsia="Arial" w:hAnsi="Arial"/>
                <w:sz w:val="14"/>
                <w:szCs w:val="14"/>
                <w:color w:val="auto"/>
                <w:w w:val="95"/>
              </w:rPr>
              <w:t>If an emerging growth company, indicate by check mark if the registrant has elected not to use the extended transition period for complying with any new or revised financial accounting</w:t>
            </w:r>
          </w:p>
        </w:tc>
        <w:tc>
          <w:tcPr>
            <w:tcW w:w="240" w:type="dxa"/>
            <w:vAlign w:val="bottom"/>
          </w:tcPr>
          <w:p>
            <w:pPr>
              <w:jc w:val="center"/>
              <w:ind w:left="46"/>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0"/>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standards provided pursuant to Section 13(a) of the Exchange Act.</w:t>
            </w:r>
          </w:p>
        </w:tc>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880" w:type="dxa"/>
            <w:vAlign w:val="bottom"/>
            <w:gridSpan w:val="3"/>
          </w:tcPr>
          <w:p>
            <w:pPr>
              <w:ind w:left="40"/>
              <w:spacing w:after="0"/>
              <w:rPr>
                <w:sz w:val="20"/>
                <w:szCs w:val="20"/>
                <w:color w:val="auto"/>
              </w:rPr>
            </w:pPr>
            <w:r>
              <w:rPr>
                <w:rFonts w:ascii="Arial" w:cs="Arial" w:eastAsia="Arial" w:hAnsi="Arial"/>
                <w:sz w:val="14"/>
                <w:szCs w:val="14"/>
                <w:color w:val="auto"/>
                <w:w w:val="93"/>
              </w:rPr>
              <w:t>Indicate by check mark whether the registrant has filed a report on and attestation to its management’s assessment of the effectiveness of its internal control over financial reporting under</w:t>
            </w:r>
          </w:p>
        </w:tc>
        <w:tc>
          <w:tcPr>
            <w:tcW w:w="2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10880" w:type="dxa"/>
            <w:vAlign w:val="bottom"/>
            <w:gridSpan w:val="3"/>
          </w:tcPr>
          <w:p>
            <w:pPr>
              <w:ind w:left="40"/>
              <w:spacing w:after="0"/>
              <w:rPr>
                <w:sz w:val="20"/>
                <w:szCs w:val="20"/>
                <w:color w:val="auto"/>
              </w:rPr>
            </w:pPr>
            <w:r>
              <w:rPr>
                <w:rFonts w:ascii="Arial" w:cs="Arial" w:eastAsia="Arial" w:hAnsi="Arial"/>
                <w:sz w:val="14"/>
                <w:szCs w:val="14"/>
                <w:color w:val="auto"/>
              </w:rPr>
              <w:t>Section 404(b) of the Sarbanes-Oxley Act (15 U.S.C. 7262(b)) by the registered public accounting firm that prepared or issued its audit report.</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0880" w:type="dxa"/>
            <w:vAlign w:val="bottom"/>
            <w:gridSpan w:val="3"/>
            <w:vMerge w:val="restart"/>
          </w:tcPr>
          <w:p>
            <w:pPr>
              <w:ind w:left="40"/>
              <w:spacing w:after="0"/>
              <w:rPr>
                <w:sz w:val="20"/>
                <w:szCs w:val="20"/>
                <w:color w:val="auto"/>
              </w:rPr>
            </w:pPr>
            <w:r>
              <w:rPr>
                <w:rFonts w:ascii="Arial" w:cs="Arial" w:eastAsia="Arial" w:hAnsi="Arial"/>
                <w:sz w:val="14"/>
                <w:szCs w:val="14"/>
                <w:color w:val="auto"/>
                <w:w w:val="92"/>
              </w:rPr>
              <w:t>If securities are registered pursuant to Section 12(b) of the Act, indicate by check mark whether the financial statements of the registrant included in the filing reflect the correction of an error</w:t>
            </w:r>
          </w:p>
        </w:tc>
        <w:tc>
          <w:tcPr>
            <w:tcW w:w="240" w:type="dxa"/>
            <w:vAlign w:val="bottom"/>
          </w:tcPr>
          <w:p>
            <w:pPr>
              <w:jc w:val="center"/>
              <w:ind w:left="46"/>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26"/>
        </w:trPr>
        <w:tc>
          <w:tcPr>
            <w:tcW w:w="108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40"/>
              <w:spacing w:after="0"/>
              <w:rPr>
                <w:sz w:val="20"/>
                <w:szCs w:val="20"/>
                <w:color w:val="auto"/>
              </w:rPr>
            </w:pPr>
            <w:r>
              <w:rPr>
                <w:rFonts w:ascii="Arial" w:cs="Arial" w:eastAsia="Arial" w:hAnsi="Arial"/>
                <w:sz w:val="14"/>
                <w:szCs w:val="14"/>
                <w:color w:val="auto"/>
              </w:rPr>
              <w:t>to previously issued financial statements.</w:t>
            </w:r>
          </w:p>
        </w:tc>
        <w:tc>
          <w:tcPr>
            <w:tcW w:w="29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10880" w:type="dxa"/>
            <w:vAlign w:val="bottom"/>
            <w:gridSpan w:val="3"/>
          </w:tcPr>
          <w:p>
            <w:pPr>
              <w:ind w:left="40"/>
              <w:spacing w:after="0"/>
              <w:rPr>
                <w:sz w:val="20"/>
                <w:szCs w:val="20"/>
                <w:color w:val="auto"/>
              </w:rPr>
            </w:pPr>
            <w:r>
              <w:rPr>
                <w:rFonts w:ascii="Arial" w:cs="Arial" w:eastAsia="Arial" w:hAnsi="Arial"/>
                <w:sz w:val="14"/>
                <w:szCs w:val="14"/>
                <w:color w:val="auto"/>
                <w:w w:val="92"/>
              </w:rPr>
              <w:t>Indicate by check mark whether any of those error corrections are restatments that required a recovery analysis of incentive-based compensation received by any of the registrant's executive</w:t>
            </w:r>
          </w:p>
        </w:tc>
        <w:tc>
          <w:tcPr>
            <w:tcW w:w="240" w:type="dxa"/>
            <w:vAlign w:val="bottom"/>
          </w:tcPr>
          <w:p>
            <w:pPr>
              <w:jc w:val="center"/>
              <w:ind w:left="46"/>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0"/>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officers during the relevant recovery period pursuant to §201.10D-1(b).</w:t>
            </w:r>
          </w:p>
        </w:tc>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10880" w:type="dxa"/>
            <w:vAlign w:val="bottom"/>
            <w:gridSpan w:val="3"/>
          </w:tcPr>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620" w:type="dxa"/>
            <w:vAlign w:val="bottom"/>
          </w:tcPr>
          <w:p>
            <w:pPr>
              <w:spacing w:after="0" w:line="161" w:lineRule="exact"/>
              <w:rPr>
                <w:sz w:val="20"/>
                <w:szCs w:val="20"/>
                <w:color w:val="auto"/>
              </w:rPr>
            </w:pPr>
            <w:r>
              <w:rPr>
                <w:rFonts w:ascii="Arial" w:cs="Arial" w:eastAsia="Arial" w:hAnsi="Arial"/>
                <w:sz w:val="14"/>
                <w:szCs w:val="14"/>
                <w:color w:val="auto"/>
              </w:rPr>
              <w:t xml:space="preserve">SL Green Realty Corp.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tc>
        <w:tc>
          <w:tcPr>
            <w:tcW w:w="2960" w:type="dxa"/>
            <w:vAlign w:val="bottom"/>
          </w:tcPr>
          <w:p>
            <w:pPr>
              <w:ind w:left="260"/>
              <w:spacing w:after="0" w:line="161" w:lineRule="exact"/>
              <w:rPr>
                <w:sz w:val="20"/>
                <w:szCs w:val="20"/>
                <w:color w:val="auto"/>
              </w:rPr>
            </w:pPr>
            <w:r>
              <w:rPr>
                <w:rFonts w:ascii="Arial" w:cs="Arial" w:eastAsia="Arial" w:hAnsi="Arial"/>
                <w:sz w:val="14"/>
                <w:szCs w:val="14"/>
                <w:color w:val="auto"/>
                <w:w w:val="94"/>
              </w:rPr>
              <w:t xml:space="preserve">SL Green Operating Partnership, L.P.  Yes </w:t>
            </w:r>
            <w:r>
              <w:rPr>
                <w:rFonts w:ascii="MS PGothic" w:cs="MS PGothic" w:eastAsia="MS PGothic" w:hAnsi="MS PGothic"/>
                <w:sz w:val="14"/>
                <w:szCs w:val="14"/>
                <w:color w:val="auto"/>
                <w:w w:val="94"/>
              </w:rPr>
              <w:t>☐</w:t>
            </w:r>
          </w:p>
        </w:tc>
        <w:tc>
          <w:tcPr>
            <w:tcW w:w="5300" w:type="dxa"/>
            <w:vAlign w:val="bottom"/>
          </w:tcPr>
          <w:p>
            <w:pPr>
              <w:ind w:left="80"/>
              <w:spacing w:after="0"/>
              <w:rPr>
                <w:sz w:val="20"/>
                <w:szCs w:val="20"/>
                <w:color w:val="auto"/>
              </w:rPr>
            </w:pPr>
            <w:r>
              <w:rPr>
                <w:rFonts w:ascii="Arial" w:cs="Arial" w:eastAsia="Arial" w:hAnsi="Arial"/>
                <w:sz w:val="14"/>
                <w:szCs w:val="14"/>
                <w:color w:val="auto"/>
              </w:rPr>
              <w:t>No x</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color w:val="auto"/>
        </w:rPr>
        <w:t>The aggregate market value of the common stock held by non-affiliates of SL Green Realty Corp. (57,803,185 shares) was $2.7 billion based on the quoted closing price on the New York Stock Exchange for such shares on June 30, 2022.</w:t>
      </w:r>
    </w:p>
    <w:p>
      <w:pPr>
        <w:spacing w:after="0" w:line="96"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color w:val="auto"/>
        </w:rPr>
        <w:t>As of February 15, 2023, 64,365,509 shares of SL Green Realty Corp.'s common stock, par value $0.01 per share, were outstanding. As of February 15, 2023, 306,987 common units of limited partnership interest of SL Green Operating Partnership, L.P. were held by non-affiliates. There is no established trading market for such units.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9" w:lineRule="exact"/>
        <w:rPr>
          <w:sz w:val="20"/>
          <w:szCs w:val="20"/>
          <w:color w:val="auto"/>
        </w:rPr>
      </w:pPr>
    </w:p>
    <w:p>
      <w:pPr>
        <w:ind w:right="300"/>
        <w:spacing w:after="0" w:line="286" w:lineRule="auto"/>
        <w:rPr>
          <w:sz w:val="20"/>
          <w:szCs w:val="20"/>
          <w:color w:val="auto"/>
        </w:rPr>
      </w:pPr>
      <w:r>
        <w:rPr>
          <w:rFonts w:ascii="Arial" w:cs="Arial" w:eastAsia="Arial" w:hAnsi="Arial"/>
          <w:sz w:val="14"/>
          <w:szCs w:val="14"/>
          <w:color w:val="auto"/>
        </w:rPr>
        <w:t>Portions of the SL Green Realty Corp.'s Proxy Statement for its 2022 Annual Stockholders' Meeting to be filed within 120 days after the end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1116330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148590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161"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2" w:lineRule="exact"/>
        <w:rPr>
          <w:sz w:val="20"/>
          <w:szCs w:val="20"/>
          <w:color w:val="auto"/>
        </w:rPr>
      </w:pPr>
    </w:p>
    <w:p>
      <w:pPr>
        <w:jc w:val="both"/>
        <w:ind w:firstLine="399"/>
        <w:spacing w:after="0" w:line="270" w:lineRule="auto"/>
        <w:rPr>
          <w:sz w:val="20"/>
          <w:szCs w:val="20"/>
          <w:color w:val="auto"/>
        </w:rPr>
      </w:pPr>
      <w:r>
        <w:rPr>
          <w:rFonts w:ascii="Arial" w:cs="Arial" w:eastAsia="Arial" w:hAnsi="Arial"/>
          <w:sz w:val="17"/>
          <w:szCs w:val="17"/>
          <w:color w:val="auto"/>
        </w:rPr>
        <w:t>This report combines the annual reports on Form 10-K for the year ended December 31, 2022 of SL Green Realty Corp. and SL Green Operating Partnership, L.P. Unless stated otherwise or the context otherwise requires, references to "SL Green Realty Corp.," the "Company" or "SL Green" mean SL Green Realty Corp. and its consolidated subsidiaries, including SL Green Operating Partnership, L.P.; and references to "SL Green Operating Partnership, L.P.," the "Operating Partnership" or "SLGOP" mean SL Green Operating Partnership, L.P. and its consolidated subsidiaries. The terms "we," "our" and "us" mean the Company and all the entities owned or controlled by the Company, including the Operating Partnership.</w:t>
      </w:r>
    </w:p>
    <w:p>
      <w:pPr>
        <w:spacing w:after="0" w:line="7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Company is a Maryland corporation which operates as a self-administered and self-managed real estate investment trust, or REIT, and is the sole managing general partner of the Operating Partnership. As a general partner of the Operating Partnership, the Company has full, exclusive and complete responsibility and discretion in the day-to-day management and control of the Operating Partnership.</w:t>
      </w:r>
    </w:p>
    <w:p>
      <w:pPr>
        <w:spacing w:after="0" w:line="83"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As of December 31, 2022, the Company owns 94.61% of the outstanding general and limited partnership interest in the Operating Partnership and owns 9,200,000 Series I Preferred Units of the Operating Partnership. As of December 31, 2022, noncontrolling investors held, in aggregate a 5.39% limited partnership interest in the Operating Partnership. We refer to these interests as the noncontrolling interests in the Operating Partnership.</w:t>
      </w:r>
    </w:p>
    <w:p>
      <w:pPr>
        <w:spacing w:after="0" w:line="49"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The Company and the Operating Partnership are managed and operated as one entity. The financial results of the Operating Partnership are consolidated into the financial statements of the Company. The Company has no significant assets other than its investment in the Operating Partnership. Substantially all of our assets are held by, and our operations are conducted through, the Operating Partnership. Therefore, the assets and liabilities of the Company and the Operating Partnership are substantially the same.</w:t>
      </w:r>
    </w:p>
    <w:p>
      <w:pPr>
        <w:spacing w:after="0" w:line="8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Noncontrolling interests in the Operating Partnership, stockholders' equity of the Company and partners' capital of the Operating Partnership are the main areas of difference between the consolidated financial statements of the Company and those of the Operating Partnership. The common limited partnership interests in the Operating Partnership not owned by the Company are accounted as noncontrolling interests, within mezzanine equity, in the Company's and the Operating Partnership's consolidated financial statements.</w:t>
      </w:r>
    </w:p>
    <w:p>
      <w:pPr>
        <w:spacing w:after="0" w:line="86"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We believe combining the annual reports on Form 10-K of the Company and the Operating Partnership into this single report results in the following benefits:</w:t>
      </w:r>
    </w:p>
    <w:p>
      <w:pPr>
        <w:spacing w:after="0" w:line="74" w:lineRule="exact"/>
        <w:rPr>
          <w:sz w:val="20"/>
          <w:szCs w:val="20"/>
          <w:color w:val="auto"/>
        </w:rPr>
      </w:pPr>
    </w:p>
    <w:p>
      <w:pPr>
        <w:ind w:left="960" w:right="20" w:hanging="315"/>
        <w:spacing w:after="0" w:line="253"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Combined reports enhance investors' understanding of the Company and the Operating Partnership by enabling investors to view the business as a whole in the same manner as management views and operates the business;</w:t>
      </w:r>
    </w:p>
    <w:p>
      <w:pPr>
        <w:ind w:left="960" w:hanging="315"/>
        <w:spacing w:after="0" w:line="246"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Combined reports eliminate duplicative disclosure and provides a more streamlined and readable presentation since a substantial portion of the Company's disclosure applies to both the Company and the Operating Partnership; and</w:t>
      </w:r>
    </w:p>
    <w:p>
      <w:pPr>
        <w:spacing w:after="0" w:line="1" w:lineRule="exact"/>
        <w:rPr>
          <w:rFonts w:ascii="Arial" w:cs="Arial" w:eastAsia="Arial" w:hAnsi="Arial"/>
          <w:sz w:val="18"/>
          <w:szCs w:val="18"/>
          <w:color w:val="auto"/>
        </w:rPr>
      </w:pPr>
    </w:p>
    <w:p>
      <w:pPr>
        <w:ind w:left="960" w:hanging="315"/>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Combined reports create time and cost efficiencies through the preparation of one combined report instead of two separate reports.</w:t>
      </w:r>
    </w:p>
    <w:p>
      <w:pPr>
        <w:spacing w:after="0" w:line="113"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To help investors understand the significant differences between the Company and the Operating Partnership, this report presents the following separate sections for each of the Company and the Operating Partnership:</w:t>
      </w:r>
    </w:p>
    <w:p>
      <w:pPr>
        <w:spacing w:after="0" w:line="74" w:lineRule="exact"/>
        <w:rPr>
          <w:sz w:val="20"/>
          <w:szCs w:val="20"/>
          <w:color w:val="auto"/>
        </w:rPr>
      </w:pPr>
    </w:p>
    <w:p>
      <w:pPr>
        <w:ind w:left="960" w:hanging="31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financial statements; and</w:t>
      </w:r>
    </w:p>
    <w:p>
      <w:pPr>
        <w:spacing w:after="0" w:line="112" w:lineRule="exact"/>
        <w:rPr>
          <w:rFonts w:ascii="Arial" w:cs="Arial" w:eastAsia="Arial" w:hAnsi="Arial"/>
          <w:sz w:val="18"/>
          <w:szCs w:val="18"/>
          <w:color w:val="auto"/>
        </w:rPr>
      </w:pPr>
    </w:p>
    <w:p>
      <w:pPr>
        <w:ind w:left="960" w:hanging="31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notes to the consolidated financial statements:</w:t>
      </w:r>
    </w:p>
    <w:p>
      <w:pPr>
        <w:spacing w:after="0" w:line="112" w:lineRule="exact"/>
        <w:rPr>
          <w:rFonts w:ascii="Arial" w:cs="Arial" w:eastAsia="Arial" w:hAnsi="Arial"/>
          <w:sz w:val="18"/>
          <w:szCs w:val="18"/>
          <w:color w:val="auto"/>
        </w:rPr>
      </w:pPr>
    </w:p>
    <w:p>
      <w:pPr>
        <w:ind w:left="1440" w:hanging="315"/>
        <w:spacing w:after="0"/>
        <w:tabs>
          <w:tab w:leader="none" w:pos="1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11, Noncontrolling Interests on the Company’s Consolidated Financial Statements;</w:t>
      </w:r>
    </w:p>
    <w:p>
      <w:pPr>
        <w:spacing w:after="0" w:line="17" w:lineRule="exact"/>
        <w:rPr>
          <w:rFonts w:ascii="Arial" w:cs="Arial" w:eastAsia="Arial" w:hAnsi="Arial"/>
          <w:sz w:val="18"/>
          <w:szCs w:val="18"/>
          <w:color w:val="auto"/>
        </w:rPr>
      </w:pPr>
    </w:p>
    <w:p>
      <w:pPr>
        <w:ind w:left="1440" w:hanging="315"/>
        <w:spacing w:after="0"/>
        <w:tabs>
          <w:tab w:leader="none" w:pos="1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12, Stockholders' Equity of the Company; and</w:t>
      </w:r>
    </w:p>
    <w:p>
      <w:pPr>
        <w:spacing w:after="0" w:line="6" w:lineRule="exact"/>
        <w:rPr>
          <w:rFonts w:ascii="Arial" w:cs="Arial" w:eastAsia="Arial" w:hAnsi="Arial"/>
          <w:sz w:val="18"/>
          <w:szCs w:val="18"/>
          <w:color w:val="auto"/>
        </w:rPr>
      </w:pPr>
    </w:p>
    <w:p>
      <w:pPr>
        <w:ind w:left="1440" w:hanging="315"/>
        <w:spacing w:after="0"/>
        <w:tabs>
          <w:tab w:leader="none" w:pos="1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13, Partners' Capital of the Operating Partnership;</w:t>
      </w:r>
    </w:p>
    <w:p>
      <w:pPr>
        <w:spacing w:after="0" w:line="234"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This report also includes separate Part II, Item 5. Market for Registrants' Common Equity and Related Stockholder Matters and Issuer Purchases of Equity Securities, and Item 9A. Controls and Procedures sections and separate Exhibit 31 and 32 certifications for each of the Company and the Operating Partnership, respectively, in order to establish that the Chief Executive Officer and the Chief Financial Officer of the Company, in both their capacity as the principal executive officer and principal financial officer of the Company and the principal executive officer and principal financial officer of the general partner of the Operating Partnership, have made the requisite certifications and that the Company and the Operating Partnership are compliant with Rule 13a-15 and Rule 15d-15 of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1031875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8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8"/>
        </w:trPr>
        <w:tc>
          <w:tcPr>
            <w:tcW w:w="40" w:type="dxa"/>
            <w:vAlign w:val="bottom"/>
          </w:tcPr>
          <w:p>
            <w:pPr>
              <w:spacing w:after="0"/>
              <w:rPr>
                <w:sz w:val="16"/>
                <w:szCs w:val="16"/>
                <w:color w:val="auto"/>
              </w:rPr>
            </w:pPr>
          </w:p>
        </w:tc>
        <w:tc>
          <w:tcPr>
            <w:tcW w:w="460" w:type="dxa"/>
            <w:vAlign w:val="bottom"/>
            <w:tcBorders>
              <w:bottom w:val="single" w:sz="8" w:color="auto"/>
            </w:tcBorders>
          </w:tcPr>
          <w:p>
            <w:pPr>
              <w:spacing w:after="0" w:line="188" w:lineRule="exact"/>
              <w:rPr>
                <w:sz w:val="20"/>
                <w:szCs w:val="20"/>
                <w:color w:val="auto"/>
              </w:rPr>
            </w:pPr>
            <w:r>
              <w:rPr>
                <w:rFonts w:ascii="Arial" w:cs="Arial" w:eastAsia="Arial" w:hAnsi="Arial"/>
                <w:sz w:val="18"/>
                <w:szCs w:val="18"/>
                <w:color w:val="auto"/>
                <w:w w:val="76"/>
              </w:rPr>
              <w:t>Item 1.</w:t>
            </w:r>
          </w:p>
        </w:tc>
        <w:tc>
          <w:tcPr>
            <w:tcW w:w="520" w:type="dxa"/>
            <w:vAlign w:val="bottom"/>
            <w:gridSpan w:val="3"/>
          </w:tcPr>
          <w:p>
            <w:pPr>
              <w:spacing w:after="0"/>
              <w:rPr>
                <w:sz w:val="16"/>
                <w:szCs w:val="16"/>
                <w:color w:val="auto"/>
              </w:rPr>
            </w:pPr>
          </w:p>
        </w:tc>
        <w:tc>
          <w:tcPr>
            <w:tcW w:w="640" w:type="dxa"/>
            <w:vAlign w:val="bottom"/>
            <w:tcBorders>
              <w:bottom w:val="single" w:sz="8" w:color="auto"/>
            </w:tcBorders>
          </w:tcPr>
          <w:p>
            <w:pPr>
              <w:spacing w:after="0" w:line="188" w:lineRule="exact"/>
              <w:rPr>
                <w:sz w:val="20"/>
                <w:szCs w:val="20"/>
                <w:color w:val="auto"/>
              </w:rPr>
            </w:pPr>
            <w:r>
              <w:rPr>
                <w:rFonts w:ascii="Arial" w:cs="Arial" w:eastAsia="Arial" w:hAnsi="Arial"/>
                <w:sz w:val="18"/>
                <w:szCs w:val="18"/>
                <w:color w:val="auto"/>
                <w:w w:val="84"/>
              </w:rPr>
              <w:t>Business</w:t>
            </w:r>
          </w:p>
        </w:tc>
        <w:tc>
          <w:tcPr>
            <w:tcW w:w="7300" w:type="dxa"/>
            <w:vAlign w:val="bottom"/>
            <w:gridSpan w:val="15"/>
          </w:tcPr>
          <w:p>
            <w:pPr>
              <w:spacing w:after="0"/>
              <w:rPr>
                <w:sz w:val="16"/>
                <w:szCs w:val="16"/>
                <w:color w:val="auto"/>
              </w:rPr>
            </w:pPr>
          </w:p>
        </w:tc>
        <w:tc>
          <w:tcPr>
            <w:tcW w:w="2160" w:type="dxa"/>
            <w:vAlign w:val="bottom"/>
            <w:gridSpan w:val="3"/>
          </w:tcPr>
          <w:p>
            <w:pPr>
              <w:spacing w:after="0"/>
              <w:rPr>
                <w:sz w:val="16"/>
                <w:szCs w:val="16"/>
                <w:color w:val="auto"/>
              </w:rPr>
            </w:pPr>
          </w:p>
        </w:tc>
        <w:tc>
          <w:tcPr>
            <w:tcW w:w="120" w:type="dxa"/>
            <w:vAlign w:val="bottom"/>
            <w:tcBorders>
              <w:bottom w:val="single" w:sz="8" w:color="0000FF"/>
            </w:tcBorders>
            <w:gridSpan w:val="2"/>
          </w:tcPr>
          <w:p>
            <w:pPr>
              <w:jc w:val="right"/>
              <w:ind w:right="20"/>
              <w:spacing w:after="0" w:line="188" w:lineRule="exact"/>
              <w:rPr>
                <w:sz w:val="20"/>
                <w:szCs w:val="20"/>
                <w:color w:val="auto"/>
              </w:rPr>
            </w:pPr>
            <w:r>
              <w:rPr>
                <w:rFonts w:ascii="Arial" w:cs="Arial" w:eastAsia="Arial" w:hAnsi="Arial"/>
                <w:sz w:val="18"/>
                <w:szCs w:val="18"/>
                <w:color w:val="0000FF"/>
                <w:w w:val="79"/>
              </w:rPr>
              <w:t>4</w:t>
            </w:r>
          </w:p>
        </w:tc>
      </w:tr>
      <w:tr>
        <w:trPr>
          <w:trHeight w:val="206"/>
        </w:trPr>
        <w:tc>
          <w:tcPr>
            <w:tcW w:w="4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89"/>
              </w:rPr>
              <w:t>Item 1A.</w:t>
            </w:r>
          </w:p>
        </w:tc>
        <w:tc>
          <w:tcPr>
            <w:tcW w:w="34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Risk Factors</w:t>
            </w:r>
          </w:p>
        </w:tc>
        <w:tc>
          <w:tcPr>
            <w:tcW w:w="7040" w:type="dxa"/>
            <w:vAlign w:val="bottom"/>
            <w:gridSpan w:val="13"/>
          </w:tcPr>
          <w:p>
            <w:pPr>
              <w:spacing w:after="0"/>
              <w:rPr>
                <w:sz w:val="17"/>
                <w:szCs w:val="17"/>
                <w:color w:val="auto"/>
              </w:rPr>
            </w:pP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13</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89"/>
              </w:rPr>
              <w:t>Item 1B.</w:t>
            </w:r>
          </w:p>
        </w:tc>
        <w:tc>
          <w:tcPr>
            <w:tcW w:w="340" w:type="dxa"/>
            <w:vAlign w:val="bottom"/>
          </w:tcPr>
          <w:p>
            <w:pPr>
              <w:spacing w:after="0"/>
              <w:rPr>
                <w:sz w:val="17"/>
                <w:szCs w:val="17"/>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Unresolved Staff Comments</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24</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76"/>
              </w:rPr>
              <w:t>Item 2.</w:t>
            </w:r>
          </w:p>
        </w:tc>
        <w:tc>
          <w:tcPr>
            <w:tcW w:w="12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2020" w:type="dxa"/>
            <w:vAlign w:val="bottom"/>
            <w:gridSpan w:val="8"/>
          </w:tcPr>
          <w:p>
            <w:pPr>
              <w:spacing w:after="0"/>
              <w:rPr>
                <w:sz w:val="20"/>
                <w:szCs w:val="20"/>
                <w:color w:val="auto"/>
              </w:rPr>
            </w:pPr>
            <w:r>
              <w:rPr>
                <w:rFonts w:ascii="Arial" w:cs="Arial" w:eastAsia="Arial" w:hAnsi="Arial"/>
                <w:sz w:val="18"/>
                <w:szCs w:val="18"/>
                <w:color w:val="auto"/>
              </w:rPr>
              <w:t>Properties</w:t>
            </w:r>
          </w:p>
        </w:tc>
        <w:tc>
          <w:tcPr>
            <w:tcW w:w="5920" w:type="dxa"/>
            <w:vAlign w:val="bottom"/>
            <w:gridSpan w:val="8"/>
          </w:tcPr>
          <w:p>
            <w:pPr>
              <w:spacing w:after="0"/>
              <w:rPr>
                <w:sz w:val="17"/>
                <w:szCs w:val="17"/>
                <w:color w:val="auto"/>
              </w:rPr>
            </w:pP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25</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76"/>
              </w:rPr>
              <w:t>Item 3.</w:t>
            </w:r>
          </w:p>
        </w:tc>
        <w:tc>
          <w:tcPr>
            <w:tcW w:w="520" w:type="dxa"/>
            <w:vAlign w:val="bottom"/>
            <w:gridSpan w:val="3"/>
          </w:tcPr>
          <w:p>
            <w:pPr>
              <w:spacing w:after="0"/>
              <w:rPr>
                <w:sz w:val="17"/>
                <w:szCs w:val="17"/>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w w:val="85"/>
              </w:rPr>
              <w:t>Legal Proceedings</w:t>
            </w:r>
          </w:p>
        </w:tc>
        <w:tc>
          <w:tcPr>
            <w:tcW w:w="6620" w:type="dxa"/>
            <w:vAlign w:val="bottom"/>
            <w:gridSpan w:val="11"/>
          </w:tcPr>
          <w:p>
            <w:pPr>
              <w:spacing w:after="0"/>
              <w:rPr>
                <w:sz w:val="17"/>
                <w:szCs w:val="17"/>
                <w:color w:val="auto"/>
              </w:rPr>
            </w:pP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31</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76"/>
              </w:rPr>
              <w:t>Item 4.</w:t>
            </w:r>
          </w:p>
        </w:tc>
        <w:tc>
          <w:tcPr>
            <w:tcW w:w="520" w:type="dxa"/>
            <w:vAlign w:val="bottom"/>
            <w:gridSpan w:val="3"/>
          </w:tcPr>
          <w:p>
            <w:pPr>
              <w:spacing w:after="0"/>
              <w:rPr>
                <w:sz w:val="17"/>
                <w:szCs w:val="17"/>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Mine Safety Disclosures</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31</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40" w:type="dxa"/>
            <w:vAlign w:val="bottom"/>
          </w:tcPr>
          <w:p>
            <w:pPr>
              <w:spacing w:after="0"/>
              <w:rPr>
                <w:sz w:val="16"/>
                <w:szCs w:val="16"/>
                <w:color w:val="auto"/>
              </w:rPr>
            </w:pPr>
          </w:p>
        </w:tc>
        <w:tc>
          <w:tcPr>
            <w:tcW w:w="460" w:type="dxa"/>
            <w:vAlign w:val="bottom"/>
          </w:tcPr>
          <w:p>
            <w:pPr>
              <w:spacing w:after="0" w:line="188" w:lineRule="exact"/>
              <w:rPr>
                <w:sz w:val="20"/>
                <w:szCs w:val="20"/>
                <w:color w:val="auto"/>
              </w:rPr>
            </w:pPr>
            <w:r>
              <w:rPr>
                <w:rFonts w:ascii="Arial" w:cs="Arial" w:eastAsia="Arial" w:hAnsi="Arial"/>
                <w:sz w:val="18"/>
                <w:szCs w:val="18"/>
                <w:color w:val="auto"/>
                <w:w w:val="76"/>
              </w:rPr>
              <w:t>Item 5.</w:t>
            </w:r>
          </w:p>
        </w:tc>
        <w:tc>
          <w:tcPr>
            <w:tcW w:w="520" w:type="dxa"/>
            <w:vAlign w:val="bottom"/>
            <w:gridSpan w:val="3"/>
          </w:tcPr>
          <w:p>
            <w:pPr>
              <w:spacing w:after="0"/>
              <w:rPr>
                <w:sz w:val="16"/>
                <w:szCs w:val="16"/>
                <w:color w:val="auto"/>
              </w:rPr>
            </w:pPr>
          </w:p>
        </w:tc>
        <w:tc>
          <w:tcPr>
            <w:tcW w:w="7940" w:type="dxa"/>
            <w:vAlign w:val="bottom"/>
            <w:gridSpan w:val="16"/>
          </w:tcPr>
          <w:p>
            <w:pPr>
              <w:spacing w:after="0" w:line="188" w:lineRule="exact"/>
              <w:rPr>
                <w:sz w:val="20"/>
                <w:szCs w:val="20"/>
                <w:color w:val="auto"/>
              </w:rPr>
            </w:pPr>
            <w:r>
              <w:rPr>
                <w:rFonts w:ascii="Arial" w:cs="Arial" w:eastAsia="Arial" w:hAnsi="Arial"/>
                <w:sz w:val="18"/>
                <w:szCs w:val="18"/>
                <w:color w:val="auto"/>
                <w:w w:val="89"/>
              </w:rPr>
              <w:t>Market for Registrant's Common Equity, Related Stockholder Matters and Issuer Purchases of Equity Securities</w:t>
            </w:r>
          </w:p>
        </w:tc>
        <w:tc>
          <w:tcPr>
            <w:tcW w:w="2280" w:type="dxa"/>
            <w:vAlign w:val="bottom"/>
            <w:gridSpan w:val="5"/>
          </w:tcPr>
          <w:p>
            <w:pPr>
              <w:jc w:val="right"/>
              <w:ind w:right="20"/>
              <w:spacing w:after="0" w:line="188" w:lineRule="exact"/>
              <w:rPr>
                <w:sz w:val="20"/>
                <w:szCs w:val="20"/>
                <w:color w:val="auto"/>
              </w:rPr>
            </w:pPr>
            <w:r>
              <w:rPr>
                <w:rFonts w:ascii="Arial" w:cs="Arial" w:eastAsia="Arial" w:hAnsi="Arial"/>
                <w:sz w:val="18"/>
                <w:szCs w:val="18"/>
                <w:color w:val="0000FF"/>
              </w:rPr>
              <w:t>32</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76"/>
              </w:rPr>
              <w:t>Item 7.</w:t>
            </w:r>
          </w:p>
        </w:tc>
        <w:tc>
          <w:tcPr>
            <w:tcW w:w="520" w:type="dxa"/>
            <w:vAlign w:val="bottom"/>
            <w:gridSpan w:val="3"/>
          </w:tcPr>
          <w:p>
            <w:pPr>
              <w:spacing w:after="0"/>
              <w:rPr>
                <w:sz w:val="17"/>
                <w:szCs w:val="17"/>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34</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89"/>
              </w:rPr>
              <w:t>Item 7A.</w:t>
            </w:r>
          </w:p>
        </w:tc>
        <w:tc>
          <w:tcPr>
            <w:tcW w:w="340" w:type="dxa"/>
            <w:vAlign w:val="bottom"/>
          </w:tcPr>
          <w:p>
            <w:pPr>
              <w:spacing w:after="0"/>
              <w:rPr>
                <w:sz w:val="17"/>
                <w:szCs w:val="17"/>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55</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76"/>
              </w:rPr>
              <w:t>Item 8.</w:t>
            </w:r>
          </w:p>
        </w:tc>
        <w:tc>
          <w:tcPr>
            <w:tcW w:w="18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gridSpan w:val="12"/>
          </w:tcPr>
          <w:p>
            <w:pPr>
              <w:spacing w:after="0"/>
              <w:rPr>
                <w:sz w:val="20"/>
                <w:szCs w:val="20"/>
                <w:color w:val="auto"/>
              </w:rPr>
            </w:pPr>
            <w:r>
              <w:rPr>
                <w:rFonts w:ascii="Arial" w:cs="Arial" w:eastAsia="Arial" w:hAnsi="Arial"/>
                <w:sz w:val="18"/>
                <w:szCs w:val="18"/>
                <w:color w:val="auto"/>
              </w:rPr>
              <w:t>Financial Statements and Supplementary Data</w:t>
            </w:r>
          </w:p>
        </w:tc>
        <w:tc>
          <w:tcPr>
            <w:tcW w:w="3700" w:type="dxa"/>
            <w:vAlign w:val="bottom"/>
            <w:gridSpan w:val="4"/>
          </w:tcPr>
          <w:p>
            <w:pPr>
              <w:spacing w:after="0"/>
              <w:rPr>
                <w:sz w:val="17"/>
                <w:szCs w:val="17"/>
                <w:color w:val="auto"/>
              </w:rPr>
            </w:pP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57</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76"/>
              </w:rPr>
              <w:t>Item 9.</w:t>
            </w:r>
          </w:p>
        </w:tc>
        <w:tc>
          <w:tcPr>
            <w:tcW w:w="520" w:type="dxa"/>
            <w:vAlign w:val="bottom"/>
            <w:gridSpan w:val="3"/>
          </w:tcPr>
          <w:p>
            <w:pPr>
              <w:spacing w:after="0"/>
              <w:rPr>
                <w:sz w:val="17"/>
                <w:szCs w:val="17"/>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128</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89"/>
              </w:rPr>
              <w:t>Item 9A.</w:t>
            </w:r>
          </w:p>
        </w:tc>
        <w:tc>
          <w:tcPr>
            <w:tcW w:w="340" w:type="dxa"/>
            <w:vAlign w:val="bottom"/>
          </w:tcPr>
          <w:p>
            <w:pPr>
              <w:spacing w:after="0"/>
              <w:rPr>
                <w:sz w:val="17"/>
                <w:szCs w:val="17"/>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Controls and Procedures</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129</w:t>
            </w:r>
          </w:p>
        </w:tc>
      </w:tr>
      <w:tr>
        <w:trPr>
          <w:trHeight w:val="206"/>
        </w:trPr>
        <w:tc>
          <w:tcPr>
            <w:tcW w:w="40" w:type="dxa"/>
            <w:vAlign w:val="bottom"/>
          </w:tcPr>
          <w:p>
            <w:pPr>
              <w:spacing w:after="0"/>
              <w:rPr>
                <w:sz w:val="17"/>
                <w:szCs w:val="17"/>
                <w:color w:val="auto"/>
              </w:rPr>
            </w:pPr>
          </w:p>
        </w:tc>
        <w:tc>
          <w:tcPr>
            <w:tcW w:w="6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9"/>
              </w:rPr>
              <w:t>Item 9B.</w:t>
            </w:r>
          </w:p>
        </w:tc>
        <w:tc>
          <w:tcPr>
            <w:tcW w:w="340" w:type="dxa"/>
            <w:vAlign w:val="bottom"/>
          </w:tcPr>
          <w:p>
            <w:pPr>
              <w:spacing w:after="0"/>
              <w:rPr>
                <w:sz w:val="17"/>
                <w:szCs w:val="17"/>
                <w:color w:val="auto"/>
              </w:rPr>
            </w:pPr>
          </w:p>
        </w:tc>
        <w:tc>
          <w:tcPr>
            <w:tcW w:w="132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color w:val="auto"/>
                <w:w w:val="91"/>
              </w:rPr>
              <w:t>Other Information</w:t>
            </w:r>
          </w:p>
        </w:tc>
        <w:tc>
          <w:tcPr>
            <w:tcW w:w="420" w:type="dxa"/>
            <w:vAlign w:val="bottom"/>
            <w:tcBorders>
              <w:top w:val="single" w:sz="8" w:color="auto"/>
            </w:tcBorders>
          </w:tcPr>
          <w:p>
            <w:pPr>
              <w:spacing w:after="0"/>
              <w:rPr>
                <w:sz w:val="17"/>
                <w:szCs w:val="17"/>
                <w:color w:val="auto"/>
              </w:rPr>
            </w:pPr>
          </w:p>
        </w:tc>
        <w:tc>
          <w:tcPr>
            <w:tcW w:w="6200" w:type="dxa"/>
            <w:vAlign w:val="bottom"/>
            <w:gridSpan w:val="10"/>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86"/>
              </w:rPr>
              <w:t>133</w:t>
            </w:r>
          </w:p>
        </w:tc>
        <w:tc>
          <w:tcPr>
            <w:tcW w:w="20" w:type="dxa"/>
            <w:vAlign w:val="bottom"/>
          </w:tcPr>
          <w:p>
            <w:pPr>
              <w:spacing w:after="0"/>
              <w:rPr>
                <w:sz w:val="17"/>
                <w:szCs w:val="17"/>
                <w:color w:val="auto"/>
              </w:rPr>
            </w:pPr>
          </w:p>
        </w:tc>
      </w:tr>
      <w:tr>
        <w:trPr>
          <w:trHeight w:val="245"/>
        </w:trPr>
        <w:tc>
          <w:tcPr>
            <w:tcW w:w="4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40" w:type="dxa"/>
            <w:vAlign w:val="bottom"/>
          </w:tcPr>
          <w:p>
            <w:pPr>
              <w:spacing w:after="0"/>
              <w:rPr>
                <w:sz w:val="16"/>
                <w:szCs w:val="16"/>
                <w:color w:val="auto"/>
              </w:rPr>
            </w:pPr>
          </w:p>
        </w:tc>
        <w:tc>
          <w:tcPr>
            <w:tcW w:w="980" w:type="dxa"/>
            <w:vAlign w:val="bottom"/>
            <w:gridSpan w:val="4"/>
          </w:tcPr>
          <w:p>
            <w:pPr>
              <w:spacing w:after="0" w:line="188" w:lineRule="exact"/>
              <w:rPr>
                <w:sz w:val="20"/>
                <w:szCs w:val="20"/>
                <w:color w:val="auto"/>
              </w:rPr>
            </w:pPr>
            <w:r>
              <w:rPr>
                <w:rFonts w:ascii="Arial" w:cs="Arial" w:eastAsia="Arial" w:hAnsi="Arial"/>
                <w:sz w:val="18"/>
                <w:szCs w:val="18"/>
                <w:color w:val="auto"/>
              </w:rPr>
              <w:t>Item 10.</w:t>
            </w:r>
          </w:p>
        </w:tc>
        <w:tc>
          <w:tcPr>
            <w:tcW w:w="7940" w:type="dxa"/>
            <w:vAlign w:val="bottom"/>
            <w:gridSpan w:val="16"/>
          </w:tcPr>
          <w:p>
            <w:pPr>
              <w:spacing w:after="0" w:line="188" w:lineRule="exact"/>
              <w:rPr>
                <w:sz w:val="20"/>
                <w:szCs w:val="20"/>
                <w:color w:val="auto"/>
              </w:rPr>
            </w:pPr>
            <w:r>
              <w:rPr>
                <w:rFonts w:ascii="Arial" w:cs="Arial" w:eastAsia="Arial" w:hAnsi="Arial"/>
                <w:sz w:val="18"/>
                <w:szCs w:val="18"/>
                <w:color w:val="auto"/>
              </w:rPr>
              <w:t>Directors, Executive Officers and Corporate Governance</w:t>
            </w:r>
          </w:p>
        </w:tc>
        <w:tc>
          <w:tcPr>
            <w:tcW w:w="2280" w:type="dxa"/>
            <w:vAlign w:val="bottom"/>
            <w:gridSpan w:val="5"/>
          </w:tcPr>
          <w:p>
            <w:pPr>
              <w:jc w:val="right"/>
              <w:ind w:right="20"/>
              <w:spacing w:after="0" w:line="188" w:lineRule="exact"/>
              <w:rPr>
                <w:sz w:val="20"/>
                <w:szCs w:val="20"/>
                <w:color w:val="auto"/>
              </w:rPr>
            </w:pPr>
            <w:r>
              <w:rPr>
                <w:rFonts w:ascii="Arial" w:cs="Arial" w:eastAsia="Arial" w:hAnsi="Arial"/>
                <w:sz w:val="18"/>
                <w:szCs w:val="18"/>
                <w:color w:val="0000FF"/>
              </w:rPr>
              <w:t>134</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7940" w:type="dxa"/>
            <w:vAlign w:val="bottom"/>
            <w:gridSpan w:val="16"/>
          </w:tcPr>
          <w:p>
            <w:pPr>
              <w:spacing w:after="0"/>
              <w:rPr>
                <w:sz w:val="20"/>
                <w:szCs w:val="20"/>
                <w:color w:val="auto"/>
              </w:rPr>
            </w:pPr>
            <w:r>
              <w:rPr>
                <w:rFonts w:ascii="Arial" w:cs="Arial" w:eastAsia="Arial" w:hAnsi="Arial"/>
                <w:sz w:val="18"/>
                <w:szCs w:val="18"/>
                <w:color w:val="auto"/>
              </w:rPr>
              <w:t>Executive Compensation</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134</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7940" w:type="dxa"/>
            <w:vAlign w:val="bottom"/>
            <w:gridSpan w:val="16"/>
          </w:tcPr>
          <w:p>
            <w:pPr>
              <w:spacing w:after="0"/>
              <w:rPr>
                <w:sz w:val="20"/>
                <w:szCs w:val="20"/>
                <w:color w:val="auto"/>
              </w:rPr>
            </w:pPr>
            <w:r>
              <w:rPr>
                <w:rFonts w:ascii="Arial" w:cs="Arial" w:eastAsia="Arial" w:hAnsi="Arial"/>
                <w:sz w:val="18"/>
                <w:szCs w:val="18"/>
                <w:color w:val="auto"/>
                <w:w w:val="98"/>
              </w:rPr>
              <w:t>Security Ownership of Certain Beneficial Owners and Management and Related Stockholder Matters</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134</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760" w:type="dxa"/>
            <w:vAlign w:val="bottom"/>
            <w:gridSpan w:val="5"/>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7940" w:type="dxa"/>
            <w:vAlign w:val="bottom"/>
            <w:gridSpan w:val="16"/>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134</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7940" w:type="dxa"/>
            <w:vAlign w:val="bottom"/>
            <w:gridSpan w:val="16"/>
          </w:tcPr>
          <w:p>
            <w:pPr>
              <w:spacing w:after="0"/>
              <w:rPr>
                <w:sz w:val="20"/>
                <w:szCs w:val="20"/>
                <w:color w:val="auto"/>
              </w:rPr>
            </w:pPr>
            <w:r>
              <w:rPr>
                <w:rFonts w:ascii="Arial" w:cs="Arial" w:eastAsia="Arial" w:hAnsi="Arial"/>
                <w:sz w:val="18"/>
                <w:szCs w:val="18"/>
                <w:color w:val="auto"/>
              </w:rPr>
              <w:t>Principal Accounting Fees and Services</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0000FF"/>
              </w:rPr>
              <w:t>134</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40" w:type="dxa"/>
            <w:vAlign w:val="bottom"/>
          </w:tcPr>
          <w:p>
            <w:pPr>
              <w:spacing w:after="0"/>
              <w:rPr>
                <w:sz w:val="16"/>
                <w:szCs w:val="16"/>
                <w:color w:val="auto"/>
              </w:rPr>
            </w:pPr>
          </w:p>
        </w:tc>
        <w:tc>
          <w:tcPr>
            <w:tcW w:w="980" w:type="dxa"/>
            <w:vAlign w:val="bottom"/>
            <w:gridSpan w:val="4"/>
          </w:tcPr>
          <w:p>
            <w:pPr>
              <w:spacing w:after="0" w:line="188" w:lineRule="exact"/>
              <w:rPr>
                <w:sz w:val="20"/>
                <w:szCs w:val="20"/>
                <w:color w:val="auto"/>
              </w:rPr>
            </w:pPr>
            <w:r>
              <w:rPr>
                <w:rFonts w:ascii="Arial" w:cs="Arial" w:eastAsia="Arial" w:hAnsi="Arial"/>
                <w:sz w:val="18"/>
                <w:szCs w:val="18"/>
                <w:color w:val="auto"/>
              </w:rPr>
              <w:t>Item 15.</w:t>
            </w:r>
          </w:p>
        </w:tc>
        <w:tc>
          <w:tcPr>
            <w:tcW w:w="7940" w:type="dxa"/>
            <w:vAlign w:val="bottom"/>
            <w:gridSpan w:val="16"/>
          </w:tcPr>
          <w:p>
            <w:pPr>
              <w:spacing w:after="0" w:line="188" w:lineRule="exact"/>
              <w:rPr>
                <w:sz w:val="20"/>
                <w:szCs w:val="20"/>
                <w:color w:val="auto"/>
              </w:rPr>
            </w:pPr>
            <w:r>
              <w:rPr>
                <w:rFonts w:ascii="Arial" w:cs="Arial" w:eastAsia="Arial" w:hAnsi="Arial"/>
                <w:sz w:val="18"/>
                <w:szCs w:val="18"/>
                <w:color w:val="auto"/>
              </w:rPr>
              <w:t>Exhibits, Financial Statements and Schedules</w:t>
            </w:r>
          </w:p>
        </w:tc>
        <w:tc>
          <w:tcPr>
            <w:tcW w:w="2280" w:type="dxa"/>
            <w:vAlign w:val="bottom"/>
            <w:gridSpan w:val="5"/>
          </w:tcPr>
          <w:p>
            <w:pPr>
              <w:jc w:val="right"/>
              <w:ind w:right="20"/>
              <w:spacing w:after="0" w:line="188" w:lineRule="exact"/>
              <w:rPr>
                <w:sz w:val="20"/>
                <w:szCs w:val="20"/>
                <w:color w:val="auto"/>
              </w:rPr>
            </w:pPr>
            <w:r>
              <w:rPr>
                <w:rFonts w:ascii="Arial" w:cs="Arial" w:eastAsia="Arial" w:hAnsi="Arial"/>
                <w:sz w:val="18"/>
                <w:szCs w:val="18"/>
                <w:color w:val="0000FF"/>
              </w:rPr>
              <w:t>135</w:t>
            </w:r>
          </w:p>
        </w:tc>
      </w:tr>
      <w:tr>
        <w:trPr>
          <w:trHeight w:val="206"/>
        </w:trPr>
        <w:tc>
          <w:tcPr>
            <w:tcW w:w="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SIGNATURES</w:t>
            </w:r>
          </w:p>
        </w:tc>
        <w:tc>
          <w:tcPr>
            <w:tcW w:w="4660" w:type="dxa"/>
            <w:vAlign w:val="bottom"/>
            <w:gridSpan w:val="6"/>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86"/>
              </w:rPr>
              <w:t>140</w:t>
            </w:r>
          </w:p>
        </w:tc>
        <w:tc>
          <w:tcPr>
            <w:tcW w:w="20" w:type="dxa"/>
            <w:vAlign w:val="bottom"/>
          </w:tcPr>
          <w:p>
            <w:pPr>
              <w:spacing w:after="0"/>
              <w:rPr>
                <w:sz w:val="17"/>
                <w:szCs w:val="17"/>
                <w:color w:val="auto"/>
              </w:rPr>
            </w:pPr>
          </w:p>
        </w:tc>
      </w:tr>
      <w:tr>
        <w:trPr>
          <w:trHeight w:val="1504"/>
        </w:trPr>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SL Green Realty Corp. is a self-managed real estate investment trust, or REIT, engaged in the acquisition, development, redevelopment, repositioning, ownership, management and operation of commercial real estate properties, principally office properties, located in the New York metropolitan area, principally in Manhattan, a borough of New York City. We were formed in June, 1997 for the purpose of continuing the commercial real estate business of S.L. Green Properties, Inc., our predecessor entity. S.L. Green Properties, Inc., which was founded in 1980 by Stephen L. Green, who serves as a member and the chairman emeritus of the Company's board of directors, had been engaged in the business of owning, managing, leasing, and repositioning office properties in Manhattan.</w:t>
      </w:r>
    </w:p>
    <w:p>
      <w:pPr>
        <w:spacing w:after="0" w:line="91"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As of December 31, 2022, we owned the following interests in properties in the New York metropolitan area, primarily in midtown Manhattan. Our investments located outside of Manhattan are referred to as the Suburban properties: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ind w:left="720"/>
              <w:spacing w:after="0"/>
              <w:rPr>
                <w:sz w:val="20"/>
                <w:szCs w:val="20"/>
                <w:color w:val="auto"/>
              </w:rPr>
            </w:pPr>
            <w:r>
              <w:rPr>
                <w:rFonts w:ascii="Arial" w:cs="Arial" w:eastAsia="Arial" w:hAnsi="Arial"/>
                <w:sz w:val="14"/>
                <w:szCs w:val="14"/>
                <w:b w:val="1"/>
                <w:bCs w:val="1"/>
                <w:color w:val="auto"/>
              </w:rPr>
              <w:t>Consolidated</w:t>
            </w:r>
          </w:p>
        </w:tc>
        <w:tc>
          <w:tcPr>
            <w:tcW w:w="2220" w:type="dxa"/>
            <w:vAlign w:val="bottom"/>
            <w:gridSpan w:val="4"/>
          </w:tcPr>
          <w:p>
            <w:pPr>
              <w:ind w:left="580"/>
              <w:spacing w:after="0"/>
              <w:rPr>
                <w:sz w:val="20"/>
                <w:szCs w:val="20"/>
                <w:color w:val="auto"/>
              </w:rPr>
            </w:pPr>
            <w:r>
              <w:rPr>
                <w:rFonts w:ascii="Arial" w:cs="Arial" w:eastAsia="Arial" w:hAnsi="Arial"/>
                <w:sz w:val="14"/>
                <w:szCs w:val="14"/>
                <w:b w:val="1"/>
                <w:bCs w:val="1"/>
                <w:color w:val="auto"/>
              </w:rPr>
              <w:t>Unconsolidated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6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Property Type</w:t>
            </w:r>
          </w:p>
        </w:tc>
        <w:tc>
          <w:tcPr>
            <w:tcW w:w="300" w:type="dxa"/>
            <w:vAlign w:val="bottom"/>
          </w:tcPr>
          <w:p>
            <w:pPr>
              <w:spacing w:after="0"/>
              <w:rPr>
                <w:sz w:val="11"/>
                <w:szCs w:val="11"/>
                <w:color w:val="auto"/>
              </w:rPr>
            </w:pPr>
          </w:p>
        </w:tc>
        <w:tc>
          <w:tcPr>
            <w:tcW w:w="118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4"/>
                <w:szCs w:val="14"/>
                <w:b w:val="1"/>
                <w:bCs w:val="1"/>
                <w:color w:val="auto"/>
              </w:rPr>
              <w:t>Number of</w:t>
            </w:r>
          </w:p>
        </w:tc>
        <w:tc>
          <w:tcPr>
            <w:tcW w:w="10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3"/>
              </w:rPr>
              <w:t>Approximate</w:t>
            </w:r>
          </w:p>
        </w:tc>
        <w:tc>
          <w:tcPr>
            <w:tcW w:w="120" w:type="dxa"/>
            <w:vAlign w:val="bottom"/>
          </w:tcPr>
          <w:p>
            <w:pPr>
              <w:spacing w:after="0"/>
              <w:rPr>
                <w:sz w:val="11"/>
                <w:szCs w:val="11"/>
                <w:color w:val="auto"/>
              </w:rPr>
            </w:pPr>
          </w:p>
        </w:tc>
        <w:tc>
          <w:tcPr>
            <w:tcW w:w="104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4"/>
                <w:szCs w:val="14"/>
                <w:b w:val="1"/>
                <w:bCs w:val="1"/>
                <w:color w:val="auto"/>
              </w:rPr>
              <w:t>Number of</w:t>
            </w:r>
          </w:p>
        </w:tc>
        <w:tc>
          <w:tcPr>
            <w:tcW w:w="10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3"/>
              </w:rPr>
              <w:t>Approximate</w:t>
            </w:r>
          </w:p>
        </w:tc>
        <w:tc>
          <w:tcPr>
            <w:tcW w:w="120" w:type="dxa"/>
            <w:vAlign w:val="bottom"/>
          </w:tcPr>
          <w:p>
            <w:pPr>
              <w:spacing w:after="0"/>
              <w:rPr>
                <w:sz w:val="11"/>
                <w:szCs w:val="11"/>
                <w:color w:val="auto"/>
              </w:rPr>
            </w:pPr>
          </w:p>
        </w:tc>
        <w:tc>
          <w:tcPr>
            <w:tcW w:w="106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4"/>
                <w:szCs w:val="14"/>
                <w:b w:val="1"/>
                <w:bCs w:val="1"/>
                <w:color w:val="auto"/>
              </w:rPr>
              <w:t>Number of</w:t>
            </w:r>
          </w:p>
        </w:tc>
        <w:tc>
          <w:tcPr>
            <w:tcW w:w="1080" w:type="dxa"/>
            <w:vAlign w:val="bottom"/>
            <w:tcBorders>
              <w:top w:val="single" w:sz="8" w:color="auto"/>
            </w:tcBorders>
          </w:tcPr>
          <w:p>
            <w:pPr>
              <w:jc w:val="right"/>
              <w:ind w:right="69"/>
              <w:spacing w:after="0" w:line="131" w:lineRule="exact"/>
              <w:rPr>
                <w:sz w:val="20"/>
                <w:szCs w:val="20"/>
                <w:color w:val="auto"/>
              </w:rPr>
            </w:pPr>
            <w:r>
              <w:rPr>
                <w:rFonts w:ascii="Arial" w:cs="Arial" w:eastAsia="Arial" w:hAnsi="Arial"/>
                <w:sz w:val="14"/>
                <w:szCs w:val="14"/>
                <w:b w:val="1"/>
                <w:bCs w:val="1"/>
                <w:color w:val="auto"/>
              </w:rPr>
              <w:t>Approximate</w:t>
            </w: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Square Feet</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Square Feet</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Square Feet</w:t>
            </w:r>
          </w:p>
        </w:tc>
        <w:tc>
          <w:tcPr>
            <w:tcW w:w="100" w:type="dxa"/>
            <w:vAlign w:val="bottom"/>
          </w:tcPr>
          <w:p>
            <w:pPr>
              <w:spacing w:after="0"/>
              <w:rPr>
                <w:sz w:val="16"/>
                <w:szCs w:val="16"/>
                <w:color w:val="auto"/>
              </w:rPr>
            </w:pPr>
          </w:p>
        </w:tc>
        <w:tc>
          <w:tcPr>
            <w:tcW w:w="1240" w:type="dxa"/>
            <w:vAlign w:val="bottom"/>
          </w:tcPr>
          <w:p>
            <w:pPr>
              <w:jc w:val="right"/>
              <w:ind w:right="149"/>
              <w:spacing w:after="0"/>
              <w:rPr>
                <w:sz w:val="20"/>
                <w:szCs w:val="20"/>
                <w:color w:val="auto"/>
              </w:rPr>
            </w:pPr>
            <w:r>
              <w:rPr>
                <w:rFonts w:ascii="Arial" w:cs="Arial" w:eastAsia="Arial" w:hAnsi="Arial"/>
                <w:sz w:val="14"/>
                <w:szCs w:val="14"/>
                <w:b w:val="1"/>
                <w:bCs w:val="1"/>
                <w:color w:val="auto"/>
              </w:rPr>
              <w:t>Occupancy</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99"/>
        </w:trPr>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Commercial:</w:t>
            </w:r>
          </w:p>
        </w:tc>
        <w:tc>
          <w:tcPr>
            <w:tcW w:w="1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Arial" w:cs="Arial" w:eastAsia="Arial" w:hAnsi="Arial"/>
                <w:sz w:val="14"/>
                <w:szCs w:val="14"/>
                <w:color w:val="auto"/>
              </w:rPr>
              <w:t>Manhattan</w:t>
            </w:r>
          </w:p>
        </w:tc>
        <w:tc>
          <w:tcPr>
            <w:tcW w:w="1860" w:type="dxa"/>
            <w:vAlign w:val="bottom"/>
          </w:tcPr>
          <w:p>
            <w:pPr>
              <w:ind w:left="140"/>
              <w:spacing w:after="0"/>
              <w:rPr>
                <w:sz w:val="20"/>
                <w:szCs w:val="20"/>
                <w:color w:val="auto"/>
              </w:rPr>
            </w:pPr>
            <w:r>
              <w:rPr>
                <w:rFonts w:ascii="Arial" w:cs="Arial" w:eastAsia="Arial" w:hAnsi="Arial"/>
                <w:sz w:val="14"/>
                <w:szCs w:val="14"/>
                <w:color w:val="auto"/>
              </w:rPr>
              <w:t>Office</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9,963,138</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13,998,381</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23,961,519</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90.7 %</w:t>
            </w: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Retail</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301,996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319,884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91.2 %</w:t>
            </w:r>
          </w:p>
        </w:tc>
        <w:tc>
          <w:tcPr>
            <w:tcW w:w="0" w:type="dxa"/>
            <w:vAlign w:val="bottom"/>
          </w:tcPr>
          <w:p>
            <w:pPr>
              <w:spacing w:after="0"/>
              <w:rPr>
                <w:sz w:val="1"/>
                <w:szCs w:val="1"/>
                <w:color w:val="auto"/>
              </w:rPr>
            </w:pPr>
          </w:p>
        </w:tc>
      </w:tr>
      <w:tr>
        <w:trPr>
          <w:trHeight w:val="193"/>
        </w:trPr>
        <w:tc>
          <w:tcPr>
            <w:tcW w:w="98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w w:val="99"/>
              </w:rPr>
              <w:t xml:space="preserve">Development/Redevelopment </w:t>
            </w:r>
            <w:r>
              <w:rPr>
                <w:rFonts w:ascii="Arial" w:cs="Arial" w:eastAsia="Arial" w:hAnsi="Arial"/>
                <w:sz w:val="10"/>
                <w:szCs w:val="10"/>
                <w:color w:val="auto"/>
                <w:w w:val="99"/>
              </w:rPr>
              <w:t>(1)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1,685,215</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2,746,241</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4,431,456</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0"/>
        </w:trPr>
        <w:tc>
          <w:tcPr>
            <w:tcW w:w="9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11,666,241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17,046,618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28,712,859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90.7 %</w:t>
            </w:r>
          </w:p>
        </w:tc>
        <w:tc>
          <w:tcPr>
            <w:tcW w:w="0" w:type="dxa"/>
            <w:vAlign w:val="bottom"/>
          </w:tcPr>
          <w:p>
            <w:pPr>
              <w:spacing w:after="0"/>
              <w:rPr>
                <w:sz w:val="1"/>
                <w:szCs w:val="1"/>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Suburban</w:t>
            </w:r>
          </w:p>
        </w:tc>
        <w:tc>
          <w:tcPr>
            <w:tcW w:w="1860" w:type="dxa"/>
            <w:vAlign w:val="bottom"/>
          </w:tcPr>
          <w:p>
            <w:pPr>
              <w:ind w:left="140"/>
              <w:spacing w:after="0"/>
              <w:rPr>
                <w:sz w:val="20"/>
                <w:szCs w:val="20"/>
                <w:color w:val="auto"/>
              </w:rPr>
            </w:pPr>
            <w:r>
              <w:rPr>
                <w:rFonts w:ascii="Arial" w:cs="Arial" w:eastAsia="Arial" w:hAnsi="Arial"/>
                <w:sz w:val="14"/>
                <w:szCs w:val="14"/>
                <w:color w:val="auto"/>
              </w:rPr>
              <w:t>Office</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862,800</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862,800</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79.3 %</w:t>
            </w:r>
          </w:p>
        </w:tc>
        <w:tc>
          <w:tcPr>
            <w:tcW w:w="0" w:type="dxa"/>
            <w:vAlign w:val="bottom"/>
          </w:tcPr>
          <w:p>
            <w:pPr>
              <w:spacing w:after="0"/>
              <w:rPr>
                <w:sz w:val="1"/>
                <w:szCs w:val="1"/>
                <w:color w:val="auto"/>
              </w:rPr>
            </w:pPr>
          </w:p>
        </w:tc>
      </w:tr>
      <w:tr>
        <w:trPr>
          <w:trHeight w:val="200"/>
        </w:trPr>
        <w:tc>
          <w:tcPr>
            <w:tcW w:w="28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commercial properties</w:t>
            </w: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12,529,041</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17,046,618</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29,575,659</w:t>
            </w:r>
          </w:p>
        </w:tc>
        <w:tc>
          <w:tcPr>
            <w:tcW w:w="13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90.3 %</w:t>
            </w: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Residential:</w:t>
            </w: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Manhattan</w:t>
            </w:r>
          </w:p>
        </w:tc>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88"/>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140,382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140,382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89.5 %</w:t>
            </w:r>
          </w:p>
        </w:tc>
        <w:tc>
          <w:tcPr>
            <w:tcW w:w="0" w:type="dxa"/>
            <w:vAlign w:val="bottom"/>
          </w:tcPr>
          <w:p>
            <w:pPr>
              <w:spacing w:after="0"/>
              <w:rPr>
                <w:sz w:val="1"/>
                <w:szCs w:val="1"/>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Total portfolio</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12,669,423</w:t>
            </w:r>
          </w:p>
        </w:tc>
        <w:tc>
          <w:tcPr>
            <w:tcW w:w="1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17,046,618</w:t>
            </w:r>
          </w:p>
        </w:tc>
        <w:tc>
          <w:tcPr>
            <w:tcW w:w="1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29,716,041</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90.3 %</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line="273" w:lineRule="auto"/>
        <w:tabs>
          <w:tab w:leader="none" w:pos="392"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 Properties under construction are not included in the calculation of weighted average occupancy.</w:t>
      </w:r>
    </w:p>
    <w:p>
      <w:pPr>
        <w:jc w:val="both"/>
        <w:ind w:left="400" w:hanging="394"/>
        <w:spacing w:after="0" w:line="331" w:lineRule="auto"/>
        <w:tabs>
          <w:tab w:leader="none" w:pos="392" w:val="left"/>
        </w:tabs>
        <w:numPr>
          <w:ilvl w:val="0"/>
          <w:numId w:val="5"/>
        </w:numPr>
        <w:rPr>
          <w:rFonts w:ascii="Arial" w:cs="Arial" w:eastAsia="Arial" w:hAnsi="Arial"/>
          <w:sz w:val="12"/>
          <w:szCs w:val="12"/>
          <w:color w:val="auto"/>
        </w:rPr>
      </w:pPr>
      <w:r>
        <w:rPr>
          <w:rFonts w:ascii="Arial" w:cs="Arial" w:eastAsia="Arial" w:hAnsi="Arial"/>
          <w:sz w:val="12"/>
          <w:szCs w:val="12"/>
          <w:color w:val="auto"/>
        </w:rPr>
        <w:t>As of December 31, 2022, we owned a building at 7 Dey Street / 185 Broadway that was comprised of approximately 140,382 square feet (unaudited) of residential space and approximately 50,206 square feet (unaudited) of office and retail space.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spacing w:after="0" w:line="54"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As of December 31, 2022, we also managed one office building owned by a third party encompassing approximately 0.3 million square feet, and held debt and preferred equity investments with a book value of $623.3 million, excluding debt and preferred equity investments and other financing receivables totaling $8.5 million that are included in balance sheet line items other than the Debt and preferred equity investments line item.</w:t>
      </w:r>
    </w:p>
    <w:p>
      <w:pPr>
        <w:spacing w:after="0" w:line="64"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 xml:space="preserve">Our corporate offices are located in midtown Manhattan at One Vanderbilt Avenue, New York, New York 10017. As of December 31, 2022, we employed 1,137 employees, 303 of whom were employed in our corporate offices. We can be contacted at (212) 594-2700. We maintain a website at </w:t>
      </w:r>
      <w:r>
        <w:rPr>
          <w:rFonts w:ascii="Arial" w:cs="Arial" w:eastAsia="Arial" w:hAnsi="Arial"/>
          <w:sz w:val="17"/>
          <w:szCs w:val="17"/>
          <w:i w:val="1"/>
          <w:iCs w:val="1"/>
          <w:color w:val="auto"/>
        </w:rPr>
        <w:t>www.slgreen.com</w:t>
      </w:r>
      <w:r>
        <w:rPr>
          <w:rFonts w:ascii="Arial" w:cs="Arial" w:eastAsia="Arial" w:hAnsi="Arial"/>
          <w:sz w:val="17"/>
          <w:szCs w:val="17"/>
          <w:color w:val="auto"/>
        </w:rPr>
        <w:t>. On our website, you can obtain, free of charge, a copy of our annual reports on Form 10-K, quarterly reports on Form 10-Q, current reports</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8-K and amendments to those reports filed or furnished pursuant to Section 13(a) or 15(d) of the Exchange Act as soon as reasonably practicable after we file such material electronically with, or furnish it to, the Securities and Exchange Commission, or the SEC. We have also made available on our website our audit committee charter, compensation committee charter, nominating and corporate governance committee charter, code of business conduct and ethics and corporate governance principles. We do not intend for information contained on our website to be part of this annual report on Form 10-K. The SEC maintains a website (http://www.sec.gov)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9"/>
        <w:spacing w:after="0" w:line="273" w:lineRule="auto"/>
        <w:rPr>
          <w:sz w:val="20"/>
          <w:szCs w:val="20"/>
          <w:color w:val="auto"/>
        </w:rPr>
      </w:pPr>
      <w:r>
        <w:rPr>
          <w:rFonts w:ascii="Arial" w:cs="Arial" w:eastAsia="Arial" w:hAnsi="Arial"/>
          <w:sz w:val="17"/>
          <w:szCs w:val="17"/>
          <w:color w:val="auto"/>
        </w:rPr>
        <w:t>Unless the context requires otherwise, all references to the "Company," "SL Green," "we," "our" and "us" in this annual report means SL Green Realty Corp., a Maryland corporation, and one or more of its subsidiaries, including the Operating Partnership, or, as the context may require, SL Green only or the Operating Partnership only, and "S.L. Green Properties" means S.L. Green Properties, Inc., a New York corporation, as well as the affiliated partnerships and other entities through which Stephen L. Green historically conducted commercial real estate activities.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18"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In connection with the Company's initial public offering, or IPO, in August 1997, the Operating Partnership received a contribution of interests in real estate properties as well as a 95% economic, non-voting interest in the management, leasing and construction companies affiliated with S.L. Green Properties. We refer to these management, leasing and construction entities, which are owned by S.L. Green Management Corp, as the "Service Corporation." The Company is organized so as to qualify, and has elected to qualify as a REIT, under the Internal Revenue Code of 1986, as amended, or the Code.</w:t>
      </w:r>
    </w:p>
    <w:p>
      <w:pPr>
        <w:spacing w:after="0" w:line="54"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Substantially all of our assets are held by, and all of our operations are conducted through, the Operating Partnership. We are the sole managing general partner of the Operating Partnership, and as of December 31, 2022, we owned 94.61% of its economic interests. All of the management and leasing operations with respect to our wholly-owned properties are conducted through SL Green Management LLC, or Management LLC. The Operating Partnership owns 100% of Management LLC.</w:t>
      </w:r>
    </w:p>
    <w:p>
      <w:pPr>
        <w:spacing w:after="0" w:line="86"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In order to maintain the Company's qualification as a REIT while realizing income from management, leasing and construction contracts with third parties and joint venture properties, all of these service operations are conducted through the S.L. Green Management Corp, or the Service Corporation, a consolidated variable interest entity. We, through our Operating Partnership, receive substantially all of the cash flow from the Service Corporation's operations. All of the voting common stock of the Service Corporation is held by an entity owned and controlled by Stephen L. Green, who serves as a member and as the chairman emeritus of the Company's Board of Directors.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Growth Strategies</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SL Green, Manhattan's largest owner of office real estate, is focused primarily on the acquisition, development, redevelopment, repositioning, ownership, management, and operation of Manhattan commercial properties, principally office properties.</w:t>
      </w:r>
    </w:p>
    <w:p>
      <w:pPr>
        <w:spacing w:after="0" w:line="74"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Our primary business objective is to maximize the total return to stockholders, through net income attributable to common stockholders, funds from operations, or FFO, and through asset value appreciation. The commercial real estate expertise resulting from owning, operating, investing, developing, redeveloping and lending on real estate in Manhattan for many decades has enabled us to invest in a collection of premier office properties, selected retail and residential assets, and high-quality debt and preferred equity investments.</w:t>
      </w:r>
    </w:p>
    <w:p>
      <w:pPr>
        <w:spacing w:after="0" w:line="86"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We are led by a strong, experienced management team that provides a foundation of skills in all aspects of real estate. It is with this team that we have achieved a market leading position in our targeted submarkets.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seek to enhance the value of our company by executing strategies that include the following:</w:t>
      </w:r>
    </w:p>
    <w:p>
      <w:pPr>
        <w:spacing w:after="0" w:line="112" w:lineRule="exact"/>
        <w:rPr>
          <w:sz w:val="20"/>
          <w:szCs w:val="20"/>
          <w:color w:val="auto"/>
        </w:rPr>
      </w:pPr>
    </w:p>
    <w:p>
      <w:pPr>
        <w:ind w:left="1280" w:hanging="475"/>
        <w:spacing w:after="0"/>
        <w:tabs>
          <w:tab w:leader="none" w:pos="1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Leasing and property management, which capitalizes on our extensive presence and knowledge of the marketplaces in which we operate;</w:t>
      </w:r>
    </w:p>
    <w:p>
      <w:pPr>
        <w:spacing w:after="0" w:line="135" w:lineRule="exact"/>
        <w:rPr>
          <w:rFonts w:ascii="Arial" w:cs="Arial" w:eastAsia="Arial" w:hAnsi="Arial"/>
          <w:sz w:val="16"/>
          <w:szCs w:val="16"/>
          <w:color w:val="auto"/>
        </w:rPr>
      </w:pPr>
    </w:p>
    <w:p>
      <w:pPr>
        <w:ind w:left="1280" w:hanging="475"/>
        <w:spacing w:after="0" w:line="266" w:lineRule="auto"/>
        <w:tabs>
          <w:tab w:leader="none" w:pos="1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properties and employing our local market skills to reposition these assets to create incremental cash flow and value appreciation;</w:t>
      </w:r>
    </w:p>
    <w:p>
      <w:pPr>
        <w:spacing w:after="0" w:line="73" w:lineRule="exact"/>
        <w:rPr>
          <w:rFonts w:ascii="Arial" w:cs="Arial" w:eastAsia="Arial" w:hAnsi="Arial"/>
          <w:sz w:val="18"/>
          <w:szCs w:val="18"/>
          <w:color w:val="auto"/>
        </w:rPr>
      </w:pPr>
    </w:p>
    <w:p>
      <w:pPr>
        <w:ind w:left="1280" w:hanging="475"/>
        <w:spacing w:after="0" w:line="266" w:lineRule="auto"/>
        <w:tabs>
          <w:tab w:leader="none" w:pos="1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properties well suited for development/redevelopment in order to maximize the value of those properties through development/redevelopment or reconfiguration to match current workplace, retail and housing trends;</w:t>
      </w:r>
    </w:p>
    <w:p>
      <w:pPr>
        <w:spacing w:after="0" w:line="73" w:lineRule="exact"/>
        <w:rPr>
          <w:rFonts w:ascii="Arial" w:cs="Arial" w:eastAsia="Arial" w:hAnsi="Arial"/>
          <w:sz w:val="18"/>
          <w:szCs w:val="18"/>
          <w:color w:val="auto"/>
        </w:rPr>
      </w:pPr>
    </w:p>
    <w:p>
      <w:pPr>
        <w:ind w:left="1280" w:hanging="475"/>
        <w:spacing w:after="0" w:line="266" w:lineRule="auto"/>
        <w:tabs>
          <w:tab w:leader="none" w:pos="1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in debt and preferred equity positions that generate consistently strong risk-adjusted returns, increase the breadth of our market insight, foster key market relationships and source potential future investment opportunities;</w:t>
      </w:r>
    </w:p>
    <w:p>
      <w:pPr>
        <w:spacing w:after="0" w:line="73" w:lineRule="exact"/>
        <w:rPr>
          <w:rFonts w:ascii="Arial" w:cs="Arial" w:eastAsia="Arial" w:hAnsi="Arial"/>
          <w:sz w:val="18"/>
          <w:szCs w:val="18"/>
          <w:color w:val="auto"/>
        </w:rPr>
      </w:pPr>
    </w:p>
    <w:p>
      <w:pPr>
        <w:ind w:left="1280" w:hanging="475"/>
        <w:spacing w:after="0" w:line="266" w:lineRule="auto"/>
        <w:tabs>
          <w:tab w:leader="none" w:pos="1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dispositions through sales or joint ventures that harvest embedded equity which has been generated through management's value enhancing activities; and</w:t>
      </w:r>
    </w:p>
    <w:p>
      <w:pPr>
        <w:spacing w:after="0" w:line="73" w:lineRule="exact"/>
        <w:rPr>
          <w:rFonts w:ascii="Arial" w:cs="Arial" w:eastAsia="Arial" w:hAnsi="Arial"/>
          <w:sz w:val="18"/>
          <w:szCs w:val="18"/>
          <w:color w:val="auto"/>
        </w:rPr>
      </w:pPr>
    </w:p>
    <w:p>
      <w:pPr>
        <w:ind w:left="1280" w:hanging="475"/>
        <w:spacing w:after="0"/>
        <w:tabs>
          <w:tab w:leader="none" w:pos="1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Maintaining a prudently levered, liquid balance sheet with consistent access to diversified sources of property level and corporate capital.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Leasing and Property Management</w:t>
      </w:r>
    </w:p>
    <w:p>
      <w:pPr>
        <w:spacing w:after="0" w:line="118"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We seek to capitalize on our management's extensive knowledge of Manhattan and the New York metropolitan area and the needs of our tenants through proactive leasing and management programs, which include: (i) use of in-depth market experience resulting from managing and leasing tens of millions of square feet of office, retail and residential space since the Company was founded; (ii) careful tenant management, which results in a high tenant retention rate, long average lease terms and a manageable lease expiration schedule; (iii) utilization of an extensive network of third-party brokers to supplement our in-house leasing team; (iv) use of comprehensive building management analysis and planning; and (v) a commitment to tenant satisfaction by understanding and appreciating our tenant's businesses and the environment in which they are operating, while providing high quality tenant services at competitive rental rates.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Acquisitions</w:t>
      </w:r>
    </w:p>
    <w:p>
      <w:pPr>
        <w:spacing w:after="0" w:line="118" w:lineRule="exact"/>
        <w:rPr>
          <w:sz w:val="20"/>
          <w:szCs w:val="20"/>
          <w:color w:val="auto"/>
        </w:rPr>
      </w:pPr>
    </w:p>
    <w:p>
      <w:pPr>
        <w:jc w:val="both"/>
        <w:ind w:firstLine="439"/>
        <w:spacing w:after="0" w:line="303" w:lineRule="auto"/>
        <w:rPr>
          <w:sz w:val="20"/>
          <w:szCs w:val="20"/>
          <w:color w:val="auto"/>
        </w:rPr>
      </w:pPr>
      <w:r>
        <w:rPr>
          <w:rFonts w:ascii="Arial" w:cs="Arial" w:eastAsia="Arial" w:hAnsi="Arial"/>
          <w:sz w:val="16"/>
          <w:szCs w:val="16"/>
          <w:color w:val="auto"/>
        </w:rPr>
        <w:t>We acquire properties for long-term value appreciation and earnings growth. This strategy has resulted in capital gains that increase our investment capital base. In implementing this strategy, we continually evaluate potential acquisition opportunities. These opportunities may come from new properties as well as the acquisition of properties in which we already hold a joint venture interest or, from time to time, from our debt and preferred equity investments.</w:t>
      </w:r>
    </w:p>
    <w:p>
      <w:pPr>
        <w:spacing w:after="0" w:line="49" w:lineRule="exact"/>
        <w:rPr>
          <w:sz w:val="20"/>
          <w:szCs w:val="20"/>
          <w:color w:val="auto"/>
        </w:rPr>
      </w:pPr>
    </w:p>
    <w:p>
      <w:pPr>
        <w:jc w:val="both"/>
        <w:ind w:firstLine="439"/>
        <w:spacing w:after="0" w:line="273" w:lineRule="auto"/>
        <w:rPr>
          <w:sz w:val="20"/>
          <w:szCs w:val="20"/>
          <w:color w:val="auto"/>
        </w:rPr>
      </w:pPr>
      <w:r>
        <w:rPr>
          <w:rFonts w:ascii="Arial" w:cs="Arial" w:eastAsia="Arial" w:hAnsi="Arial"/>
          <w:sz w:val="17"/>
          <w:szCs w:val="17"/>
          <w:color w:val="auto"/>
        </w:rPr>
        <w:t>Through intimate knowledge of our market, we have developed an ability to source transactions with superior risk-adjusted returns by capturing off-market opportunities. In rising markets, we primarily seek to acquire strategic vacancies that provide the opportunity to take advantage of our exceptional leasing and repositioning capabilities to increase cash flow and property value. In stable or falling markets, we primarily target assets featuring credit tenancies with fully escalated in-place rents to provide cash flow stability near-term and the opportunity for increases over time.</w:t>
      </w:r>
    </w:p>
    <w:p>
      <w:pPr>
        <w:spacing w:after="0" w:line="69" w:lineRule="exact"/>
        <w:rPr>
          <w:sz w:val="20"/>
          <w:szCs w:val="20"/>
          <w:color w:val="auto"/>
        </w:rPr>
      </w:pPr>
    </w:p>
    <w:p>
      <w:pPr>
        <w:jc w:val="both"/>
        <w:ind w:firstLine="399"/>
        <w:spacing w:after="0" w:line="270" w:lineRule="auto"/>
        <w:rPr>
          <w:sz w:val="20"/>
          <w:szCs w:val="20"/>
          <w:color w:val="auto"/>
        </w:rPr>
      </w:pPr>
      <w:r>
        <w:rPr>
          <w:rFonts w:ascii="Arial" w:cs="Arial" w:eastAsia="Arial" w:hAnsi="Arial"/>
          <w:sz w:val="17"/>
          <w:szCs w:val="17"/>
          <w:color w:val="auto"/>
        </w:rPr>
        <w:t>We believe that we have many advantages over our competitors in acquiring core and non-core properties, both directly and through our joint venture program that includes a predominance of high-quality institutional investors. Those advantages include: (i) senior management's long-tenured experience leading a full-service, fully integrated real estate company focused, principally, on the Manhattan market; (ii) the ability to offer tax-efficient structures to sellers through the exchange of ownership interests, including units in our Operating Partnership; and (iii) the ability to underwrite and close transactions on an expedited basis even when the transaction involves a complicated structure.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Dispositions</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continually evaluate our portfolio to identify those properties that are most likely to meet our long-term earnings and cash flow growth objectives and contribute to increasing portfolio value. Properties that no longer meet our objectives are evaluated for sale or joint venture, to release equity created through management's value enhancement programs or to take advantage of attractive market valuations.</w:t>
      </w:r>
    </w:p>
    <w:p>
      <w:pPr>
        <w:spacing w:after="0" w:line="83"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We seek to efficiently deploy the capital proceeds generated from these dispositions into other property acquisitions, development or redevelopment projects or debt and preferred equity investments that we expect will provide enhanced future capital gains and earnings growth opportunities. Management may also elect to utilize the capital proceeds from these dispositions to repurchase shares of our common stock, repay existing indebtedness of the Company or its subsidiaries, or increase cash liquidity.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Repositioning</w:t>
      </w:r>
    </w:p>
    <w:p>
      <w:pPr>
        <w:spacing w:after="0" w:line="118"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Our extensive knowledge of the market in which we operate and our ability to efficiently plan and execute capital projects provide the expertise to enhance returns by repositioning properties that are underperforming. Many of the properties we own or seek to acquire feature unique architectural design elements or other amenities and characteristics that can be appealing to tenants when fully exploited. Our strategic investment in these properties, combined with our active management and pro-active leasing, provide the opportunity to creatively meet market needs and generate favorable returns.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 Redevelopment</w:t>
      </w:r>
    </w:p>
    <w:p>
      <w:pPr>
        <w:spacing w:after="0" w:line="118" w:lineRule="exact"/>
        <w:rPr>
          <w:sz w:val="20"/>
          <w:szCs w:val="20"/>
          <w:color w:val="auto"/>
        </w:rPr>
      </w:pPr>
    </w:p>
    <w:p>
      <w:pPr>
        <w:jc w:val="both"/>
        <w:ind w:right="20" w:firstLine="439"/>
        <w:spacing w:after="0" w:line="253" w:lineRule="auto"/>
        <w:rPr>
          <w:sz w:val="20"/>
          <w:szCs w:val="20"/>
          <w:color w:val="auto"/>
        </w:rPr>
      </w:pPr>
      <w:r>
        <w:rPr>
          <w:rFonts w:ascii="Arial" w:cs="Arial" w:eastAsia="Arial" w:hAnsi="Arial"/>
          <w:sz w:val="18"/>
          <w:szCs w:val="18"/>
          <w:color w:val="auto"/>
        </w:rPr>
        <w:t>Our constant interactions with tenants and other market participants keep us abreast of innovations in workplace layout, store design and smart living. We leverage this information to identify properties primed for development or redevelopment to meet these demands and unlock value. The expertise and relationships that we have built from managing complex construction projects in New York City and its surrounding areas allow us to cost efficiently add new and renovated assets of the highest quality and desirability to our operating portfolio.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Preferred Equity Investments</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We invest in well-collateralized debt and preferred equity investments in the markets in which we operate, principally New York City, that generate attractive yields. See Note 5, "Debt and Preferred Equity Investments," in the accompanying consolidated financial statements. Knowledge of our markets and our leasing and asset management expertise provide underwriting capabilities that enable a highly educated assessment of risk and return. The benefits of this investment program, which has a carefully managed aggregate size, include the following:</w:t>
      </w:r>
    </w:p>
    <w:p>
      <w:pPr>
        <w:spacing w:after="0" w:line="86" w:lineRule="exact"/>
        <w:rPr>
          <w:sz w:val="20"/>
          <w:szCs w:val="20"/>
          <w:color w:val="auto"/>
        </w:rPr>
      </w:pPr>
    </w:p>
    <w:p>
      <w:pPr>
        <w:ind w:left="800" w:hanging="394"/>
        <w:spacing w:after="0" w:line="266"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typical investments provide high current returns at conservative exposure levels and, in certain cases, the potential for future capital gains. Our expertise and operating capabilities provide both insight and operating skills that mitigate risk.</w:t>
      </w:r>
    </w:p>
    <w:p>
      <w:pPr>
        <w:spacing w:after="0" w:line="73" w:lineRule="exact"/>
        <w:rPr>
          <w:rFonts w:ascii="Arial" w:cs="Arial" w:eastAsia="Arial" w:hAnsi="Arial"/>
          <w:sz w:val="18"/>
          <w:szCs w:val="18"/>
          <w:color w:val="auto"/>
        </w:rPr>
      </w:pPr>
    </w:p>
    <w:p>
      <w:pPr>
        <w:jc w:val="both"/>
        <w:ind w:left="800" w:hanging="394"/>
        <w:spacing w:after="0" w:line="256"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certain instances, these investments may serve as a potential source of real estate acquisitions for us. Property owners may also provide us the opportunity to consider off-market transactions involving other properties because we have previously provided debt or preferred equity financing to them.</w:t>
      </w:r>
    </w:p>
    <w:p>
      <w:pPr>
        <w:spacing w:after="0" w:line="83" w:lineRule="exact"/>
        <w:rPr>
          <w:rFonts w:ascii="Arial" w:cs="Arial" w:eastAsia="Arial" w:hAnsi="Arial"/>
          <w:sz w:val="18"/>
          <w:szCs w:val="18"/>
          <w:color w:val="auto"/>
        </w:rPr>
      </w:pPr>
    </w:p>
    <w:p>
      <w:pPr>
        <w:ind w:left="800" w:hanging="394"/>
        <w:spacing w:after="0" w:line="266"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debt and preferred equity investment strategy is concentrated in Manhattan, which helps us gain market insight, awareness of upcoming investment opportunities and foster key relationships that may provide access to future investment opportunities.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objective is to maintain multiple sources of efficient corporate and property level capital. This objective is supported by:</w:t>
      </w:r>
    </w:p>
    <w:p>
      <w:pPr>
        <w:spacing w:after="0" w:line="112" w:lineRule="exact"/>
        <w:rPr>
          <w:sz w:val="20"/>
          <w:szCs w:val="20"/>
          <w:color w:val="auto"/>
        </w:rPr>
      </w:pPr>
    </w:p>
    <w:p>
      <w:pPr>
        <w:ind w:left="800" w:hanging="314"/>
        <w:spacing w:after="0" w:line="266"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Property operations that generally provide stable cash flows through market cycles, long average lease terms, high credit quality tenants and superior leasing, operating and asset management skills;</w:t>
      </w:r>
    </w:p>
    <w:p>
      <w:pPr>
        <w:spacing w:after="0" w:line="73" w:lineRule="exact"/>
        <w:rPr>
          <w:rFonts w:ascii="Arial" w:cs="Arial" w:eastAsia="Arial" w:hAnsi="Arial"/>
          <w:sz w:val="18"/>
          <w:szCs w:val="18"/>
          <w:color w:val="auto"/>
        </w:rPr>
      </w:pPr>
    </w:p>
    <w:p>
      <w:pPr>
        <w:ind w:left="800" w:hanging="314"/>
        <w:spacing w:after="0" w:line="266"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Concentration of our activities in a Manhattan market that is consistently attractive to property investors and lenders through market cycles relative to other markets;</w:t>
      </w:r>
    </w:p>
    <w:p>
      <w:pPr>
        <w:spacing w:after="0" w:line="73" w:lineRule="exact"/>
        <w:rPr>
          <w:rFonts w:ascii="Arial" w:cs="Arial" w:eastAsia="Arial" w:hAnsi="Arial"/>
          <w:sz w:val="18"/>
          <w:szCs w:val="18"/>
          <w:color w:val="auto"/>
        </w:rPr>
      </w:pPr>
    </w:p>
    <w:p>
      <w:pPr>
        <w:ind w:left="800" w:hanging="31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strong corporate liquidity and careful management of future debt maturities; and</w:t>
      </w:r>
    </w:p>
    <w:p>
      <w:pPr>
        <w:spacing w:after="0" w:line="112" w:lineRule="exact"/>
        <w:rPr>
          <w:rFonts w:ascii="Arial" w:cs="Arial" w:eastAsia="Arial" w:hAnsi="Arial"/>
          <w:sz w:val="18"/>
          <w:szCs w:val="18"/>
          <w:color w:val="auto"/>
        </w:rPr>
      </w:pPr>
    </w:p>
    <w:p>
      <w:pPr>
        <w:ind w:left="800" w:hanging="314"/>
        <w:spacing w:after="0" w:line="266"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access to corporate capital markets through balanced financing and investment activities that result in strong balance sheet and cash flow metrics.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Manhattan Office Market Overview</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Manhattan is the largest office market in the United States containing more rentable square feet than the next four largest central business district office markets combined. According to Cushman and Wakefield Research Services as of December 31, 2022, Manhattan has a total office inventory of approximately 414.6 million square feet, including approximately 258.4 million square feet in midtown. The properties in our portfolio are primarily concentrated in some of Manhattan's most prominent midtown locations.</w:t>
      </w:r>
    </w:p>
    <w:p>
      <w:pPr>
        <w:spacing w:after="0" w:line="86"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While the near-term addition of new supply to the Manhattan office inventory is expected to be nominal relative to the size of the overall market, we view new supply in locations near a variety of transportation options as a positive to the Manhattan office market given the older vintage of the majority of Manhattan’s office inventory and the increasing desire of tenants to occupy new, high quality, efficient office space that provides for easy commutability for their employees.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right="100" w:firstLine="439"/>
        <w:spacing w:after="0" w:line="279" w:lineRule="auto"/>
        <w:rPr>
          <w:sz w:val="20"/>
          <w:szCs w:val="20"/>
          <w:color w:val="auto"/>
        </w:rPr>
      </w:pPr>
      <w:r>
        <w:rPr>
          <w:rFonts w:ascii="Arial" w:cs="Arial" w:eastAsia="Arial" w:hAnsi="Arial"/>
          <w:sz w:val="17"/>
          <w:szCs w:val="17"/>
          <w:color w:val="auto"/>
        </w:rPr>
        <w:t>Leasing activity in Manhattan improved significantly in 2022. According to Cushman and Wakefield Research Services, the total volume of leases signed in Manhattan for the years ended December 31, 2022 and 2021 was 24.3 million and 18.6 million square feet, respectively. Manhattan's diverse tenant base is exemplified by the following tables, which show the percentage of leasing volume attributable to each industry:</w:t>
      </w:r>
    </w:p>
    <w:p>
      <w:pPr>
        <w:spacing w:after="0" w:line="65" w:lineRule="exact"/>
        <w:rPr>
          <w:sz w:val="20"/>
          <w:szCs w:val="20"/>
          <w:color w:val="auto"/>
        </w:rPr>
      </w:pPr>
    </w:p>
    <w:tbl>
      <w:tblPr>
        <w:tblLayout w:type="fixed"/>
        <w:tblInd w:w="440" w:type="dxa"/>
        <w:tblCellMar>
          <w:top w:w="0" w:type="dxa"/>
          <w:left w:w="0" w:type="dxa"/>
          <w:bottom w:w="0" w:type="dxa"/>
          <w:right w:w="0" w:type="dxa"/>
        </w:tblCellMar>
      </w:tblPr>
      <w:tr>
        <w:trPr>
          <w:trHeight w:val="264"/>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2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8"/>
                <w:szCs w:val="18"/>
                <w:b w:val="1"/>
                <w:bCs w:val="1"/>
                <w:color w:val="auto"/>
              </w:rPr>
              <w:t xml:space="preserve">Percent of Manhattan Leasing Volume </w:t>
            </w:r>
            <w:r>
              <w:rPr>
                <w:rFonts w:ascii="Arial" w:cs="Arial" w:eastAsia="Arial" w:hAnsi="Arial"/>
                <w:sz w:val="23"/>
                <w:szCs w:val="23"/>
                <w:b w:val="1"/>
                <w:bCs w:val="1"/>
                <w:color w:val="auto"/>
                <w:vertAlign w:val="superscript"/>
              </w:rPr>
              <w:t>(1)</w:t>
            </w:r>
          </w:p>
        </w:tc>
      </w:tr>
      <w:tr>
        <w:trPr>
          <w:trHeight w:val="22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Industry</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r>
      <w:tr>
        <w:trPr>
          <w:trHeight w:val="22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40.1 %</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Technology, Advertising, Media, and Information ("TAMI")</w:t>
            </w:r>
          </w:p>
        </w:tc>
        <w:tc>
          <w:tcPr>
            <w:tcW w:w="2080" w:type="dxa"/>
            <w:vAlign w:val="bottom"/>
          </w:tcPr>
          <w:p>
            <w:pPr>
              <w:jc w:val="right"/>
              <w:spacing w:after="0"/>
              <w:rPr>
                <w:sz w:val="20"/>
                <w:szCs w:val="20"/>
                <w:color w:val="auto"/>
              </w:rPr>
            </w:pPr>
            <w:r>
              <w:rPr>
                <w:rFonts w:ascii="Arial" w:cs="Arial" w:eastAsia="Arial" w:hAnsi="Arial"/>
                <w:sz w:val="18"/>
                <w:szCs w:val="18"/>
                <w:color w:val="auto"/>
              </w:rPr>
              <w:t>18.2 %</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7"/>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Public Sector</w:t>
            </w:r>
          </w:p>
        </w:tc>
        <w:tc>
          <w:tcPr>
            <w:tcW w:w="2080" w:type="dxa"/>
            <w:vAlign w:val="bottom"/>
          </w:tcPr>
          <w:p>
            <w:pPr>
              <w:jc w:val="right"/>
              <w:spacing w:after="0"/>
              <w:rPr>
                <w:sz w:val="20"/>
                <w:szCs w:val="20"/>
                <w:color w:val="auto"/>
              </w:rPr>
            </w:pPr>
            <w:r>
              <w:rPr>
                <w:rFonts w:ascii="Arial" w:cs="Arial" w:eastAsia="Arial" w:hAnsi="Arial"/>
                <w:sz w:val="18"/>
                <w:szCs w:val="18"/>
                <w:color w:val="auto"/>
              </w:rPr>
              <w:t>7.9 %</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7"/>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Legal Services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Retail/Wholesale</w:t>
            </w:r>
          </w:p>
        </w:tc>
        <w:tc>
          <w:tcPr>
            <w:tcW w:w="2080" w:type="dxa"/>
            <w:vAlign w:val="bottom"/>
          </w:tcPr>
          <w:p>
            <w:pPr>
              <w:jc w:val="right"/>
              <w:spacing w:after="0"/>
              <w:rPr>
                <w:sz w:val="20"/>
                <w:szCs w:val="20"/>
                <w:color w:val="auto"/>
              </w:rPr>
            </w:pPr>
            <w:r>
              <w:rPr>
                <w:rFonts w:ascii="Arial" w:cs="Arial" w:eastAsia="Arial" w:hAnsi="Arial"/>
                <w:sz w:val="18"/>
                <w:szCs w:val="18"/>
                <w:color w:val="auto"/>
              </w:rPr>
              <w:t>5.7 %</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7"/>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 Services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080" w:type="dxa"/>
            <w:vAlign w:val="bottom"/>
          </w:tcPr>
          <w:p>
            <w:pPr>
              <w:jc w:val="right"/>
              <w:spacing w:after="0"/>
              <w:rPr>
                <w:sz w:val="20"/>
                <w:szCs w:val="20"/>
                <w:color w:val="auto"/>
              </w:rPr>
            </w:pPr>
            <w:r>
              <w:rPr>
                <w:rFonts w:ascii="Arial" w:cs="Arial" w:eastAsia="Arial" w:hAnsi="Arial"/>
                <w:sz w:val="18"/>
                <w:szCs w:val="18"/>
                <w:color w:val="auto"/>
              </w:rPr>
              <w:t>4.9 %</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82" w:lineRule="exact"/>
        <w:rPr>
          <w:sz w:val="20"/>
          <w:szCs w:val="20"/>
          <w:color w:val="auto"/>
        </w:rPr>
      </w:pPr>
    </w:p>
    <w:p>
      <w:pPr>
        <w:ind w:left="400" w:hanging="394"/>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Source: Cushman and Wakefield Research Services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Leases in the Manhattan Markets</w:t>
      </w:r>
    </w:p>
    <w:p>
      <w:pPr>
        <w:spacing w:after="0" w:line="118" w:lineRule="exact"/>
        <w:rPr>
          <w:sz w:val="20"/>
          <w:szCs w:val="20"/>
          <w:color w:val="auto"/>
        </w:rPr>
      </w:pPr>
    </w:p>
    <w:p>
      <w:pPr>
        <w:jc w:val="both"/>
        <w:ind w:right="100" w:firstLine="439"/>
        <w:spacing w:after="0" w:line="265" w:lineRule="auto"/>
        <w:rPr>
          <w:sz w:val="20"/>
          <w:szCs w:val="20"/>
          <w:color w:val="auto"/>
        </w:rPr>
      </w:pPr>
      <w:r>
        <w:rPr>
          <w:rFonts w:ascii="Arial" w:cs="Arial" w:eastAsia="Arial" w:hAnsi="Arial"/>
          <w:sz w:val="17"/>
          <w:szCs w:val="17"/>
          <w:color w:val="auto"/>
        </w:rPr>
        <w:t>Leases entered into for space in Manhattan typically contain terms that may not be contained in leases in other U.S. office markets. The initial term of leases entered into for space in Manhattan is generally seven to fifteen years. Tenants leasing space in excess of 10,000 square feet for an initial term of 10 years or longer often will negotiate an option to extend the term of the lease for one or two renewal periods, typically for a term of five years each. The base rent during the initial term often will provide for agreed-upon periodic increases over the term of the lease. Base rent for renewal terms is most often based upon the then fair market rental value of the premises as of the commencement date of the applicable renewal term (generally determined by binding arbitration in the event the landlord and the tenant are unable to mutually agree upon the fair market value), though base rent for a renewal period may be set at 95% of the then fair market rent. Very infrequently, leases may contain termination options whereby a tenant can terminate the lease obligation before the lease expiration date with payment of a penalty together with repayment of the unamortized portion of the landlord's transaction costs (e.g., brokerage commissions, free rent periods, tenant improvement allowances, etc.).</w:t>
      </w:r>
    </w:p>
    <w:p>
      <w:pPr>
        <w:spacing w:after="0" w:line="81" w:lineRule="exact"/>
        <w:rPr>
          <w:sz w:val="20"/>
          <w:szCs w:val="20"/>
          <w:color w:val="auto"/>
        </w:rPr>
      </w:pPr>
    </w:p>
    <w:p>
      <w:pPr>
        <w:jc w:val="both"/>
        <w:ind w:right="100" w:firstLine="439"/>
        <w:spacing w:after="0" w:line="251" w:lineRule="auto"/>
        <w:rPr>
          <w:sz w:val="20"/>
          <w:szCs w:val="20"/>
          <w:color w:val="auto"/>
        </w:rPr>
      </w:pPr>
      <w:r>
        <w:rPr>
          <w:rFonts w:ascii="Arial" w:cs="Arial" w:eastAsia="Arial" w:hAnsi="Arial"/>
          <w:sz w:val="18"/>
          <w:szCs w:val="18"/>
          <w:color w:val="auto"/>
        </w:rPr>
        <w:t>In addition to base rent, a tenant will generally also pay its pro rata share of increases in real estate taxes and operating expenses for the building over a base year, which is typically the year during which the term of the lease commences, based upon the tenant's proportionate occupancy of the building. In some smaller leases (generally less than 10,000 square feet), in lieu of paying additional rent based upon increases in building operating expenses, base rent will be increased each year during the lease term by a set percentage on a compounding basis (though the tenant will still pay its pro rata share of increases in real estate taxes over a base year).</w:t>
      </w:r>
    </w:p>
    <w:p>
      <w:pPr>
        <w:spacing w:after="0" w:line="89" w:lineRule="exact"/>
        <w:rPr>
          <w:sz w:val="20"/>
          <w:szCs w:val="20"/>
          <w:color w:val="auto"/>
        </w:rPr>
      </w:pPr>
    </w:p>
    <w:p>
      <w:pPr>
        <w:jc w:val="both"/>
        <w:ind w:right="120" w:firstLine="439"/>
        <w:spacing w:after="0" w:line="266" w:lineRule="auto"/>
        <w:rPr>
          <w:sz w:val="20"/>
          <w:szCs w:val="20"/>
          <w:color w:val="auto"/>
        </w:rPr>
      </w:pPr>
      <w:r>
        <w:rPr>
          <w:rFonts w:ascii="Arial" w:cs="Arial" w:eastAsia="Arial" w:hAnsi="Arial"/>
          <w:sz w:val="18"/>
          <w:szCs w:val="18"/>
          <w:color w:val="auto"/>
        </w:rPr>
        <w:t>Tenants typically receive a free rent period following commencement of the lease term, which in some cases may coincide with the tenant's construction period.</w:t>
      </w:r>
    </w:p>
    <w:p>
      <w:pPr>
        <w:spacing w:after="0" w:line="74" w:lineRule="exact"/>
        <w:rPr>
          <w:sz w:val="20"/>
          <w:szCs w:val="20"/>
          <w:color w:val="auto"/>
        </w:rPr>
      </w:pPr>
    </w:p>
    <w:p>
      <w:pPr>
        <w:jc w:val="both"/>
        <w:ind w:right="100" w:firstLine="439"/>
        <w:spacing w:after="0" w:line="290" w:lineRule="auto"/>
        <w:rPr>
          <w:sz w:val="20"/>
          <w:szCs w:val="20"/>
          <w:color w:val="auto"/>
        </w:rPr>
      </w:pPr>
      <w:r>
        <w:rPr>
          <w:rFonts w:ascii="Arial" w:cs="Arial" w:eastAsia="Arial" w:hAnsi="Arial"/>
          <w:sz w:val="16"/>
          <w:szCs w:val="16"/>
          <w:color w:val="auto"/>
        </w:rPr>
        <w:t>The landlord most often supplies electricity either on a sub-metered basis at the landlord's cost plus a fixed percentage or on a rent inclusion basis (i.e., a fixed fee is added to the base rent for electricity, which amount may increase based upon increases in electricity rates or increases in electrical usage by the tenant). Base building services, other than electricity, such as heat, air conditioning, freight elevator service during business hours and base building cleaning typically are provided at no additional cost, but are included in the building's operating expenses. The tenant will typically pay additional amounts only for services that exceed base building services or for services that are provided other than during normal business hours.</w:t>
      </w:r>
    </w:p>
    <w:p>
      <w:pPr>
        <w:spacing w:after="0" w:line="60" w:lineRule="exact"/>
        <w:rPr>
          <w:sz w:val="20"/>
          <w:szCs w:val="20"/>
          <w:color w:val="auto"/>
        </w:rPr>
      </w:pPr>
    </w:p>
    <w:p>
      <w:pPr>
        <w:jc w:val="both"/>
        <w:ind w:right="100" w:firstLine="439"/>
        <w:spacing w:after="0" w:line="286" w:lineRule="auto"/>
        <w:rPr>
          <w:sz w:val="20"/>
          <w:szCs w:val="20"/>
          <w:color w:val="auto"/>
        </w:rPr>
      </w:pPr>
      <w:r>
        <w:rPr>
          <w:rFonts w:ascii="Arial" w:cs="Arial" w:eastAsia="Arial" w:hAnsi="Arial"/>
          <w:sz w:val="16"/>
          <w:szCs w:val="16"/>
          <w:color w:val="auto"/>
        </w:rPr>
        <w:t>In a typical lease for a new tenant renting in excess of 10,000 square feet, the landlord will deliver the premises with existing improvements demolished. In such instances, the landlord will typically provide a tenant improvement allowance, which is a fixed sum that the landlord makes available to the tenant to reimburse the tenant for all or a portion of the tenant's initial construction of its premises. Such sum typically is payable as work progresses, upon submission by the tenant of invoices for the cost of construction and lien waivers. However, in certain leases (most often for relatively small amounts of space), the landlord will construct the premises for the tenant at a cost to the landlord not to exceed an agreed upon amount with the tenant paying any amount in excess of the agreed upon amount. In addition, landlords may rent space to a tenant that is "pre-built" (i.e., space that was constructed by the landlord in advance of lease signing and is ready to for the tenant to move in with the tenant selecting paint and carpet colors).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Occupancy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weighted average occupancy rates at our office properties based on space leased for properties owned by us as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w:t>
            </w:r>
          </w:p>
        </w:tc>
        <w:tc>
          <w:tcPr>
            <w:tcW w:w="38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Leased Occupancy as of December 31,</w:t>
            </w:r>
          </w:p>
        </w:tc>
        <w:tc>
          <w:tcPr>
            <w:tcW w:w="0" w:type="dxa"/>
            <w:vAlign w:val="bottom"/>
          </w:tcPr>
          <w:p>
            <w:pPr>
              <w:spacing w:after="0"/>
              <w:rPr>
                <w:sz w:val="1"/>
                <w:szCs w:val="1"/>
                <w:color w:val="auto"/>
              </w:rPr>
            </w:pPr>
          </w:p>
        </w:tc>
      </w:tr>
      <w:tr>
        <w:trPr>
          <w:trHeight w:val="220"/>
        </w:trPr>
        <w:tc>
          <w:tcPr>
            <w:tcW w:w="7400" w:type="dxa"/>
            <w:vAlign w:val="bottom"/>
            <w:gridSpan w:val="2"/>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0"/>
        </w:trPr>
        <w:tc>
          <w:tcPr>
            <w:tcW w:w="730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Same-Store office properties - Manhattan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91.2%</w:t>
            </w:r>
          </w:p>
        </w:tc>
        <w:tc>
          <w:tcPr>
            <w:tcW w:w="24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93.0%</w:t>
            </w:r>
          </w:p>
        </w:tc>
        <w:tc>
          <w:tcPr>
            <w:tcW w:w="0" w:type="dxa"/>
            <w:vAlign w:val="bottom"/>
          </w:tcPr>
          <w:p>
            <w:pPr>
              <w:spacing w:after="0"/>
              <w:rPr>
                <w:sz w:val="1"/>
                <w:szCs w:val="1"/>
                <w:color w:val="auto"/>
              </w:rPr>
            </w:pPr>
          </w:p>
        </w:tc>
      </w:tr>
      <w:tr>
        <w:trPr>
          <w:trHeight w:val="226"/>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Manhattan office properties</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90.7%</w:t>
            </w:r>
          </w:p>
        </w:tc>
        <w:tc>
          <w:tcPr>
            <w:tcW w:w="2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92.1%</w:t>
            </w:r>
          </w:p>
        </w:tc>
        <w:tc>
          <w:tcPr>
            <w:tcW w:w="0" w:type="dxa"/>
            <w:vAlign w:val="bottom"/>
          </w:tcPr>
          <w:p>
            <w:pPr>
              <w:spacing w:after="0"/>
              <w:rPr>
                <w:sz w:val="1"/>
                <w:szCs w:val="1"/>
                <w:color w:val="auto"/>
              </w:rPr>
            </w:pPr>
          </w:p>
        </w:tc>
      </w:tr>
      <w:tr>
        <w:trPr>
          <w:trHeight w:val="227"/>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Suburban office properties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79.3%</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78.9%</w:t>
            </w:r>
          </w:p>
        </w:tc>
        <w:tc>
          <w:tcPr>
            <w:tcW w:w="0" w:type="dxa"/>
            <w:vAlign w:val="bottom"/>
          </w:tcPr>
          <w:p>
            <w:pPr>
              <w:spacing w:after="0"/>
              <w:rPr>
                <w:sz w:val="1"/>
                <w:szCs w:val="1"/>
                <w:color w:val="auto"/>
              </w:rPr>
            </w:pPr>
          </w:p>
        </w:tc>
      </w:tr>
      <w:tr>
        <w:trPr>
          <w:trHeight w:val="226"/>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Unconsolidated joint venture office properties</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94.3%</w:t>
            </w:r>
          </w:p>
        </w:tc>
        <w:tc>
          <w:tcPr>
            <w:tcW w:w="2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94.1%</w:t>
            </w:r>
          </w:p>
        </w:tc>
        <w:tc>
          <w:tcPr>
            <w:tcW w:w="0" w:type="dxa"/>
            <w:vAlign w:val="bottom"/>
          </w:tcPr>
          <w:p>
            <w:pPr>
              <w:spacing w:after="0"/>
              <w:rPr>
                <w:sz w:val="1"/>
                <w:szCs w:val="1"/>
                <w:color w:val="auto"/>
              </w:rPr>
            </w:pPr>
          </w:p>
        </w:tc>
      </w:tr>
      <w:tr>
        <w:trPr>
          <w:trHeight w:val="227"/>
        </w:trPr>
        <w:tc>
          <w:tcPr>
            <w:tcW w:w="740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Portfolio </w:t>
            </w:r>
            <w:r>
              <w:rPr>
                <w:rFonts w:ascii="Arial" w:cs="Arial" w:eastAsia="Arial" w:hAnsi="Arial"/>
                <w:sz w:val="23"/>
                <w:szCs w:val="23"/>
                <w:color w:val="auto"/>
                <w:vertAlign w:val="superscript"/>
              </w:rPr>
              <w:t>(2)</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90.3%</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91.6%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0" w:hanging="394"/>
        <w:spacing w:after="0" w:line="253" w:lineRule="auto"/>
        <w:tabs>
          <w:tab w:leader="none" w:pos="39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office properties located in Manhattan owned by us as of January 1, 2021 and still owned by us in the same manner as of December 31, 2022. Percent Occupied includes leases signed but not yet commenced.</w:t>
      </w:r>
    </w:p>
    <w:p>
      <w:pPr>
        <w:ind w:left="400" w:hanging="394"/>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properties under development.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Rent Trajectory</w:t>
      </w:r>
    </w:p>
    <w:p>
      <w:pPr>
        <w:spacing w:after="0" w:line="118"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We are constantly evaluating our schedule of future lease expirations to mitigate occupancy risk while maximizing net effective rents. We proactively manage future lease expirations based on our view of estimated current and future market conditions and asking rents. The following table sets forth our future lease expirations, excluding triple net leases, and management's estimates of market asking rents. Taking rents are typically lower than asking rents and may vary from building to building. There can be no assurances that our estimates of market rents are accurate or that market rents currently prevailing will not erode or outperform in the future.</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39"/>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20" w:type="dxa"/>
            <w:vAlign w:val="bottom"/>
            <w:gridSpan w:val="7"/>
          </w:tcPr>
          <w:p>
            <w:pPr>
              <w:jc w:val="right"/>
              <w:ind w:right="327"/>
              <w:spacing w:after="0"/>
              <w:rPr>
                <w:sz w:val="20"/>
                <w:szCs w:val="20"/>
                <w:color w:val="auto"/>
              </w:rPr>
            </w:pPr>
            <w:r>
              <w:rPr>
                <w:rFonts w:ascii="Arial" w:cs="Arial" w:eastAsia="Arial" w:hAnsi="Arial"/>
                <w:sz w:val="11"/>
                <w:szCs w:val="11"/>
                <w:b w:val="1"/>
                <w:bCs w:val="1"/>
                <w:color w:val="auto"/>
              </w:rPr>
              <w:t>ANNUAL LEASE EXPIRATIONS - MANHATTAN OPERATING PROPERTIES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3"/>
          </w:tcPr>
          <w:p>
            <w:pPr>
              <w:jc w:val="right"/>
              <w:ind w:right="287"/>
              <w:spacing w:after="0"/>
              <w:rPr>
                <w:sz w:val="20"/>
                <w:szCs w:val="20"/>
                <w:color w:val="auto"/>
              </w:rPr>
            </w:pPr>
            <w:r>
              <w:rPr>
                <w:rFonts w:ascii="Arial" w:cs="Arial" w:eastAsia="Arial" w:hAnsi="Arial"/>
                <w:sz w:val="11"/>
                <w:szCs w:val="11"/>
                <w:b w:val="1"/>
                <w:bCs w:val="1"/>
                <w:color w:val="auto"/>
              </w:rPr>
              <w:t>Consolidated Properties</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3"/>
          </w:tcPr>
          <w:p>
            <w:pPr>
              <w:jc w:val="right"/>
              <w:ind w:right="247"/>
              <w:spacing w:after="0"/>
              <w:rPr>
                <w:sz w:val="20"/>
                <w:szCs w:val="20"/>
                <w:color w:val="auto"/>
              </w:rPr>
            </w:pPr>
            <w:r>
              <w:rPr>
                <w:rFonts w:ascii="Arial" w:cs="Arial" w:eastAsia="Arial" w:hAnsi="Arial"/>
                <w:sz w:val="11"/>
                <w:szCs w:val="11"/>
                <w:b w:val="1"/>
                <w:bCs w:val="1"/>
                <w:color w:val="auto"/>
              </w:rPr>
              <w:t>Joint Venture Properties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Rentable</w:t>
            </w:r>
          </w:p>
        </w:tc>
        <w:tc>
          <w:tcPr>
            <w:tcW w:w="7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ind w:right="7"/>
              <w:spacing w:after="0" w:line="100" w:lineRule="exact"/>
              <w:rPr>
                <w:sz w:val="20"/>
                <w:szCs w:val="20"/>
                <w:color w:val="auto"/>
              </w:rPr>
            </w:pPr>
            <w:r>
              <w:rPr>
                <w:rFonts w:ascii="Arial" w:cs="Arial" w:eastAsia="Arial" w:hAnsi="Arial"/>
                <w:sz w:val="11"/>
                <w:szCs w:val="11"/>
                <w:b w:val="1"/>
                <w:bCs w:val="1"/>
                <w:color w:val="auto"/>
                <w:w w:val="94"/>
              </w:rPr>
              <w:t>Annualized Cash</w:t>
            </w:r>
          </w:p>
        </w:tc>
        <w:tc>
          <w:tcPr>
            <w:tcW w:w="6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b w:val="1"/>
                <w:bCs w:val="1"/>
                <w:color w:val="auto"/>
              </w:rPr>
              <w:t>Current</w:t>
            </w: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vMerge w:val="restart"/>
          </w:tcPr>
          <w:p>
            <w:pPr>
              <w:jc w:val="right"/>
              <w:ind w:right="67"/>
              <w:spacing w:after="0"/>
              <w:rPr>
                <w:sz w:val="20"/>
                <w:szCs w:val="20"/>
                <w:color w:val="auto"/>
              </w:rPr>
            </w:pPr>
            <w:r>
              <w:rPr>
                <w:rFonts w:ascii="Arial" w:cs="Arial" w:eastAsia="Arial" w:hAnsi="Arial"/>
                <w:sz w:val="11"/>
                <w:szCs w:val="11"/>
                <w:b w:val="1"/>
                <w:bCs w:val="1"/>
                <w:color w:val="auto"/>
              </w:rPr>
              <w:t>Rentable</w:t>
            </w:r>
          </w:p>
        </w:tc>
        <w:tc>
          <w:tcPr>
            <w:tcW w:w="6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ind w:right="7"/>
              <w:spacing w:after="0" w:line="100" w:lineRule="exact"/>
              <w:rPr>
                <w:sz w:val="20"/>
                <w:szCs w:val="20"/>
                <w:color w:val="auto"/>
              </w:rPr>
            </w:pPr>
            <w:r>
              <w:rPr>
                <w:rFonts w:ascii="Arial" w:cs="Arial" w:eastAsia="Arial" w:hAnsi="Arial"/>
                <w:sz w:val="11"/>
                <w:szCs w:val="11"/>
                <w:b w:val="1"/>
                <w:bCs w:val="1"/>
                <w:color w:val="auto"/>
                <w:w w:val="96"/>
              </w:rPr>
              <w:t>Annualized Cash</w:t>
            </w:r>
          </w:p>
        </w:tc>
        <w:tc>
          <w:tcPr>
            <w:tcW w:w="6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b w:val="1"/>
                <w:bCs w:val="1"/>
                <w:color w:val="auto"/>
              </w:rPr>
              <w:t>Current</w:t>
            </w:r>
          </w:p>
        </w:tc>
        <w:tc>
          <w:tcPr>
            <w:tcW w:w="0" w:type="dxa"/>
            <w:vAlign w:val="bottom"/>
          </w:tcPr>
          <w:p>
            <w:pPr>
              <w:spacing w:after="0"/>
              <w:rPr>
                <w:sz w:val="1"/>
                <w:szCs w:val="1"/>
                <w:color w:val="auto"/>
              </w:rPr>
            </w:pPr>
          </w:p>
        </w:tc>
      </w:tr>
      <w:tr>
        <w:trPr>
          <w:trHeight w:val="106"/>
        </w:trPr>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Number of</w:t>
            </w:r>
          </w:p>
        </w:tc>
        <w:tc>
          <w:tcPr>
            <w:tcW w:w="7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right"/>
              <w:ind w:right="47"/>
              <w:spacing w:after="0"/>
              <w:rPr>
                <w:sz w:val="20"/>
                <w:szCs w:val="20"/>
                <w:color w:val="auto"/>
              </w:rPr>
            </w:pPr>
            <w:r>
              <w:rPr>
                <w:rFonts w:ascii="Arial" w:cs="Arial" w:eastAsia="Arial" w:hAnsi="Arial"/>
                <w:sz w:val="11"/>
                <w:szCs w:val="11"/>
                <w:b w:val="1"/>
                <w:bCs w:val="1"/>
                <w:color w:val="auto"/>
                <w:w w:val="92"/>
              </w:rPr>
              <w:t>Annualized Cash</w:t>
            </w:r>
          </w:p>
        </w:tc>
        <w:tc>
          <w:tcPr>
            <w:tcW w:w="920" w:type="dxa"/>
            <w:vAlign w:val="bottom"/>
          </w:tcPr>
          <w:p>
            <w:pPr>
              <w:jc w:val="right"/>
              <w:ind w:right="7"/>
              <w:spacing w:after="0" w:line="107" w:lineRule="exact"/>
              <w:rPr>
                <w:sz w:val="20"/>
                <w:szCs w:val="20"/>
                <w:color w:val="auto"/>
              </w:rPr>
            </w:pPr>
            <w:r>
              <w:rPr>
                <w:rFonts w:ascii="Arial" w:cs="Arial" w:eastAsia="Arial" w:hAnsi="Arial"/>
                <w:sz w:val="11"/>
                <w:szCs w:val="11"/>
                <w:b w:val="1"/>
                <w:bCs w:val="1"/>
                <w:color w:val="auto"/>
                <w:w w:val="98"/>
              </w:rPr>
              <w:t>Rent Per Square</w:t>
            </w:r>
          </w:p>
        </w:tc>
        <w:tc>
          <w:tcPr>
            <w:tcW w:w="780" w:type="dxa"/>
            <w:vAlign w:val="bottom"/>
            <w:gridSpan w:val="2"/>
          </w:tcPr>
          <w:p>
            <w:pPr>
              <w:jc w:val="right"/>
              <w:ind w:right="120"/>
              <w:spacing w:after="0" w:line="107" w:lineRule="exact"/>
              <w:rPr>
                <w:sz w:val="20"/>
                <w:szCs w:val="20"/>
                <w:color w:val="auto"/>
              </w:rPr>
            </w:pPr>
            <w:r>
              <w:rPr>
                <w:rFonts w:ascii="Arial" w:cs="Arial" w:eastAsia="Arial" w:hAnsi="Arial"/>
                <w:sz w:val="11"/>
                <w:szCs w:val="11"/>
                <w:b w:val="1"/>
                <w:bCs w:val="1"/>
                <w:color w:val="auto"/>
              </w:rPr>
              <w:t>Weighted</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Number of</w:t>
            </w:r>
          </w:p>
        </w:tc>
        <w:tc>
          <w:tcPr>
            <w:tcW w:w="860" w:type="dxa"/>
            <w:vAlign w:val="bottom"/>
            <w:vMerge w:val="continue"/>
          </w:tcPr>
          <w:p>
            <w:pPr>
              <w:spacing w:after="0"/>
              <w:rPr>
                <w:sz w:val="9"/>
                <w:szCs w:val="9"/>
                <w:color w:val="auto"/>
              </w:rPr>
            </w:pPr>
          </w:p>
        </w:tc>
        <w:tc>
          <w:tcPr>
            <w:tcW w:w="820" w:type="dxa"/>
            <w:vAlign w:val="bottom"/>
            <w:gridSpan w:val="2"/>
            <w:vMerge w:val="restart"/>
          </w:tcPr>
          <w:p>
            <w:pPr>
              <w:jc w:val="right"/>
              <w:ind w:right="27"/>
              <w:spacing w:after="0"/>
              <w:rPr>
                <w:sz w:val="20"/>
                <w:szCs w:val="20"/>
                <w:color w:val="auto"/>
              </w:rPr>
            </w:pPr>
            <w:r>
              <w:rPr>
                <w:rFonts w:ascii="Arial" w:cs="Arial" w:eastAsia="Arial" w:hAnsi="Arial"/>
                <w:sz w:val="11"/>
                <w:szCs w:val="11"/>
                <w:b w:val="1"/>
                <w:bCs w:val="1"/>
                <w:color w:val="auto"/>
                <w:w w:val="98"/>
              </w:rPr>
              <w:t>Percentage of</w:t>
            </w:r>
          </w:p>
        </w:tc>
        <w:tc>
          <w:tcPr>
            <w:tcW w:w="960" w:type="dxa"/>
            <w:vAlign w:val="bottom"/>
            <w:vMerge w:val="restart"/>
          </w:tcPr>
          <w:p>
            <w:pPr>
              <w:jc w:val="right"/>
              <w:ind w:right="47"/>
              <w:spacing w:after="0"/>
              <w:rPr>
                <w:sz w:val="20"/>
                <w:szCs w:val="20"/>
                <w:color w:val="auto"/>
              </w:rPr>
            </w:pPr>
            <w:r>
              <w:rPr>
                <w:rFonts w:ascii="Arial" w:cs="Arial" w:eastAsia="Arial" w:hAnsi="Arial"/>
                <w:sz w:val="11"/>
                <w:szCs w:val="11"/>
                <w:b w:val="1"/>
                <w:bCs w:val="1"/>
                <w:color w:val="auto"/>
                <w:w w:val="94"/>
              </w:rPr>
              <w:t>Annualized Cash</w:t>
            </w:r>
          </w:p>
        </w:tc>
        <w:tc>
          <w:tcPr>
            <w:tcW w:w="940" w:type="dxa"/>
            <w:vAlign w:val="bottom"/>
          </w:tcPr>
          <w:p>
            <w:pPr>
              <w:jc w:val="right"/>
              <w:ind w:right="7"/>
              <w:spacing w:after="0" w:line="107" w:lineRule="exact"/>
              <w:rPr>
                <w:sz w:val="20"/>
                <w:szCs w:val="20"/>
                <w:color w:val="auto"/>
              </w:rPr>
            </w:pPr>
            <w:r>
              <w:rPr>
                <w:rFonts w:ascii="Arial" w:cs="Arial" w:eastAsia="Arial" w:hAnsi="Arial"/>
                <w:sz w:val="11"/>
                <w:szCs w:val="11"/>
                <w:b w:val="1"/>
                <w:bCs w:val="1"/>
                <w:color w:val="auto"/>
              </w:rPr>
              <w:t>Rent Per Square</w:t>
            </w:r>
          </w:p>
        </w:tc>
        <w:tc>
          <w:tcPr>
            <w:tcW w:w="680" w:type="dxa"/>
            <w:vAlign w:val="bottom"/>
          </w:tcPr>
          <w:p>
            <w:pPr>
              <w:jc w:val="right"/>
              <w:spacing w:after="0" w:line="107"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6"/>
        </w:trPr>
        <w:tc>
          <w:tcPr>
            <w:tcW w:w="120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rPr>
              <w:t>Year of Lease</w:t>
            </w:r>
          </w:p>
        </w:tc>
        <w:tc>
          <w:tcPr>
            <w:tcW w:w="640" w:type="dxa"/>
            <w:vAlign w:val="bottom"/>
            <w:vMerge w:val="continue"/>
          </w:tcPr>
          <w:p>
            <w:pPr>
              <w:spacing w:after="0"/>
              <w:rPr>
                <w:sz w:val="9"/>
                <w:szCs w:val="9"/>
                <w:color w:val="auto"/>
              </w:rPr>
            </w:pPr>
          </w:p>
        </w:tc>
        <w:tc>
          <w:tcPr>
            <w:tcW w:w="780" w:type="dxa"/>
            <w:vAlign w:val="bottom"/>
          </w:tcPr>
          <w:p>
            <w:pPr>
              <w:jc w:val="right"/>
              <w:spacing w:after="0" w:line="107" w:lineRule="exact"/>
              <w:rPr>
                <w:sz w:val="20"/>
                <w:szCs w:val="20"/>
                <w:color w:val="auto"/>
              </w:rPr>
            </w:pPr>
            <w:r>
              <w:rPr>
                <w:rFonts w:ascii="Arial" w:cs="Arial" w:eastAsia="Arial" w:hAnsi="Arial"/>
                <w:sz w:val="11"/>
                <w:szCs w:val="11"/>
                <w:b w:val="1"/>
                <w:bCs w:val="1"/>
                <w:color w:val="auto"/>
                <w:w w:val="88"/>
              </w:rPr>
              <w:t>Square Footage</w:t>
            </w:r>
          </w:p>
        </w:tc>
        <w:tc>
          <w:tcPr>
            <w:tcW w:w="980" w:type="dxa"/>
            <w:vAlign w:val="bottom"/>
            <w:gridSpan w:val="2"/>
            <w:vMerge w:val="restart"/>
          </w:tcPr>
          <w:p>
            <w:pPr>
              <w:jc w:val="right"/>
              <w:ind w:right="27"/>
              <w:spacing w:after="0"/>
              <w:rPr>
                <w:sz w:val="20"/>
                <w:szCs w:val="20"/>
                <w:color w:val="auto"/>
              </w:rPr>
            </w:pPr>
            <w:r>
              <w:rPr>
                <w:rFonts w:ascii="Arial" w:cs="Arial" w:eastAsia="Arial" w:hAnsi="Arial"/>
                <w:sz w:val="11"/>
                <w:szCs w:val="11"/>
                <w:b w:val="1"/>
                <w:bCs w:val="1"/>
                <w:color w:val="auto"/>
                <w:w w:val="86"/>
              </w:rPr>
              <w:t>Percentage of Total</w:t>
            </w:r>
          </w:p>
        </w:tc>
        <w:tc>
          <w:tcPr>
            <w:tcW w:w="940" w:type="dxa"/>
            <w:vAlign w:val="bottom"/>
            <w:vMerge w:val="continue"/>
          </w:tcPr>
          <w:p>
            <w:pPr>
              <w:spacing w:after="0"/>
              <w:rPr>
                <w:sz w:val="9"/>
                <w:szCs w:val="9"/>
                <w:color w:val="auto"/>
              </w:rPr>
            </w:pPr>
          </w:p>
        </w:tc>
        <w:tc>
          <w:tcPr>
            <w:tcW w:w="920" w:type="dxa"/>
            <w:vAlign w:val="bottom"/>
          </w:tcPr>
          <w:p>
            <w:pPr>
              <w:jc w:val="right"/>
              <w:ind w:right="7"/>
              <w:spacing w:after="0" w:line="107" w:lineRule="exact"/>
              <w:rPr>
                <w:sz w:val="20"/>
                <w:szCs w:val="20"/>
                <w:color w:val="auto"/>
              </w:rPr>
            </w:pPr>
            <w:r>
              <w:rPr>
                <w:rFonts w:ascii="Arial" w:cs="Arial" w:eastAsia="Arial" w:hAnsi="Arial"/>
                <w:sz w:val="11"/>
                <w:szCs w:val="11"/>
                <w:b w:val="1"/>
                <w:bCs w:val="1"/>
                <w:color w:val="auto"/>
                <w:w w:val="99"/>
              </w:rPr>
              <w:t>Foot of Expiring</w:t>
            </w:r>
          </w:p>
        </w:tc>
        <w:tc>
          <w:tcPr>
            <w:tcW w:w="780" w:type="dxa"/>
            <w:vAlign w:val="bottom"/>
            <w:gridSpan w:val="2"/>
          </w:tcPr>
          <w:p>
            <w:pPr>
              <w:jc w:val="right"/>
              <w:ind w:right="120"/>
              <w:spacing w:after="0" w:line="107" w:lineRule="exact"/>
              <w:rPr>
                <w:sz w:val="20"/>
                <w:szCs w:val="20"/>
                <w:color w:val="auto"/>
              </w:rPr>
            </w:pPr>
            <w:r>
              <w:rPr>
                <w:rFonts w:ascii="Arial" w:cs="Arial" w:eastAsia="Arial" w:hAnsi="Arial"/>
                <w:sz w:val="11"/>
                <w:szCs w:val="11"/>
                <w:b w:val="1"/>
                <w:bCs w:val="1"/>
                <w:color w:val="auto"/>
              </w:rPr>
              <w:t>Average</w:t>
            </w:r>
          </w:p>
        </w:tc>
        <w:tc>
          <w:tcPr>
            <w:tcW w:w="680" w:type="dxa"/>
            <w:vAlign w:val="bottom"/>
            <w:vMerge w:val="continue"/>
          </w:tcPr>
          <w:p>
            <w:pPr>
              <w:spacing w:after="0"/>
              <w:rPr>
                <w:sz w:val="9"/>
                <w:szCs w:val="9"/>
                <w:color w:val="auto"/>
              </w:rPr>
            </w:pPr>
          </w:p>
        </w:tc>
        <w:tc>
          <w:tcPr>
            <w:tcW w:w="860" w:type="dxa"/>
            <w:vAlign w:val="bottom"/>
          </w:tcPr>
          <w:p>
            <w:pPr>
              <w:jc w:val="right"/>
              <w:ind w:right="67"/>
              <w:spacing w:after="0" w:line="107" w:lineRule="exact"/>
              <w:rPr>
                <w:sz w:val="20"/>
                <w:szCs w:val="20"/>
                <w:color w:val="auto"/>
              </w:rPr>
            </w:pPr>
            <w:r>
              <w:rPr>
                <w:rFonts w:ascii="Arial" w:cs="Arial" w:eastAsia="Arial" w:hAnsi="Arial"/>
                <w:sz w:val="11"/>
                <w:szCs w:val="11"/>
                <w:b w:val="1"/>
                <w:bCs w:val="1"/>
                <w:color w:val="auto"/>
                <w:w w:val="86"/>
              </w:rPr>
              <w:t>Square Footage</w:t>
            </w:r>
          </w:p>
        </w:tc>
        <w:tc>
          <w:tcPr>
            <w:tcW w:w="8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tcPr>
          <w:p>
            <w:pPr>
              <w:jc w:val="right"/>
              <w:ind w:right="7"/>
              <w:spacing w:after="0" w:line="107" w:lineRule="exact"/>
              <w:rPr>
                <w:sz w:val="20"/>
                <w:szCs w:val="20"/>
                <w:color w:val="auto"/>
              </w:rPr>
            </w:pPr>
            <w:r>
              <w:rPr>
                <w:rFonts w:ascii="Arial" w:cs="Arial" w:eastAsia="Arial" w:hAnsi="Arial"/>
                <w:sz w:val="11"/>
                <w:szCs w:val="11"/>
                <w:b w:val="1"/>
                <w:bCs w:val="1"/>
                <w:color w:val="auto"/>
              </w:rPr>
              <w:t>Foot of Expiring</w:t>
            </w:r>
          </w:p>
        </w:tc>
        <w:tc>
          <w:tcPr>
            <w:tcW w:w="680" w:type="dxa"/>
            <w:vAlign w:val="bottom"/>
          </w:tcPr>
          <w:p>
            <w:pPr>
              <w:jc w:val="right"/>
              <w:spacing w:after="0" w:line="107"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6"/>
        </w:trPr>
        <w:tc>
          <w:tcPr>
            <w:tcW w:w="1200" w:type="dxa"/>
            <w:vAlign w:val="bottom"/>
            <w:gridSpan w:val="2"/>
            <w:vMerge w:val="continue"/>
          </w:tcPr>
          <w:p>
            <w:pPr>
              <w:spacing w:after="0"/>
              <w:rPr>
                <w:sz w:val="9"/>
                <w:szCs w:val="9"/>
                <w:color w:val="auto"/>
              </w:rPr>
            </w:pPr>
          </w:p>
        </w:tc>
        <w:tc>
          <w:tcPr>
            <w:tcW w:w="640" w:type="dxa"/>
            <w:vAlign w:val="bottom"/>
          </w:tcPr>
          <w:p>
            <w:pPr>
              <w:jc w:val="right"/>
              <w:spacing w:after="0" w:line="107" w:lineRule="exact"/>
              <w:rPr>
                <w:sz w:val="20"/>
                <w:szCs w:val="20"/>
                <w:color w:val="auto"/>
              </w:rPr>
            </w:pPr>
            <w:r>
              <w:rPr>
                <w:rFonts w:ascii="Arial" w:cs="Arial" w:eastAsia="Arial" w:hAnsi="Arial"/>
                <w:sz w:val="11"/>
                <w:szCs w:val="11"/>
                <w:b w:val="1"/>
                <w:bCs w:val="1"/>
                <w:color w:val="auto"/>
              </w:rPr>
              <w:t>Expiring</w:t>
            </w:r>
          </w:p>
        </w:tc>
        <w:tc>
          <w:tcPr>
            <w:tcW w:w="780" w:type="dxa"/>
            <w:vAlign w:val="bottom"/>
          </w:tcPr>
          <w:p>
            <w:pPr>
              <w:jc w:val="right"/>
              <w:spacing w:after="0" w:line="107" w:lineRule="exact"/>
              <w:rPr>
                <w:sz w:val="20"/>
                <w:szCs w:val="20"/>
                <w:color w:val="auto"/>
              </w:rPr>
            </w:pPr>
            <w:r>
              <w:rPr>
                <w:rFonts w:ascii="Arial" w:cs="Arial" w:eastAsia="Arial" w:hAnsi="Arial"/>
                <w:sz w:val="11"/>
                <w:szCs w:val="11"/>
                <w:b w:val="1"/>
                <w:bCs w:val="1"/>
                <w:color w:val="auto"/>
              </w:rPr>
              <w:t>of Expiring</w:t>
            </w:r>
          </w:p>
        </w:tc>
        <w:tc>
          <w:tcPr>
            <w:tcW w:w="980" w:type="dxa"/>
            <w:vAlign w:val="bottom"/>
            <w:gridSpan w:val="2"/>
            <w:vMerge w:val="continue"/>
          </w:tcPr>
          <w:p>
            <w:pPr>
              <w:spacing w:after="0"/>
              <w:rPr>
                <w:sz w:val="9"/>
                <w:szCs w:val="9"/>
                <w:color w:val="auto"/>
              </w:rPr>
            </w:pPr>
          </w:p>
        </w:tc>
        <w:tc>
          <w:tcPr>
            <w:tcW w:w="940" w:type="dxa"/>
            <w:vAlign w:val="bottom"/>
          </w:tcPr>
          <w:p>
            <w:pPr>
              <w:jc w:val="right"/>
              <w:ind w:right="47"/>
              <w:spacing w:after="0" w:line="107" w:lineRule="exact"/>
              <w:rPr>
                <w:sz w:val="20"/>
                <w:szCs w:val="20"/>
                <w:color w:val="auto"/>
              </w:rPr>
            </w:pPr>
            <w:r>
              <w:rPr>
                <w:rFonts w:ascii="Arial" w:cs="Arial" w:eastAsia="Arial" w:hAnsi="Arial"/>
                <w:sz w:val="11"/>
                <w:szCs w:val="11"/>
                <w:b w:val="1"/>
                <w:bCs w:val="1"/>
                <w:color w:val="auto"/>
                <w:w w:val="96"/>
              </w:rPr>
              <w:t>Rent of Expiring</w:t>
            </w:r>
          </w:p>
        </w:tc>
        <w:tc>
          <w:tcPr>
            <w:tcW w:w="920" w:type="dxa"/>
            <w:vAlign w:val="bottom"/>
          </w:tcPr>
          <w:p>
            <w:pPr>
              <w:jc w:val="right"/>
              <w:ind w:right="27"/>
              <w:spacing w:after="0" w:line="107" w:lineRule="exact"/>
              <w:rPr>
                <w:sz w:val="20"/>
                <w:szCs w:val="20"/>
                <w:color w:val="auto"/>
              </w:rPr>
            </w:pPr>
            <w:r>
              <w:rPr>
                <w:rFonts w:ascii="Arial" w:cs="Arial" w:eastAsia="Arial" w:hAnsi="Arial"/>
                <w:sz w:val="11"/>
                <w:szCs w:val="11"/>
                <w:b w:val="1"/>
                <w:bCs w:val="1"/>
                <w:color w:val="auto"/>
              </w:rPr>
              <w:t>Leases</w:t>
            </w:r>
          </w:p>
        </w:tc>
        <w:tc>
          <w:tcPr>
            <w:tcW w:w="780" w:type="dxa"/>
            <w:vAlign w:val="bottom"/>
            <w:gridSpan w:val="2"/>
          </w:tcPr>
          <w:p>
            <w:pPr>
              <w:ind w:left="60"/>
              <w:spacing w:after="0" w:line="107" w:lineRule="exact"/>
              <w:rPr>
                <w:sz w:val="20"/>
                <w:szCs w:val="20"/>
                <w:color w:val="auto"/>
              </w:rPr>
            </w:pPr>
            <w:r>
              <w:rPr>
                <w:rFonts w:ascii="Arial" w:cs="Arial" w:eastAsia="Arial" w:hAnsi="Arial"/>
                <w:sz w:val="11"/>
                <w:szCs w:val="11"/>
                <w:b w:val="1"/>
                <w:bCs w:val="1"/>
                <w:color w:val="auto"/>
              </w:rPr>
              <w:t>Asking Rent</w:t>
            </w:r>
          </w:p>
        </w:tc>
        <w:tc>
          <w:tcPr>
            <w:tcW w:w="680" w:type="dxa"/>
            <w:vAlign w:val="bottom"/>
          </w:tcPr>
          <w:p>
            <w:pPr>
              <w:jc w:val="right"/>
              <w:spacing w:after="0" w:line="107" w:lineRule="exact"/>
              <w:rPr>
                <w:sz w:val="20"/>
                <w:szCs w:val="20"/>
                <w:color w:val="auto"/>
              </w:rPr>
            </w:pPr>
            <w:r>
              <w:rPr>
                <w:rFonts w:ascii="Arial" w:cs="Arial" w:eastAsia="Arial" w:hAnsi="Arial"/>
                <w:sz w:val="11"/>
                <w:szCs w:val="11"/>
                <w:b w:val="1"/>
                <w:bCs w:val="1"/>
                <w:color w:val="auto"/>
              </w:rPr>
              <w:t>Expiring</w:t>
            </w:r>
          </w:p>
        </w:tc>
        <w:tc>
          <w:tcPr>
            <w:tcW w:w="860" w:type="dxa"/>
            <w:vAlign w:val="bottom"/>
          </w:tcPr>
          <w:p>
            <w:pPr>
              <w:jc w:val="right"/>
              <w:ind w:right="67"/>
              <w:spacing w:after="0" w:line="107" w:lineRule="exact"/>
              <w:rPr>
                <w:sz w:val="20"/>
                <w:szCs w:val="20"/>
                <w:color w:val="auto"/>
              </w:rPr>
            </w:pPr>
            <w:r>
              <w:rPr>
                <w:rFonts w:ascii="Arial" w:cs="Arial" w:eastAsia="Arial" w:hAnsi="Arial"/>
                <w:sz w:val="11"/>
                <w:szCs w:val="11"/>
                <w:b w:val="1"/>
                <w:bCs w:val="1"/>
                <w:color w:val="auto"/>
              </w:rPr>
              <w:t>of Expiring</w:t>
            </w:r>
          </w:p>
        </w:tc>
        <w:tc>
          <w:tcPr>
            <w:tcW w:w="820" w:type="dxa"/>
            <w:vAlign w:val="bottom"/>
            <w:gridSpan w:val="2"/>
          </w:tcPr>
          <w:p>
            <w:pPr>
              <w:jc w:val="right"/>
              <w:ind w:right="47"/>
              <w:spacing w:after="0" w:line="107" w:lineRule="exact"/>
              <w:rPr>
                <w:sz w:val="20"/>
                <w:szCs w:val="20"/>
                <w:color w:val="auto"/>
              </w:rPr>
            </w:pPr>
            <w:r>
              <w:rPr>
                <w:rFonts w:ascii="Arial" w:cs="Arial" w:eastAsia="Arial" w:hAnsi="Arial"/>
                <w:sz w:val="11"/>
                <w:szCs w:val="11"/>
                <w:b w:val="1"/>
                <w:bCs w:val="1"/>
                <w:color w:val="auto"/>
              </w:rPr>
              <w:t>Total</w:t>
            </w:r>
          </w:p>
        </w:tc>
        <w:tc>
          <w:tcPr>
            <w:tcW w:w="960" w:type="dxa"/>
            <w:vAlign w:val="bottom"/>
          </w:tcPr>
          <w:p>
            <w:pPr>
              <w:jc w:val="right"/>
              <w:ind w:right="47"/>
              <w:spacing w:after="0" w:line="107" w:lineRule="exact"/>
              <w:rPr>
                <w:sz w:val="20"/>
                <w:szCs w:val="20"/>
                <w:color w:val="auto"/>
              </w:rPr>
            </w:pPr>
            <w:r>
              <w:rPr>
                <w:rFonts w:ascii="Arial" w:cs="Arial" w:eastAsia="Arial" w:hAnsi="Arial"/>
                <w:sz w:val="11"/>
                <w:szCs w:val="11"/>
                <w:b w:val="1"/>
                <w:bCs w:val="1"/>
                <w:color w:val="auto"/>
                <w:w w:val="98"/>
              </w:rPr>
              <w:t>Rent of Expiring</w:t>
            </w:r>
          </w:p>
        </w:tc>
        <w:tc>
          <w:tcPr>
            <w:tcW w:w="940" w:type="dxa"/>
            <w:vAlign w:val="bottom"/>
          </w:tcPr>
          <w:p>
            <w:pPr>
              <w:jc w:val="right"/>
              <w:ind w:right="47"/>
              <w:spacing w:after="0" w:line="107" w:lineRule="exact"/>
              <w:rPr>
                <w:sz w:val="20"/>
                <w:szCs w:val="20"/>
                <w:color w:val="auto"/>
              </w:rPr>
            </w:pPr>
            <w:r>
              <w:rPr>
                <w:rFonts w:ascii="Arial" w:cs="Arial" w:eastAsia="Arial" w:hAnsi="Arial"/>
                <w:sz w:val="11"/>
                <w:szCs w:val="11"/>
                <w:b w:val="1"/>
                <w:bCs w:val="1"/>
                <w:color w:val="auto"/>
              </w:rPr>
              <w:t>Leases</w:t>
            </w:r>
          </w:p>
        </w:tc>
        <w:tc>
          <w:tcPr>
            <w:tcW w:w="680" w:type="dxa"/>
            <w:vAlign w:val="bottom"/>
          </w:tcPr>
          <w:p>
            <w:pPr>
              <w:jc w:val="right"/>
              <w:spacing w:after="0" w:line="107" w:lineRule="exact"/>
              <w:rPr>
                <w:sz w:val="20"/>
                <w:szCs w:val="20"/>
                <w:color w:val="auto"/>
              </w:rPr>
            </w:pPr>
            <w:r>
              <w:rPr>
                <w:rFonts w:ascii="Arial" w:cs="Arial" w:eastAsia="Arial" w:hAnsi="Arial"/>
                <w:sz w:val="11"/>
                <w:szCs w:val="11"/>
                <w:b w:val="1"/>
                <w:bCs w:val="1"/>
                <w:color w:val="auto"/>
                <w:w w:val="99"/>
              </w:rPr>
              <w:t>Asking Rent</w:t>
            </w:r>
          </w:p>
        </w:tc>
        <w:tc>
          <w:tcPr>
            <w:tcW w:w="0" w:type="dxa"/>
            <w:vAlign w:val="bottom"/>
          </w:tcPr>
          <w:p>
            <w:pPr>
              <w:spacing w:after="0"/>
              <w:rPr>
                <w:sz w:val="1"/>
                <w:szCs w:val="1"/>
                <w:color w:val="auto"/>
              </w:rPr>
            </w:pPr>
          </w:p>
        </w:tc>
      </w:tr>
      <w:tr>
        <w:trPr>
          <w:trHeight w:val="139"/>
        </w:trPr>
        <w:tc>
          <w:tcPr>
            <w:tcW w:w="12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Leases (1)</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Leases</w:t>
            </w:r>
          </w:p>
        </w:tc>
        <w:tc>
          <w:tcPr>
            <w:tcW w:w="980" w:type="dxa"/>
            <w:vAlign w:val="bottom"/>
            <w:gridSpan w:val="2"/>
          </w:tcPr>
          <w:p>
            <w:pPr>
              <w:jc w:val="right"/>
              <w:ind w:right="27"/>
              <w:spacing w:after="0"/>
              <w:rPr>
                <w:sz w:val="20"/>
                <w:szCs w:val="20"/>
                <w:color w:val="auto"/>
              </w:rPr>
            </w:pPr>
            <w:r>
              <w:rPr>
                <w:rFonts w:ascii="Arial" w:cs="Arial" w:eastAsia="Arial" w:hAnsi="Arial"/>
                <w:sz w:val="11"/>
                <w:szCs w:val="11"/>
                <w:b w:val="1"/>
                <w:bCs w:val="1"/>
                <w:color w:val="auto"/>
              </w:rPr>
              <w:t>Sq. Ft.</w:t>
            </w:r>
          </w:p>
        </w:tc>
        <w:tc>
          <w:tcPr>
            <w:tcW w:w="940" w:type="dxa"/>
            <w:vAlign w:val="bottom"/>
          </w:tcPr>
          <w:p>
            <w:pPr>
              <w:jc w:val="right"/>
              <w:ind w:right="47"/>
              <w:spacing w:after="0"/>
              <w:rPr>
                <w:sz w:val="20"/>
                <w:szCs w:val="20"/>
                <w:color w:val="auto"/>
              </w:rPr>
            </w:pPr>
            <w:r>
              <w:rPr>
                <w:rFonts w:ascii="Arial" w:cs="Arial" w:eastAsia="Arial" w:hAnsi="Arial"/>
                <w:sz w:val="11"/>
                <w:szCs w:val="11"/>
                <w:b w:val="1"/>
                <w:bCs w:val="1"/>
                <w:color w:val="auto"/>
              </w:rPr>
              <w:t>Leases</w:t>
            </w:r>
          </w:p>
        </w:tc>
        <w:tc>
          <w:tcPr>
            <w:tcW w:w="920" w:type="dxa"/>
            <w:vAlign w:val="bottom"/>
          </w:tcPr>
          <w:p>
            <w:pPr>
              <w:jc w:val="right"/>
              <w:ind w:right="7"/>
              <w:spacing w:after="0"/>
              <w:rPr>
                <w:sz w:val="20"/>
                <w:szCs w:val="20"/>
                <w:color w:val="auto"/>
              </w:rPr>
            </w:pPr>
            <w:r>
              <w:rPr>
                <w:rFonts w:ascii="Arial" w:cs="Arial" w:eastAsia="Arial" w:hAnsi="Arial"/>
                <w:sz w:val="11"/>
                <w:szCs w:val="11"/>
                <w:b w:val="1"/>
                <w:bCs w:val="1"/>
                <w:color w:val="auto"/>
              </w:rPr>
              <w:t>$/psf (2)</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$/psf (3)</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Leases (2)</w:t>
            </w:r>
          </w:p>
        </w:tc>
        <w:tc>
          <w:tcPr>
            <w:tcW w:w="860" w:type="dxa"/>
            <w:vAlign w:val="bottom"/>
          </w:tcPr>
          <w:p>
            <w:pPr>
              <w:jc w:val="right"/>
              <w:ind w:right="67"/>
              <w:spacing w:after="0"/>
              <w:rPr>
                <w:sz w:val="20"/>
                <w:szCs w:val="20"/>
                <w:color w:val="auto"/>
              </w:rPr>
            </w:pPr>
            <w:r>
              <w:rPr>
                <w:rFonts w:ascii="Arial" w:cs="Arial" w:eastAsia="Arial" w:hAnsi="Arial"/>
                <w:sz w:val="11"/>
                <w:szCs w:val="11"/>
                <w:b w:val="1"/>
                <w:bCs w:val="1"/>
                <w:color w:val="auto"/>
              </w:rPr>
              <w:t>Leases</w:t>
            </w:r>
          </w:p>
        </w:tc>
        <w:tc>
          <w:tcPr>
            <w:tcW w:w="820" w:type="dxa"/>
            <w:vAlign w:val="bottom"/>
            <w:gridSpan w:val="2"/>
          </w:tcPr>
          <w:p>
            <w:pPr>
              <w:jc w:val="right"/>
              <w:ind w:right="27"/>
              <w:spacing w:after="0"/>
              <w:rPr>
                <w:sz w:val="20"/>
                <w:szCs w:val="20"/>
                <w:color w:val="auto"/>
              </w:rPr>
            </w:pPr>
            <w:r>
              <w:rPr>
                <w:rFonts w:ascii="Arial" w:cs="Arial" w:eastAsia="Arial" w:hAnsi="Arial"/>
                <w:sz w:val="11"/>
                <w:szCs w:val="11"/>
                <w:b w:val="1"/>
                <w:bCs w:val="1"/>
                <w:color w:val="auto"/>
              </w:rPr>
              <w:t>Sq. Ft.</w:t>
            </w:r>
          </w:p>
        </w:tc>
        <w:tc>
          <w:tcPr>
            <w:tcW w:w="960" w:type="dxa"/>
            <w:vAlign w:val="bottom"/>
          </w:tcPr>
          <w:p>
            <w:pPr>
              <w:jc w:val="right"/>
              <w:ind w:right="47"/>
              <w:spacing w:after="0"/>
              <w:rPr>
                <w:sz w:val="20"/>
                <w:szCs w:val="20"/>
                <w:color w:val="auto"/>
              </w:rPr>
            </w:pPr>
            <w:r>
              <w:rPr>
                <w:rFonts w:ascii="Arial" w:cs="Arial" w:eastAsia="Arial" w:hAnsi="Arial"/>
                <w:sz w:val="11"/>
                <w:szCs w:val="11"/>
                <w:b w:val="1"/>
                <w:bCs w:val="1"/>
                <w:color w:val="auto"/>
              </w:rPr>
              <w:t>Leases</w:t>
            </w:r>
          </w:p>
        </w:tc>
        <w:tc>
          <w:tcPr>
            <w:tcW w:w="940" w:type="dxa"/>
            <w:vAlign w:val="bottom"/>
          </w:tcPr>
          <w:p>
            <w:pPr>
              <w:jc w:val="right"/>
              <w:ind w:right="7"/>
              <w:spacing w:after="0"/>
              <w:rPr>
                <w:sz w:val="20"/>
                <w:szCs w:val="20"/>
                <w:color w:val="auto"/>
              </w:rPr>
            </w:pPr>
            <w:r>
              <w:rPr>
                <w:rFonts w:ascii="Arial" w:cs="Arial" w:eastAsia="Arial" w:hAnsi="Arial"/>
                <w:sz w:val="11"/>
                <w:szCs w:val="11"/>
                <w:b w:val="1"/>
                <w:bCs w:val="1"/>
                <w:color w:val="auto"/>
              </w:rPr>
              <w:t>$/psf (2)</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$/psf (3)</w:t>
            </w:r>
          </w:p>
        </w:tc>
        <w:tc>
          <w:tcPr>
            <w:tcW w:w="0" w:type="dxa"/>
            <w:vAlign w:val="bottom"/>
          </w:tcPr>
          <w:p>
            <w:pPr>
              <w:spacing w:after="0"/>
              <w:rPr>
                <w:sz w:val="1"/>
                <w:szCs w:val="1"/>
                <w:color w:val="auto"/>
              </w:rPr>
            </w:pPr>
          </w:p>
        </w:tc>
      </w:tr>
      <w:tr>
        <w:trPr>
          <w:trHeight w:val="21"/>
        </w:trPr>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060" w:type="dxa"/>
            <w:vAlign w:val="bottom"/>
          </w:tcPr>
          <w:p>
            <w:pPr>
              <w:jc w:val="right"/>
              <w:spacing w:after="0"/>
              <w:rPr>
                <w:sz w:val="20"/>
                <w:szCs w:val="20"/>
                <w:color w:val="auto"/>
              </w:rPr>
            </w:pPr>
            <w:r>
              <w:rPr>
                <w:rFonts w:ascii="Arial" w:cs="Arial" w:eastAsia="Arial" w:hAnsi="Arial"/>
                <w:sz w:val="11"/>
                <w:szCs w:val="11"/>
                <w:color w:val="auto"/>
              </w:rPr>
              <w:t>2022 (4)</w:t>
            </w:r>
          </w:p>
        </w:tc>
        <w:tc>
          <w:tcPr>
            <w:tcW w:w="14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13</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53,301</w:t>
            </w:r>
          </w:p>
        </w:tc>
        <w:tc>
          <w:tcPr>
            <w:tcW w:w="780" w:type="dxa"/>
            <w:vAlign w:val="bottom"/>
          </w:tcPr>
          <w:p>
            <w:pPr>
              <w:jc w:val="right"/>
              <w:spacing w:after="0"/>
              <w:rPr>
                <w:sz w:val="20"/>
                <w:szCs w:val="20"/>
                <w:color w:val="auto"/>
              </w:rPr>
            </w:pPr>
            <w:r>
              <w:rPr>
                <w:rFonts w:ascii="Arial" w:cs="Arial" w:eastAsia="Arial" w:hAnsi="Arial"/>
                <w:sz w:val="11"/>
                <w:szCs w:val="11"/>
                <w:color w:val="auto"/>
              </w:rPr>
              <w:t>0.60</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47"/>
              <w:spacing w:after="0"/>
              <w:rPr>
                <w:sz w:val="20"/>
                <w:szCs w:val="20"/>
                <w:color w:val="auto"/>
              </w:rPr>
            </w:pPr>
            <w:r>
              <w:rPr>
                <w:rFonts w:ascii="Arial" w:cs="Arial" w:eastAsia="Arial" w:hAnsi="Arial"/>
                <w:sz w:val="11"/>
                <w:szCs w:val="11"/>
                <w:color w:val="auto"/>
              </w:rPr>
              <w:t>$4,079,391</w:t>
            </w:r>
          </w:p>
        </w:tc>
        <w:tc>
          <w:tcPr>
            <w:tcW w:w="920" w:type="dxa"/>
            <w:vAlign w:val="bottom"/>
          </w:tcPr>
          <w:p>
            <w:pPr>
              <w:jc w:val="right"/>
              <w:ind w:right="47"/>
              <w:spacing w:after="0"/>
              <w:rPr>
                <w:sz w:val="20"/>
                <w:szCs w:val="20"/>
                <w:color w:val="auto"/>
              </w:rPr>
            </w:pPr>
            <w:r>
              <w:rPr>
                <w:rFonts w:ascii="Arial" w:cs="Arial" w:eastAsia="Arial" w:hAnsi="Arial"/>
                <w:sz w:val="11"/>
                <w:szCs w:val="11"/>
                <w:color w:val="auto"/>
              </w:rPr>
              <w:t>$76.53</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$69.29</w:t>
            </w:r>
          </w:p>
        </w:tc>
        <w:tc>
          <w:tcPr>
            <w:tcW w:w="10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860" w:type="dxa"/>
            <w:vAlign w:val="bottom"/>
          </w:tcPr>
          <w:p>
            <w:pPr>
              <w:jc w:val="right"/>
              <w:ind w:right="107"/>
              <w:spacing w:after="0"/>
              <w:rPr>
                <w:sz w:val="20"/>
                <w:szCs w:val="20"/>
                <w:color w:val="auto"/>
              </w:rPr>
            </w:pPr>
            <w:r>
              <w:rPr>
                <w:rFonts w:ascii="Arial" w:cs="Arial" w:eastAsia="Arial" w:hAnsi="Arial"/>
                <w:sz w:val="11"/>
                <w:szCs w:val="11"/>
                <w:color w:val="auto"/>
              </w:rPr>
              <w:t>53,011</w:t>
            </w:r>
          </w:p>
        </w:tc>
        <w:tc>
          <w:tcPr>
            <w:tcW w:w="640" w:type="dxa"/>
            <w:vAlign w:val="bottom"/>
          </w:tcPr>
          <w:p>
            <w:pPr>
              <w:jc w:val="right"/>
              <w:spacing w:after="0"/>
              <w:rPr>
                <w:sz w:val="20"/>
                <w:szCs w:val="20"/>
                <w:color w:val="auto"/>
              </w:rPr>
            </w:pPr>
            <w:r>
              <w:rPr>
                <w:rFonts w:ascii="Arial" w:cs="Arial" w:eastAsia="Arial" w:hAnsi="Arial"/>
                <w:sz w:val="11"/>
                <w:szCs w:val="11"/>
                <w:color w:val="auto"/>
              </w:rPr>
              <w:t>0.40</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Pr>
          <w:p>
            <w:pPr>
              <w:jc w:val="right"/>
              <w:ind w:right="87"/>
              <w:spacing w:after="0"/>
              <w:rPr>
                <w:sz w:val="20"/>
                <w:szCs w:val="20"/>
                <w:color w:val="auto"/>
              </w:rPr>
            </w:pPr>
            <w:r>
              <w:rPr>
                <w:rFonts w:ascii="Arial" w:cs="Arial" w:eastAsia="Arial" w:hAnsi="Arial"/>
                <w:sz w:val="11"/>
                <w:szCs w:val="11"/>
                <w:color w:val="auto"/>
              </w:rPr>
              <w:t>$3,872,976</w:t>
            </w:r>
          </w:p>
        </w:tc>
        <w:tc>
          <w:tcPr>
            <w:tcW w:w="940" w:type="dxa"/>
            <w:vAlign w:val="bottom"/>
          </w:tcPr>
          <w:p>
            <w:pPr>
              <w:jc w:val="right"/>
              <w:ind w:right="47"/>
              <w:spacing w:after="0"/>
              <w:rPr>
                <w:sz w:val="20"/>
                <w:szCs w:val="20"/>
                <w:color w:val="auto"/>
              </w:rPr>
            </w:pPr>
            <w:r>
              <w:rPr>
                <w:rFonts w:ascii="Arial" w:cs="Arial" w:eastAsia="Arial" w:hAnsi="Arial"/>
                <w:sz w:val="11"/>
                <w:szCs w:val="11"/>
                <w:color w:val="auto"/>
              </w:rPr>
              <w:t>$73.06</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$68.96</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1st Quarter 2023</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161,834</w:t>
            </w:r>
          </w:p>
        </w:tc>
        <w:tc>
          <w:tcPr>
            <w:tcW w:w="780" w:type="dxa"/>
            <w:vAlign w:val="bottom"/>
          </w:tcPr>
          <w:p>
            <w:pPr>
              <w:jc w:val="right"/>
              <w:spacing w:after="0"/>
              <w:rPr>
                <w:sz w:val="20"/>
                <w:szCs w:val="20"/>
                <w:color w:val="auto"/>
              </w:rPr>
            </w:pPr>
            <w:r>
              <w:rPr>
                <w:rFonts w:ascii="Arial" w:cs="Arial" w:eastAsia="Arial" w:hAnsi="Arial"/>
                <w:sz w:val="11"/>
                <w:szCs w:val="11"/>
                <w:color w:val="auto"/>
              </w:rPr>
              <w:t>1.80</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47"/>
              <w:spacing w:after="0"/>
              <w:rPr>
                <w:sz w:val="20"/>
                <w:szCs w:val="20"/>
                <w:color w:val="auto"/>
              </w:rPr>
            </w:pPr>
            <w:r>
              <w:rPr>
                <w:rFonts w:ascii="Arial" w:cs="Arial" w:eastAsia="Arial" w:hAnsi="Arial"/>
                <w:sz w:val="11"/>
                <w:szCs w:val="11"/>
                <w:color w:val="auto"/>
              </w:rPr>
              <w:t>$13,445,071</w:t>
            </w:r>
          </w:p>
        </w:tc>
        <w:tc>
          <w:tcPr>
            <w:tcW w:w="920" w:type="dxa"/>
            <w:vAlign w:val="bottom"/>
          </w:tcPr>
          <w:p>
            <w:pPr>
              <w:jc w:val="right"/>
              <w:ind w:right="47"/>
              <w:spacing w:after="0"/>
              <w:rPr>
                <w:sz w:val="20"/>
                <w:szCs w:val="20"/>
                <w:color w:val="auto"/>
              </w:rPr>
            </w:pPr>
            <w:r>
              <w:rPr>
                <w:rFonts w:ascii="Arial" w:cs="Arial" w:eastAsia="Arial" w:hAnsi="Arial"/>
                <w:sz w:val="11"/>
                <w:szCs w:val="11"/>
                <w:color w:val="auto"/>
              </w:rPr>
              <w:t>$83.08</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$83.87</w:t>
            </w:r>
          </w:p>
        </w:tc>
        <w:tc>
          <w:tcPr>
            <w:tcW w:w="10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860" w:type="dxa"/>
            <w:vAlign w:val="bottom"/>
          </w:tcPr>
          <w:p>
            <w:pPr>
              <w:jc w:val="right"/>
              <w:ind w:right="107"/>
              <w:spacing w:after="0"/>
              <w:rPr>
                <w:sz w:val="20"/>
                <w:szCs w:val="20"/>
                <w:color w:val="auto"/>
              </w:rPr>
            </w:pPr>
            <w:r>
              <w:rPr>
                <w:rFonts w:ascii="Arial" w:cs="Arial" w:eastAsia="Arial" w:hAnsi="Arial"/>
                <w:sz w:val="11"/>
                <w:szCs w:val="11"/>
                <w:color w:val="auto"/>
              </w:rPr>
              <w:t>468,045</w:t>
            </w:r>
          </w:p>
        </w:tc>
        <w:tc>
          <w:tcPr>
            <w:tcW w:w="640" w:type="dxa"/>
            <w:vAlign w:val="bottom"/>
          </w:tcPr>
          <w:p>
            <w:pPr>
              <w:jc w:val="right"/>
              <w:spacing w:after="0"/>
              <w:rPr>
                <w:sz w:val="20"/>
                <w:szCs w:val="20"/>
                <w:color w:val="auto"/>
              </w:rPr>
            </w:pPr>
            <w:r>
              <w:rPr>
                <w:rFonts w:ascii="Arial" w:cs="Arial" w:eastAsia="Arial" w:hAnsi="Arial"/>
                <w:sz w:val="11"/>
                <w:szCs w:val="11"/>
                <w:color w:val="auto"/>
              </w:rPr>
              <w:t>3.50</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Pr>
          <w:p>
            <w:pPr>
              <w:jc w:val="right"/>
              <w:ind w:right="87"/>
              <w:spacing w:after="0"/>
              <w:rPr>
                <w:sz w:val="20"/>
                <w:szCs w:val="20"/>
                <w:color w:val="auto"/>
              </w:rPr>
            </w:pPr>
            <w:r>
              <w:rPr>
                <w:rFonts w:ascii="Arial" w:cs="Arial" w:eastAsia="Arial" w:hAnsi="Arial"/>
                <w:sz w:val="11"/>
                <w:szCs w:val="11"/>
                <w:color w:val="auto"/>
              </w:rPr>
              <w:t>$38,824,470</w:t>
            </w:r>
          </w:p>
        </w:tc>
        <w:tc>
          <w:tcPr>
            <w:tcW w:w="940" w:type="dxa"/>
            <w:vAlign w:val="bottom"/>
          </w:tcPr>
          <w:p>
            <w:pPr>
              <w:jc w:val="right"/>
              <w:ind w:right="47"/>
              <w:spacing w:after="0"/>
              <w:rPr>
                <w:sz w:val="20"/>
                <w:szCs w:val="20"/>
                <w:color w:val="auto"/>
              </w:rPr>
            </w:pPr>
            <w:r>
              <w:rPr>
                <w:rFonts w:ascii="Arial" w:cs="Arial" w:eastAsia="Arial" w:hAnsi="Arial"/>
                <w:sz w:val="11"/>
                <w:szCs w:val="11"/>
                <w:color w:val="auto"/>
              </w:rPr>
              <w:t>$82.95</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$70.54</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2nd Quarter 2023</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150,621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11,880,107</w:t>
            </w: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78.87</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75.01</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w:t>
            </w:r>
          </w:p>
        </w:tc>
        <w:tc>
          <w:tcPr>
            <w:tcW w:w="8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26,097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0.20</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2,298,635</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88.08</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82.75</w:t>
            </w:r>
          </w:p>
        </w:tc>
        <w:tc>
          <w:tcPr>
            <w:tcW w:w="0" w:type="dxa"/>
            <w:vAlign w:val="bottom"/>
          </w:tcPr>
          <w:p>
            <w:pPr>
              <w:spacing w:after="0"/>
              <w:rPr>
                <w:sz w:val="1"/>
                <w:szCs w:val="1"/>
                <w:color w:val="auto"/>
              </w:rPr>
            </w:pPr>
          </w:p>
        </w:tc>
      </w:tr>
      <w:tr>
        <w:trPr>
          <w:trHeight w:val="138"/>
        </w:trPr>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3rd Quarter 2023</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210,174</w:t>
            </w:r>
          </w:p>
        </w:tc>
        <w:tc>
          <w:tcPr>
            <w:tcW w:w="780" w:type="dxa"/>
            <w:vAlign w:val="bottom"/>
          </w:tcPr>
          <w:p>
            <w:pPr>
              <w:jc w:val="right"/>
              <w:spacing w:after="0"/>
              <w:rPr>
                <w:sz w:val="20"/>
                <w:szCs w:val="20"/>
                <w:color w:val="auto"/>
              </w:rPr>
            </w:pPr>
            <w:r>
              <w:rPr>
                <w:rFonts w:ascii="Arial" w:cs="Arial" w:eastAsia="Arial" w:hAnsi="Arial"/>
                <w:sz w:val="11"/>
                <w:szCs w:val="11"/>
                <w:color w:val="auto"/>
              </w:rPr>
              <w:t>2.30</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87"/>
              <w:spacing w:after="0"/>
              <w:rPr>
                <w:sz w:val="20"/>
                <w:szCs w:val="20"/>
                <w:color w:val="auto"/>
              </w:rPr>
            </w:pPr>
            <w:r>
              <w:rPr>
                <w:rFonts w:ascii="Arial" w:cs="Arial" w:eastAsia="Arial" w:hAnsi="Arial"/>
                <w:sz w:val="11"/>
                <w:szCs w:val="11"/>
                <w:color w:val="auto"/>
              </w:rPr>
              <w:t>10,045,563</w:t>
            </w:r>
          </w:p>
        </w:tc>
        <w:tc>
          <w:tcPr>
            <w:tcW w:w="920" w:type="dxa"/>
            <w:vAlign w:val="bottom"/>
          </w:tcPr>
          <w:p>
            <w:pPr>
              <w:jc w:val="right"/>
              <w:ind w:right="47"/>
              <w:spacing w:after="0"/>
              <w:rPr>
                <w:sz w:val="20"/>
                <w:szCs w:val="20"/>
                <w:color w:val="auto"/>
              </w:rPr>
            </w:pPr>
            <w:r>
              <w:rPr>
                <w:rFonts w:ascii="Arial" w:cs="Arial" w:eastAsia="Arial" w:hAnsi="Arial"/>
                <w:sz w:val="11"/>
                <w:szCs w:val="11"/>
                <w:color w:val="auto"/>
              </w:rPr>
              <w:t>47.80</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81.88</w:t>
            </w:r>
          </w:p>
        </w:tc>
        <w:tc>
          <w:tcPr>
            <w:tcW w:w="10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860" w:type="dxa"/>
            <w:vAlign w:val="bottom"/>
          </w:tcPr>
          <w:p>
            <w:pPr>
              <w:jc w:val="right"/>
              <w:ind w:right="107"/>
              <w:spacing w:after="0"/>
              <w:rPr>
                <w:sz w:val="20"/>
                <w:szCs w:val="20"/>
                <w:color w:val="auto"/>
              </w:rPr>
            </w:pPr>
            <w:r>
              <w:rPr>
                <w:rFonts w:ascii="Arial" w:cs="Arial" w:eastAsia="Arial" w:hAnsi="Arial"/>
                <w:sz w:val="11"/>
                <w:szCs w:val="11"/>
                <w:color w:val="auto"/>
              </w:rPr>
              <w:t>51,515</w:t>
            </w:r>
          </w:p>
        </w:tc>
        <w:tc>
          <w:tcPr>
            <w:tcW w:w="640" w:type="dxa"/>
            <w:vAlign w:val="bottom"/>
          </w:tcPr>
          <w:p>
            <w:pPr>
              <w:jc w:val="right"/>
              <w:spacing w:after="0"/>
              <w:rPr>
                <w:sz w:val="20"/>
                <w:szCs w:val="20"/>
                <w:color w:val="auto"/>
              </w:rPr>
            </w:pPr>
            <w:r>
              <w:rPr>
                <w:rFonts w:ascii="Arial" w:cs="Arial" w:eastAsia="Arial" w:hAnsi="Arial"/>
                <w:sz w:val="11"/>
                <w:szCs w:val="11"/>
                <w:color w:val="auto"/>
              </w:rPr>
              <w:t>0.40</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Pr>
          <w:p>
            <w:pPr>
              <w:jc w:val="right"/>
              <w:ind w:right="87"/>
              <w:spacing w:after="0"/>
              <w:rPr>
                <w:sz w:val="20"/>
                <w:szCs w:val="20"/>
                <w:color w:val="auto"/>
              </w:rPr>
            </w:pPr>
            <w:r>
              <w:rPr>
                <w:rFonts w:ascii="Arial" w:cs="Arial" w:eastAsia="Arial" w:hAnsi="Arial"/>
                <w:sz w:val="11"/>
                <w:szCs w:val="11"/>
                <w:color w:val="auto"/>
              </w:rPr>
              <w:t>5,701,294</w:t>
            </w:r>
          </w:p>
        </w:tc>
        <w:tc>
          <w:tcPr>
            <w:tcW w:w="940" w:type="dxa"/>
            <w:vAlign w:val="bottom"/>
          </w:tcPr>
          <w:p>
            <w:pPr>
              <w:jc w:val="right"/>
              <w:ind w:right="47"/>
              <w:spacing w:after="0"/>
              <w:rPr>
                <w:sz w:val="20"/>
                <w:szCs w:val="20"/>
                <w:color w:val="auto"/>
              </w:rPr>
            </w:pPr>
            <w:r>
              <w:rPr>
                <w:rFonts w:ascii="Arial" w:cs="Arial" w:eastAsia="Arial" w:hAnsi="Arial"/>
                <w:sz w:val="11"/>
                <w:szCs w:val="11"/>
                <w:color w:val="auto"/>
              </w:rPr>
              <w:t>110.67</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99.92</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4th Quarter 2023</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21</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411,436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4.60</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25,311,876</w:t>
            </w: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61.52</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66.25</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w:t>
            </w:r>
          </w:p>
        </w:tc>
        <w:tc>
          <w:tcPr>
            <w:tcW w:w="8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126,298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0.90</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12,818,602</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101.49</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76.94</w:t>
            </w:r>
          </w:p>
        </w:tc>
        <w:tc>
          <w:tcPr>
            <w:tcW w:w="0" w:type="dxa"/>
            <w:vAlign w:val="bottom"/>
          </w:tcPr>
          <w:p>
            <w:pPr>
              <w:spacing w:after="0"/>
              <w:rPr>
                <w:sz w:val="1"/>
                <w:szCs w:val="1"/>
                <w:color w:val="auto"/>
              </w:rPr>
            </w:pPr>
          </w:p>
        </w:tc>
      </w:tr>
      <w:tr>
        <w:trPr>
          <w:trHeight w:val="140"/>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Total 2023</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72</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934,065</w:t>
            </w:r>
          </w:p>
        </w:tc>
        <w:tc>
          <w:tcPr>
            <w:tcW w:w="98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1"/>
                <w:szCs w:val="11"/>
                <w:b w:val="1"/>
                <w:bCs w:val="1"/>
                <w:color w:val="auto"/>
              </w:rPr>
              <w:t>10.40 %</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b w:val="1"/>
                <w:bCs w:val="1"/>
                <w:color w:val="auto"/>
              </w:rPr>
              <w:t>$60,682,617</w:t>
            </w: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b w:val="1"/>
                <w:bCs w:val="1"/>
                <w:color w:val="auto"/>
              </w:rPr>
              <w:t>$64.97</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$74.23</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24</w:t>
            </w:r>
          </w:p>
        </w:tc>
        <w:tc>
          <w:tcPr>
            <w:tcW w:w="8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b w:val="1"/>
                <w:bCs w:val="1"/>
                <w:color w:val="auto"/>
              </w:rPr>
              <w:t>671,955</w:t>
            </w:r>
          </w:p>
        </w:tc>
        <w:tc>
          <w:tcPr>
            <w:tcW w:w="82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1"/>
                <w:szCs w:val="11"/>
                <w:b w:val="1"/>
                <w:bCs w:val="1"/>
                <w:color w:val="auto"/>
              </w:rPr>
              <w:t>5.00 %</w:t>
            </w:r>
          </w:p>
        </w:tc>
        <w:tc>
          <w:tcPr>
            <w:tcW w:w="9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b w:val="1"/>
                <w:bCs w:val="1"/>
                <w:color w:val="auto"/>
              </w:rPr>
              <w:t>$59,643,001</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b w:val="1"/>
                <w:bCs w:val="1"/>
                <w:color w:val="auto"/>
              </w:rPr>
              <w:t>$88.76</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$74.47</w:t>
            </w: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2024</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57</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449,778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$26,549,129</w:t>
            </w: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$59.03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$56.77</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30</w:t>
            </w:r>
          </w:p>
        </w:tc>
        <w:tc>
          <w:tcPr>
            <w:tcW w:w="8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1,014,470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7.60</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$112,022,038</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$110.42</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$79.55</w:t>
            </w:r>
          </w:p>
        </w:tc>
        <w:tc>
          <w:tcPr>
            <w:tcW w:w="0" w:type="dxa"/>
            <w:vAlign w:val="bottom"/>
          </w:tcPr>
          <w:p>
            <w:pPr>
              <w:spacing w:after="0"/>
              <w:rPr>
                <w:sz w:val="1"/>
                <w:szCs w:val="1"/>
                <w:color w:val="auto"/>
              </w:rPr>
            </w:pPr>
          </w:p>
        </w:tc>
      </w:tr>
      <w:tr>
        <w:trPr>
          <w:trHeight w:val="138"/>
        </w:trPr>
        <w:tc>
          <w:tcPr>
            <w:tcW w:w="1060" w:type="dxa"/>
            <w:vAlign w:val="bottom"/>
          </w:tcPr>
          <w:p>
            <w:pPr>
              <w:jc w:val="right"/>
              <w:spacing w:after="0"/>
              <w:rPr>
                <w:sz w:val="20"/>
                <w:szCs w:val="20"/>
                <w:color w:val="auto"/>
              </w:rPr>
            </w:pPr>
            <w:r>
              <w:rPr>
                <w:rFonts w:ascii="Arial" w:cs="Arial" w:eastAsia="Arial" w:hAnsi="Arial"/>
                <w:sz w:val="11"/>
                <w:szCs w:val="11"/>
                <w:color w:val="auto"/>
              </w:rPr>
              <w:t>2025</w:t>
            </w:r>
          </w:p>
        </w:tc>
        <w:tc>
          <w:tcPr>
            <w:tcW w:w="14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62</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497,644</w:t>
            </w:r>
          </w:p>
        </w:tc>
        <w:tc>
          <w:tcPr>
            <w:tcW w:w="780" w:type="dxa"/>
            <w:vAlign w:val="bottom"/>
          </w:tcPr>
          <w:p>
            <w:pPr>
              <w:jc w:val="right"/>
              <w:spacing w:after="0"/>
              <w:rPr>
                <w:sz w:val="20"/>
                <w:szCs w:val="20"/>
                <w:color w:val="auto"/>
              </w:rPr>
            </w:pPr>
            <w:r>
              <w:rPr>
                <w:rFonts w:ascii="Arial" w:cs="Arial" w:eastAsia="Arial" w:hAnsi="Arial"/>
                <w:sz w:val="11"/>
                <w:szCs w:val="11"/>
                <w:color w:val="auto"/>
              </w:rPr>
              <w:t>5.60</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87"/>
              <w:spacing w:after="0"/>
              <w:rPr>
                <w:sz w:val="20"/>
                <w:szCs w:val="20"/>
                <w:color w:val="auto"/>
              </w:rPr>
            </w:pPr>
            <w:r>
              <w:rPr>
                <w:rFonts w:ascii="Arial" w:cs="Arial" w:eastAsia="Arial" w:hAnsi="Arial"/>
                <w:sz w:val="11"/>
                <w:szCs w:val="11"/>
                <w:color w:val="auto"/>
              </w:rPr>
              <w:t>43,715,047</w:t>
            </w:r>
          </w:p>
        </w:tc>
        <w:tc>
          <w:tcPr>
            <w:tcW w:w="920" w:type="dxa"/>
            <w:vAlign w:val="bottom"/>
          </w:tcPr>
          <w:p>
            <w:pPr>
              <w:jc w:val="right"/>
              <w:ind w:right="47"/>
              <w:spacing w:after="0"/>
              <w:rPr>
                <w:sz w:val="20"/>
                <w:szCs w:val="20"/>
                <w:color w:val="auto"/>
              </w:rPr>
            </w:pPr>
            <w:r>
              <w:rPr>
                <w:rFonts w:ascii="Arial" w:cs="Arial" w:eastAsia="Arial" w:hAnsi="Arial"/>
                <w:sz w:val="11"/>
                <w:szCs w:val="11"/>
                <w:color w:val="auto"/>
              </w:rPr>
              <w:t>87.84</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70.36</w:t>
            </w:r>
          </w:p>
        </w:tc>
        <w:tc>
          <w:tcPr>
            <w:tcW w:w="10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26</w:t>
            </w:r>
          </w:p>
        </w:tc>
        <w:tc>
          <w:tcPr>
            <w:tcW w:w="860" w:type="dxa"/>
            <w:vAlign w:val="bottom"/>
          </w:tcPr>
          <w:p>
            <w:pPr>
              <w:jc w:val="right"/>
              <w:ind w:right="107"/>
              <w:spacing w:after="0"/>
              <w:rPr>
                <w:sz w:val="20"/>
                <w:szCs w:val="20"/>
                <w:color w:val="auto"/>
              </w:rPr>
            </w:pPr>
            <w:r>
              <w:rPr>
                <w:rFonts w:ascii="Arial" w:cs="Arial" w:eastAsia="Arial" w:hAnsi="Arial"/>
                <w:sz w:val="11"/>
                <w:szCs w:val="11"/>
                <w:color w:val="auto"/>
              </w:rPr>
              <w:t>425,848</w:t>
            </w:r>
          </w:p>
        </w:tc>
        <w:tc>
          <w:tcPr>
            <w:tcW w:w="640" w:type="dxa"/>
            <w:vAlign w:val="bottom"/>
          </w:tcPr>
          <w:p>
            <w:pPr>
              <w:jc w:val="right"/>
              <w:spacing w:after="0"/>
              <w:rPr>
                <w:sz w:val="20"/>
                <w:szCs w:val="20"/>
                <w:color w:val="auto"/>
              </w:rPr>
            </w:pPr>
            <w:r>
              <w:rPr>
                <w:rFonts w:ascii="Arial" w:cs="Arial" w:eastAsia="Arial" w:hAnsi="Arial"/>
                <w:sz w:val="11"/>
                <w:szCs w:val="11"/>
                <w:color w:val="auto"/>
              </w:rPr>
              <w:t>3.20</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Pr>
          <w:p>
            <w:pPr>
              <w:jc w:val="right"/>
              <w:ind w:right="87"/>
              <w:spacing w:after="0"/>
              <w:rPr>
                <w:sz w:val="20"/>
                <w:szCs w:val="20"/>
                <w:color w:val="auto"/>
              </w:rPr>
            </w:pPr>
            <w:r>
              <w:rPr>
                <w:rFonts w:ascii="Arial" w:cs="Arial" w:eastAsia="Arial" w:hAnsi="Arial"/>
                <w:sz w:val="11"/>
                <w:szCs w:val="11"/>
                <w:color w:val="auto"/>
              </w:rPr>
              <w:t>41,695,535</w:t>
            </w:r>
          </w:p>
        </w:tc>
        <w:tc>
          <w:tcPr>
            <w:tcW w:w="940" w:type="dxa"/>
            <w:vAlign w:val="bottom"/>
          </w:tcPr>
          <w:p>
            <w:pPr>
              <w:jc w:val="right"/>
              <w:ind w:right="47"/>
              <w:spacing w:after="0"/>
              <w:rPr>
                <w:sz w:val="20"/>
                <w:szCs w:val="20"/>
                <w:color w:val="auto"/>
              </w:rPr>
            </w:pPr>
            <w:r>
              <w:rPr>
                <w:rFonts w:ascii="Arial" w:cs="Arial" w:eastAsia="Arial" w:hAnsi="Arial"/>
                <w:sz w:val="11"/>
                <w:szCs w:val="11"/>
                <w:color w:val="auto"/>
              </w:rPr>
              <w:t>97.91</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85.76</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2026</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48</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1,068,123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11.90</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87,743,733</w:t>
            </w: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82.15</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76.49</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35</w:t>
            </w:r>
          </w:p>
        </w:tc>
        <w:tc>
          <w:tcPr>
            <w:tcW w:w="8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587,690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4.40</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63,670,124</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108.34</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91.64</w:t>
            </w:r>
          </w:p>
        </w:tc>
        <w:tc>
          <w:tcPr>
            <w:tcW w:w="0" w:type="dxa"/>
            <w:vAlign w:val="bottom"/>
          </w:tcPr>
          <w:p>
            <w:pPr>
              <w:spacing w:after="0"/>
              <w:rPr>
                <w:sz w:val="1"/>
                <w:szCs w:val="1"/>
                <w:color w:val="auto"/>
              </w:rPr>
            </w:pPr>
          </w:p>
        </w:tc>
      </w:tr>
      <w:tr>
        <w:trPr>
          <w:trHeight w:val="138"/>
        </w:trPr>
        <w:tc>
          <w:tcPr>
            <w:tcW w:w="1060" w:type="dxa"/>
            <w:vAlign w:val="bottom"/>
          </w:tcPr>
          <w:p>
            <w:pPr>
              <w:jc w:val="right"/>
              <w:spacing w:after="0"/>
              <w:rPr>
                <w:sz w:val="20"/>
                <w:szCs w:val="20"/>
                <w:color w:val="auto"/>
              </w:rPr>
            </w:pPr>
            <w:r>
              <w:rPr>
                <w:rFonts w:ascii="Arial" w:cs="Arial" w:eastAsia="Arial" w:hAnsi="Arial"/>
                <w:sz w:val="11"/>
                <w:szCs w:val="11"/>
                <w:color w:val="auto"/>
              </w:rPr>
              <w:t>2027</w:t>
            </w:r>
          </w:p>
        </w:tc>
        <w:tc>
          <w:tcPr>
            <w:tcW w:w="14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56</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718,866</w:t>
            </w:r>
          </w:p>
        </w:tc>
        <w:tc>
          <w:tcPr>
            <w:tcW w:w="780" w:type="dxa"/>
            <w:vAlign w:val="bottom"/>
          </w:tcPr>
          <w:p>
            <w:pPr>
              <w:jc w:val="right"/>
              <w:spacing w:after="0"/>
              <w:rPr>
                <w:sz w:val="20"/>
                <w:szCs w:val="20"/>
                <w:color w:val="auto"/>
              </w:rPr>
            </w:pPr>
            <w:r>
              <w:rPr>
                <w:rFonts w:ascii="Arial" w:cs="Arial" w:eastAsia="Arial" w:hAnsi="Arial"/>
                <w:sz w:val="11"/>
                <w:szCs w:val="11"/>
                <w:color w:val="auto"/>
              </w:rPr>
              <w:t>8.00</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87"/>
              <w:spacing w:after="0"/>
              <w:rPr>
                <w:sz w:val="20"/>
                <w:szCs w:val="20"/>
                <w:color w:val="auto"/>
              </w:rPr>
            </w:pPr>
            <w:r>
              <w:rPr>
                <w:rFonts w:ascii="Arial" w:cs="Arial" w:eastAsia="Arial" w:hAnsi="Arial"/>
                <w:sz w:val="11"/>
                <w:szCs w:val="11"/>
                <w:color w:val="auto"/>
              </w:rPr>
              <w:t>57,264,515</w:t>
            </w:r>
          </w:p>
        </w:tc>
        <w:tc>
          <w:tcPr>
            <w:tcW w:w="920" w:type="dxa"/>
            <w:vAlign w:val="bottom"/>
          </w:tcPr>
          <w:p>
            <w:pPr>
              <w:jc w:val="right"/>
              <w:ind w:right="47"/>
              <w:spacing w:after="0"/>
              <w:rPr>
                <w:sz w:val="20"/>
                <w:szCs w:val="20"/>
                <w:color w:val="auto"/>
              </w:rPr>
            </w:pPr>
            <w:r>
              <w:rPr>
                <w:rFonts w:ascii="Arial" w:cs="Arial" w:eastAsia="Arial" w:hAnsi="Arial"/>
                <w:sz w:val="11"/>
                <w:szCs w:val="11"/>
                <w:color w:val="auto"/>
              </w:rPr>
              <w:t>79.66</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70.68</w:t>
            </w:r>
          </w:p>
        </w:tc>
        <w:tc>
          <w:tcPr>
            <w:tcW w:w="10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26</w:t>
            </w:r>
          </w:p>
        </w:tc>
        <w:tc>
          <w:tcPr>
            <w:tcW w:w="860" w:type="dxa"/>
            <w:vAlign w:val="bottom"/>
          </w:tcPr>
          <w:p>
            <w:pPr>
              <w:jc w:val="right"/>
              <w:ind w:right="107"/>
              <w:spacing w:after="0"/>
              <w:rPr>
                <w:sz w:val="20"/>
                <w:szCs w:val="20"/>
                <w:color w:val="auto"/>
              </w:rPr>
            </w:pPr>
            <w:r>
              <w:rPr>
                <w:rFonts w:ascii="Arial" w:cs="Arial" w:eastAsia="Arial" w:hAnsi="Arial"/>
                <w:sz w:val="11"/>
                <w:szCs w:val="11"/>
                <w:color w:val="auto"/>
              </w:rPr>
              <w:t>283,795</w:t>
            </w:r>
          </w:p>
        </w:tc>
        <w:tc>
          <w:tcPr>
            <w:tcW w:w="640" w:type="dxa"/>
            <w:vAlign w:val="bottom"/>
          </w:tcPr>
          <w:p>
            <w:pPr>
              <w:jc w:val="right"/>
              <w:spacing w:after="0"/>
              <w:rPr>
                <w:sz w:val="20"/>
                <w:szCs w:val="20"/>
                <w:color w:val="auto"/>
              </w:rPr>
            </w:pPr>
            <w:r>
              <w:rPr>
                <w:rFonts w:ascii="Arial" w:cs="Arial" w:eastAsia="Arial" w:hAnsi="Arial"/>
                <w:sz w:val="11"/>
                <w:szCs w:val="11"/>
                <w:color w:val="auto"/>
              </w:rPr>
              <w:t>2.10</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Pr>
          <w:p>
            <w:pPr>
              <w:jc w:val="right"/>
              <w:ind w:right="87"/>
              <w:spacing w:after="0"/>
              <w:rPr>
                <w:sz w:val="20"/>
                <w:szCs w:val="20"/>
                <w:color w:val="auto"/>
              </w:rPr>
            </w:pPr>
            <w:r>
              <w:rPr>
                <w:rFonts w:ascii="Arial" w:cs="Arial" w:eastAsia="Arial" w:hAnsi="Arial"/>
                <w:sz w:val="11"/>
                <w:szCs w:val="11"/>
                <w:color w:val="auto"/>
              </w:rPr>
              <w:t>38,193,157</w:t>
            </w:r>
          </w:p>
        </w:tc>
        <w:tc>
          <w:tcPr>
            <w:tcW w:w="940" w:type="dxa"/>
            <w:vAlign w:val="bottom"/>
          </w:tcPr>
          <w:p>
            <w:pPr>
              <w:jc w:val="right"/>
              <w:ind w:right="47"/>
              <w:spacing w:after="0"/>
              <w:rPr>
                <w:sz w:val="20"/>
                <w:szCs w:val="20"/>
                <w:color w:val="auto"/>
              </w:rPr>
            </w:pPr>
            <w:r>
              <w:rPr>
                <w:rFonts w:ascii="Arial" w:cs="Arial" w:eastAsia="Arial" w:hAnsi="Arial"/>
                <w:sz w:val="11"/>
                <w:szCs w:val="11"/>
                <w:color w:val="auto"/>
              </w:rPr>
              <w:t>134.58</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110.46</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2028</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33</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661,497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48,905,505</w:t>
            </w: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73.93</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70.06</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30</w:t>
            </w:r>
          </w:p>
        </w:tc>
        <w:tc>
          <w:tcPr>
            <w:tcW w:w="8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294,902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2.20</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32,090,762</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108.82</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104.10</w:t>
            </w:r>
          </w:p>
        </w:tc>
        <w:tc>
          <w:tcPr>
            <w:tcW w:w="0" w:type="dxa"/>
            <w:vAlign w:val="bottom"/>
          </w:tcPr>
          <w:p>
            <w:pPr>
              <w:spacing w:after="0"/>
              <w:rPr>
                <w:sz w:val="1"/>
                <w:szCs w:val="1"/>
                <w:color w:val="auto"/>
              </w:rPr>
            </w:pPr>
          </w:p>
        </w:tc>
      </w:tr>
      <w:tr>
        <w:trPr>
          <w:trHeight w:val="138"/>
        </w:trPr>
        <w:tc>
          <w:tcPr>
            <w:tcW w:w="1060" w:type="dxa"/>
            <w:vAlign w:val="bottom"/>
          </w:tcPr>
          <w:p>
            <w:pPr>
              <w:jc w:val="right"/>
              <w:spacing w:after="0"/>
              <w:rPr>
                <w:sz w:val="20"/>
                <w:szCs w:val="20"/>
                <w:color w:val="auto"/>
              </w:rPr>
            </w:pPr>
            <w:r>
              <w:rPr>
                <w:rFonts w:ascii="Arial" w:cs="Arial" w:eastAsia="Arial" w:hAnsi="Arial"/>
                <w:sz w:val="11"/>
                <w:szCs w:val="11"/>
                <w:color w:val="auto"/>
              </w:rPr>
              <w:t>2029</w:t>
            </w:r>
          </w:p>
        </w:tc>
        <w:tc>
          <w:tcPr>
            <w:tcW w:w="14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400,505</w:t>
            </w:r>
          </w:p>
        </w:tc>
        <w:tc>
          <w:tcPr>
            <w:tcW w:w="780" w:type="dxa"/>
            <w:vAlign w:val="bottom"/>
          </w:tcPr>
          <w:p>
            <w:pPr>
              <w:jc w:val="right"/>
              <w:spacing w:after="0"/>
              <w:rPr>
                <w:sz w:val="20"/>
                <w:szCs w:val="20"/>
                <w:color w:val="auto"/>
              </w:rPr>
            </w:pPr>
            <w:r>
              <w:rPr>
                <w:rFonts w:ascii="Arial" w:cs="Arial" w:eastAsia="Arial" w:hAnsi="Arial"/>
                <w:sz w:val="11"/>
                <w:szCs w:val="11"/>
                <w:color w:val="auto"/>
              </w:rPr>
              <w:t>4.50</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87"/>
              <w:spacing w:after="0"/>
              <w:rPr>
                <w:sz w:val="20"/>
                <w:szCs w:val="20"/>
                <w:color w:val="auto"/>
              </w:rPr>
            </w:pPr>
            <w:r>
              <w:rPr>
                <w:rFonts w:ascii="Arial" w:cs="Arial" w:eastAsia="Arial" w:hAnsi="Arial"/>
                <w:sz w:val="11"/>
                <w:szCs w:val="11"/>
                <w:color w:val="auto"/>
              </w:rPr>
              <w:t>27,172,272</w:t>
            </w:r>
          </w:p>
        </w:tc>
        <w:tc>
          <w:tcPr>
            <w:tcW w:w="920" w:type="dxa"/>
            <w:vAlign w:val="bottom"/>
          </w:tcPr>
          <w:p>
            <w:pPr>
              <w:jc w:val="right"/>
              <w:ind w:right="47"/>
              <w:spacing w:after="0"/>
              <w:rPr>
                <w:sz w:val="20"/>
                <w:szCs w:val="20"/>
                <w:color w:val="auto"/>
              </w:rPr>
            </w:pPr>
            <w:r>
              <w:rPr>
                <w:rFonts w:ascii="Arial" w:cs="Arial" w:eastAsia="Arial" w:hAnsi="Arial"/>
                <w:sz w:val="11"/>
                <w:szCs w:val="11"/>
                <w:color w:val="auto"/>
              </w:rPr>
              <w:t>67.85</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63.50</w:t>
            </w:r>
          </w:p>
        </w:tc>
        <w:tc>
          <w:tcPr>
            <w:tcW w:w="10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17</w:t>
            </w:r>
          </w:p>
        </w:tc>
        <w:tc>
          <w:tcPr>
            <w:tcW w:w="860" w:type="dxa"/>
            <w:vAlign w:val="bottom"/>
          </w:tcPr>
          <w:p>
            <w:pPr>
              <w:jc w:val="right"/>
              <w:ind w:right="107"/>
              <w:spacing w:after="0"/>
              <w:rPr>
                <w:sz w:val="20"/>
                <w:szCs w:val="20"/>
                <w:color w:val="auto"/>
              </w:rPr>
            </w:pPr>
            <w:r>
              <w:rPr>
                <w:rFonts w:ascii="Arial" w:cs="Arial" w:eastAsia="Arial" w:hAnsi="Arial"/>
                <w:sz w:val="11"/>
                <w:szCs w:val="11"/>
                <w:color w:val="auto"/>
              </w:rPr>
              <w:t>884,966</w:t>
            </w:r>
          </w:p>
        </w:tc>
        <w:tc>
          <w:tcPr>
            <w:tcW w:w="640" w:type="dxa"/>
            <w:vAlign w:val="bottom"/>
          </w:tcPr>
          <w:p>
            <w:pPr>
              <w:jc w:val="right"/>
              <w:spacing w:after="0"/>
              <w:rPr>
                <w:sz w:val="20"/>
                <w:szCs w:val="20"/>
                <w:color w:val="auto"/>
              </w:rPr>
            </w:pPr>
            <w:r>
              <w:rPr>
                <w:rFonts w:ascii="Arial" w:cs="Arial" w:eastAsia="Arial" w:hAnsi="Arial"/>
                <w:sz w:val="11"/>
                <w:szCs w:val="11"/>
                <w:color w:val="auto"/>
              </w:rPr>
              <w:t>6.60</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Pr>
          <w:p>
            <w:pPr>
              <w:jc w:val="right"/>
              <w:ind w:right="87"/>
              <w:spacing w:after="0"/>
              <w:rPr>
                <w:sz w:val="20"/>
                <w:szCs w:val="20"/>
                <w:color w:val="auto"/>
              </w:rPr>
            </w:pPr>
            <w:r>
              <w:rPr>
                <w:rFonts w:ascii="Arial" w:cs="Arial" w:eastAsia="Arial" w:hAnsi="Arial"/>
                <w:sz w:val="11"/>
                <w:szCs w:val="11"/>
                <w:color w:val="auto"/>
              </w:rPr>
              <w:t>66,377,729</w:t>
            </w:r>
          </w:p>
        </w:tc>
        <w:tc>
          <w:tcPr>
            <w:tcW w:w="940" w:type="dxa"/>
            <w:vAlign w:val="bottom"/>
          </w:tcPr>
          <w:p>
            <w:pPr>
              <w:jc w:val="right"/>
              <w:ind w:right="47"/>
              <w:spacing w:after="0"/>
              <w:rPr>
                <w:sz w:val="20"/>
                <w:szCs w:val="20"/>
                <w:color w:val="auto"/>
              </w:rPr>
            </w:pPr>
            <w:r>
              <w:rPr>
                <w:rFonts w:ascii="Arial" w:cs="Arial" w:eastAsia="Arial" w:hAnsi="Arial"/>
                <w:sz w:val="11"/>
                <w:szCs w:val="11"/>
                <w:color w:val="auto"/>
              </w:rPr>
              <w:t>75.01</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75.37</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2030</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21</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801,723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54,260,411</w:t>
            </w: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67.68</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66.24</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w:t>
            </w:r>
          </w:p>
        </w:tc>
        <w:tc>
          <w:tcPr>
            <w:tcW w:w="8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455,760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45,619,919</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100.10</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89.52</w:t>
            </w:r>
          </w:p>
        </w:tc>
        <w:tc>
          <w:tcPr>
            <w:tcW w:w="0" w:type="dxa"/>
            <w:vAlign w:val="bottom"/>
          </w:tcPr>
          <w:p>
            <w:pPr>
              <w:spacing w:after="0"/>
              <w:rPr>
                <w:sz w:val="1"/>
                <w:szCs w:val="1"/>
                <w:color w:val="auto"/>
              </w:rPr>
            </w:pPr>
          </w:p>
        </w:tc>
      </w:tr>
      <w:tr>
        <w:trPr>
          <w:trHeight w:val="138"/>
        </w:trPr>
        <w:tc>
          <w:tcPr>
            <w:tcW w:w="1060" w:type="dxa"/>
            <w:vAlign w:val="bottom"/>
          </w:tcPr>
          <w:p>
            <w:pPr>
              <w:jc w:val="right"/>
              <w:spacing w:after="0"/>
              <w:rPr>
                <w:sz w:val="20"/>
                <w:szCs w:val="20"/>
                <w:color w:val="auto"/>
              </w:rPr>
            </w:pPr>
            <w:r>
              <w:rPr>
                <w:rFonts w:ascii="Arial" w:cs="Arial" w:eastAsia="Arial" w:hAnsi="Arial"/>
                <w:sz w:val="11"/>
                <w:szCs w:val="11"/>
                <w:color w:val="auto"/>
              </w:rPr>
              <w:t>2031</w:t>
            </w:r>
          </w:p>
        </w:tc>
        <w:tc>
          <w:tcPr>
            <w:tcW w:w="14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16</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474,630</w:t>
            </w:r>
          </w:p>
        </w:tc>
        <w:tc>
          <w:tcPr>
            <w:tcW w:w="780" w:type="dxa"/>
            <w:vAlign w:val="bottom"/>
          </w:tcPr>
          <w:p>
            <w:pPr>
              <w:jc w:val="right"/>
              <w:spacing w:after="0"/>
              <w:rPr>
                <w:sz w:val="20"/>
                <w:szCs w:val="20"/>
                <w:color w:val="auto"/>
              </w:rPr>
            </w:pPr>
            <w:r>
              <w:rPr>
                <w:rFonts w:ascii="Arial" w:cs="Arial" w:eastAsia="Arial" w:hAnsi="Arial"/>
                <w:sz w:val="11"/>
                <w:szCs w:val="11"/>
                <w:color w:val="auto"/>
              </w:rPr>
              <w:t>5.30</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87"/>
              <w:spacing w:after="0"/>
              <w:rPr>
                <w:sz w:val="20"/>
                <w:szCs w:val="20"/>
                <w:color w:val="auto"/>
              </w:rPr>
            </w:pPr>
            <w:r>
              <w:rPr>
                <w:rFonts w:ascii="Arial" w:cs="Arial" w:eastAsia="Arial" w:hAnsi="Arial"/>
                <w:sz w:val="11"/>
                <w:szCs w:val="11"/>
                <w:color w:val="auto"/>
              </w:rPr>
              <w:t>34,630,194</w:t>
            </w:r>
          </w:p>
        </w:tc>
        <w:tc>
          <w:tcPr>
            <w:tcW w:w="920" w:type="dxa"/>
            <w:vAlign w:val="bottom"/>
          </w:tcPr>
          <w:p>
            <w:pPr>
              <w:jc w:val="right"/>
              <w:ind w:right="47"/>
              <w:spacing w:after="0"/>
              <w:rPr>
                <w:sz w:val="20"/>
                <w:szCs w:val="20"/>
                <w:color w:val="auto"/>
              </w:rPr>
            </w:pPr>
            <w:r>
              <w:rPr>
                <w:rFonts w:ascii="Arial" w:cs="Arial" w:eastAsia="Arial" w:hAnsi="Arial"/>
                <w:sz w:val="11"/>
                <w:szCs w:val="11"/>
                <w:color w:val="auto"/>
              </w:rPr>
              <w:t>72.96</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77.71</w:t>
            </w:r>
          </w:p>
        </w:tc>
        <w:tc>
          <w:tcPr>
            <w:tcW w:w="10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23</w:t>
            </w:r>
          </w:p>
        </w:tc>
        <w:tc>
          <w:tcPr>
            <w:tcW w:w="860" w:type="dxa"/>
            <w:vAlign w:val="bottom"/>
          </w:tcPr>
          <w:p>
            <w:pPr>
              <w:jc w:val="right"/>
              <w:ind w:right="107"/>
              <w:spacing w:after="0"/>
              <w:rPr>
                <w:sz w:val="20"/>
                <w:szCs w:val="20"/>
                <w:color w:val="auto"/>
              </w:rPr>
            </w:pPr>
            <w:r>
              <w:rPr>
                <w:rFonts w:ascii="Arial" w:cs="Arial" w:eastAsia="Arial" w:hAnsi="Arial"/>
                <w:sz w:val="11"/>
                <w:szCs w:val="11"/>
                <w:color w:val="auto"/>
              </w:rPr>
              <w:t>2,802,003</w:t>
            </w:r>
          </w:p>
        </w:tc>
        <w:tc>
          <w:tcPr>
            <w:tcW w:w="640" w:type="dxa"/>
            <w:vAlign w:val="bottom"/>
          </w:tcPr>
          <w:p>
            <w:pPr>
              <w:jc w:val="right"/>
              <w:spacing w:after="0"/>
              <w:rPr>
                <w:sz w:val="20"/>
                <w:szCs w:val="20"/>
                <w:color w:val="auto"/>
              </w:rPr>
            </w:pPr>
            <w:r>
              <w:rPr>
                <w:rFonts w:ascii="Arial" w:cs="Arial" w:eastAsia="Arial" w:hAnsi="Arial"/>
                <w:sz w:val="11"/>
                <w:szCs w:val="11"/>
                <w:color w:val="auto"/>
              </w:rPr>
              <w:t>21.00</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Pr>
          <w:p>
            <w:pPr>
              <w:jc w:val="right"/>
              <w:ind w:right="87"/>
              <w:spacing w:after="0"/>
              <w:rPr>
                <w:sz w:val="20"/>
                <w:szCs w:val="20"/>
                <w:color w:val="auto"/>
              </w:rPr>
            </w:pPr>
            <w:r>
              <w:rPr>
                <w:rFonts w:ascii="Arial" w:cs="Arial" w:eastAsia="Arial" w:hAnsi="Arial"/>
                <w:sz w:val="11"/>
                <w:szCs w:val="11"/>
                <w:color w:val="auto"/>
              </w:rPr>
              <w:t>205,840,767</w:t>
            </w:r>
          </w:p>
        </w:tc>
        <w:tc>
          <w:tcPr>
            <w:tcW w:w="940" w:type="dxa"/>
            <w:vAlign w:val="bottom"/>
          </w:tcPr>
          <w:p>
            <w:pPr>
              <w:jc w:val="right"/>
              <w:ind w:right="47"/>
              <w:spacing w:after="0"/>
              <w:rPr>
                <w:sz w:val="20"/>
                <w:szCs w:val="20"/>
                <w:color w:val="auto"/>
              </w:rPr>
            </w:pPr>
            <w:r>
              <w:rPr>
                <w:rFonts w:ascii="Arial" w:cs="Arial" w:eastAsia="Arial" w:hAnsi="Arial"/>
                <w:sz w:val="11"/>
                <w:szCs w:val="11"/>
                <w:color w:val="auto"/>
              </w:rPr>
              <w:t>73.46</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76.24</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Thereafter</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62</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2,885,420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32.30</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189,149,932</w:t>
            </w: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65.55</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66.89</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76</w:t>
            </w:r>
          </w:p>
        </w:tc>
        <w:tc>
          <w:tcPr>
            <w:tcW w:w="8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5,869,628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44.10</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81"/>
              </w:rPr>
              <w:t>%</w:t>
            </w:r>
          </w:p>
        </w:tc>
        <w:tc>
          <w:tcPr>
            <w:tcW w:w="9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535,962,560</w:t>
            </w: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91.31</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97.11</w:t>
            </w:r>
          </w:p>
        </w:tc>
        <w:tc>
          <w:tcPr>
            <w:tcW w:w="0" w:type="dxa"/>
            <w:vAlign w:val="bottom"/>
          </w:tcPr>
          <w:p>
            <w:pPr>
              <w:spacing w:after="0"/>
              <w:rPr>
                <w:sz w:val="1"/>
                <w:szCs w:val="1"/>
                <w:color w:val="auto"/>
              </w:rPr>
            </w:pPr>
          </w:p>
        </w:tc>
      </w:tr>
      <w:tr>
        <w:trPr>
          <w:trHeight w:val="132"/>
        </w:trPr>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461</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8,945,552</w:t>
            </w:r>
          </w:p>
        </w:tc>
        <w:tc>
          <w:tcPr>
            <w:tcW w:w="980" w:type="dxa"/>
            <w:vAlign w:val="bottom"/>
            <w:tcBorders>
              <w:top w:val="single" w:sz="8" w:color="auto"/>
            </w:tcBorders>
            <w:gridSpan w:val="2"/>
          </w:tcPr>
          <w:p>
            <w:pPr>
              <w:jc w:val="right"/>
              <w:ind w:right="27"/>
              <w:spacing w:after="0"/>
              <w:rPr>
                <w:sz w:val="20"/>
                <w:szCs w:val="20"/>
                <w:color w:val="auto"/>
              </w:rPr>
            </w:pPr>
            <w:r>
              <w:rPr>
                <w:rFonts w:ascii="Arial" w:cs="Arial" w:eastAsia="Arial" w:hAnsi="Arial"/>
                <w:sz w:val="11"/>
                <w:szCs w:val="11"/>
                <w:b w:val="1"/>
                <w:bCs w:val="1"/>
                <w:color w:val="auto"/>
              </w:rPr>
              <w:t>100.00 %</w:t>
            </w:r>
          </w:p>
        </w:tc>
        <w:tc>
          <w:tcPr>
            <w:tcW w:w="94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$634,152,746</w:t>
            </w:r>
          </w:p>
        </w:tc>
        <w:tc>
          <w:tcPr>
            <w:tcW w:w="92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$70.89</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$69.40</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310</w:t>
            </w:r>
          </w:p>
        </w:tc>
        <w:tc>
          <w:tcPr>
            <w:tcW w:w="860" w:type="dxa"/>
            <w:vAlign w:val="bottom"/>
            <w:tcBorders>
              <w:top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13,344,028</w:t>
            </w:r>
          </w:p>
        </w:tc>
        <w:tc>
          <w:tcPr>
            <w:tcW w:w="820" w:type="dxa"/>
            <w:vAlign w:val="bottom"/>
            <w:tcBorders>
              <w:top w:val="single" w:sz="8" w:color="auto"/>
            </w:tcBorders>
            <w:gridSpan w:val="2"/>
          </w:tcPr>
          <w:p>
            <w:pPr>
              <w:jc w:val="right"/>
              <w:ind w:right="27"/>
              <w:spacing w:after="0"/>
              <w:rPr>
                <w:sz w:val="20"/>
                <w:szCs w:val="20"/>
                <w:color w:val="auto"/>
              </w:rPr>
            </w:pPr>
            <w:r>
              <w:rPr>
                <w:rFonts w:ascii="Arial" w:cs="Arial" w:eastAsia="Arial" w:hAnsi="Arial"/>
                <w:sz w:val="11"/>
                <w:szCs w:val="11"/>
                <w:b w:val="1"/>
                <w:bCs w:val="1"/>
                <w:color w:val="auto"/>
              </w:rPr>
              <w:t>100.00 %</w:t>
            </w:r>
          </w:p>
        </w:tc>
        <w:tc>
          <w:tcPr>
            <w:tcW w:w="96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$1,204,988,568</w:t>
            </w:r>
          </w:p>
        </w:tc>
        <w:tc>
          <w:tcPr>
            <w:tcW w:w="94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$90.30</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$88.27</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NOTE: Data excludes space currently occupied by SL Green's corporate offices</w:t>
      </w:r>
    </w:p>
    <w:p>
      <w:pPr>
        <w:spacing w:after="0" w:line="19" w:lineRule="exact"/>
        <w:rPr>
          <w:sz w:val="20"/>
          <w:szCs w:val="20"/>
          <w:color w:val="auto"/>
        </w:rPr>
      </w:pPr>
    </w:p>
    <w:p>
      <w:pPr>
        <w:ind w:left="400" w:hanging="39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Tenants may have multiple leases.</w:t>
      </w:r>
    </w:p>
    <w:p>
      <w:pPr>
        <w:spacing w:after="0" w:line="3" w:lineRule="exact"/>
        <w:rPr>
          <w:rFonts w:ascii="Arial" w:cs="Arial" w:eastAsia="Arial" w:hAnsi="Arial"/>
          <w:sz w:val="14"/>
          <w:szCs w:val="14"/>
          <w:color w:val="auto"/>
        </w:rPr>
      </w:pPr>
    </w:p>
    <w:p>
      <w:pPr>
        <w:ind w:left="400" w:hanging="39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in place annualized rent allocated by year of expiration.</w:t>
      </w:r>
    </w:p>
    <w:p>
      <w:pPr>
        <w:spacing w:after="0" w:line="7" w:lineRule="exact"/>
        <w:rPr>
          <w:rFonts w:ascii="Arial" w:cs="Arial" w:eastAsia="Arial" w:hAnsi="Arial"/>
          <w:sz w:val="14"/>
          <w:szCs w:val="14"/>
          <w:color w:val="auto"/>
        </w:rPr>
      </w:pPr>
    </w:p>
    <w:p>
      <w:pPr>
        <w:ind w:left="400" w:hanging="394"/>
        <w:spacing w:after="0" w:line="257" w:lineRule="auto"/>
        <w:tabs>
          <w:tab w:leader="none" w:pos="3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Management's estimate of current average asking rents for currently occupied space as of December 31, 2022. Taking rents are typically lower than asking rents and may vary from property to property.</w:t>
      </w:r>
    </w:p>
    <w:p>
      <w:pPr>
        <w:spacing w:after="0" w:line="1" w:lineRule="exact"/>
        <w:rPr>
          <w:rFonts w:ascii="Arial" w:cs="Arial" w:eastAsia="Arial" w:hAnsi="Arial"/>
          <w:sz w:val="14"/>
          <w:szCs w:val="14"/>
          <w:color w:val="auto"/>
        </w:rPr>
      </w:pPr>
    </w:p>
    <w:p>
      <w:pPr>
        <w:ind w:left="400" w:hanging="39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month to month holdover tenants that expired prior to December 31, 2022.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Segments</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The Company is a REIT that is engaged in the acquisition, development, redevelopment, repositioning, ownership, management and operation of commercial properties, principally office properties, located in the New York metropolitan area, principally Manhattan, and has two reportable segments: real estate and debt and preferred equity investments. Our industry segments are discussed in Note 21, "Segment Information,"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auto"/>
        </w:rPr>
        <w:t>As of December 31, 2022, our real estate portfolio was principally located in one geographical market, Manhattan, a borough of New York City. The Company's primary sources of real estate revenue are tenant rents, escalations and reimbursement revenue. Real estate property operating expenses consist primarily of cleaning, security, maintenance, utility costs, real estate taxes and, at certain properties, ground rent expense. As of December 31, 2022, one tenant in our office portfolio, Paramount Global (formerly ViacomCBS Inc.), contributed 5.4% of our share of annualized cash rent. No other tenant contributed more than 5.0% of our share of annualized cash rent. No property contributed in excess of 10.0% of our consolidated total revenue for 2022.</w:t>
      </w:r>
    </w:p>
    <w:p>
      <w:pPr>
        <w:spacing w:after="0" w:line="60"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As of December 31, 2022, we held debt and preferred equity investments with a book value of $623.3 million, excluding debt and preferred equity investments and other financing receivables totaling $8.5 million that are included in balance sheet line items other than the Debt and preferred equity investments line item. As of December 31, 2022, the assets underlying our debt and preferred equity investments were located in New York City. The primary sources of debt and preferred equity revenue are interest and fee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Our employees are our most important asset. As we navigated through the challenges of the COVID-19 pandemic, we implemented new employee programs and physical office space enhancements to keep employees healthy, safe, and focused. Through the commitment of our employees, we have remained fully operational for all tenants, including the essential businesses that fill our buildings, and we were among the first employers in New York City to return 100% of our employees to the office in June 2020.</w:t>
      </w:r>
    </w:p>
    <w:p>
      <w:pPr>
        <w:spacing w:after="0" w:line="86"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We are focused on fostering an inclusive workforce that attracts and retains highly talented and diverse individuals. We are dedicated to creating a diverse workplace where employees feel valued and accepted regardless of race, color, religion, national origin, gender, sexual orientation, age, disability, or veteran status. We have a dual-track performance management program, which includes both ongoing goal setting and annual performance reviews for all employees. Communication, teamwork, and collaboration are the fundamental attributes that are the foundation of our company culture. We promote the professional development of our employees by offering opportunities to participate in trainings and continuing education programs. We also offer a leading benefits package that includes extensive medical coverage, mental health and wellness services, paternal benefits, and financial resources.</w:t>
      </w:r>
    </w:p>
    <w:p>
      <w:pPr>
        <w:spacing w:after="0" w:line="60"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Our compensation program is designed to incentivize employees by offering competitive compensation comprised of fixed and variable pay including base salaries and cash bonuses. Many of our employees also receive equity awards that are subject to vesting over a multi-year period based on continued service. We believe these equity awards serve as an additional retention tool for our employees. By cultivating a work culture that prioritizes our people through training, diversity, education, and volunteerism, we have been able to retain a long-tenured staff with 44% of current employees having a tenure of five years or more and a management team that has an average tenure of 20.3 years.</w:t>
      </w:r>
    </w:p>
    <w:p>
      <w:pPr>
        <w:spacing w:after="0" w:line="72"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As of December 31, 2022, we employed 1,137 employees, 303 of whom were employed in our corporate offices. There are currently five collective bargaining agreements which cover the union workforce that services substantially all of our properties.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w:t>
      </w:r>
    </w:p>
    <w:p>
      <w:pPr>
        <w:spacing w:after="0" w:line="23"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7"/>
          <w:szCs w:val="17"/>
          <w:color w:val="auto"/>
        </w:rPr>
        <w:t>Our assessment of climate-related issues includes physical risks, transitions risks, and associated opportunities. We believe our sustained focus on Environmental, Social and Governance ("ESG") issues has led to effective risk-management practices that influence strategic decisions.</w:t>
      </w:r>
    </w:p>
    <w:p>
      <w:pPr>
        <w:spacing w:after="0" w:line="60"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The Company takes a proactive approach to climate-related risk management throughout the organization. ESG considerations are embedded into our governance structure and management responsibilities, driving our climate-related risk assessment processes and enabling comprehensive risk mitigation responses to be implemented in all relevant business segments across short-term (0-1 year), medium-term (1-15 years), and long-term (15-40 years) time horizons.</w:t>
      </w:r>
    </w:p>
    <w:p>
      <w:pPr>
        <w:spacing w:after="0" w:line="86"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With our roots in New York City, we are at the center of one of the world's most ambitious climate legislative environments. Through the Climate Leadership and Community Protection Act signed into law in 2019, New York State mandated the adoption of a net-zero carbon economy statewide by 2050, with a zero-carbon electricity grid by 2040. New York City enacted Local Law 97 (LL97) in 2019 under the Climate Mobilization Act, setting carbon caps for large buildings starting in 2024 as part of a broader commitment to reducing greenhouse gas emissions by 40% by 2030, and by 80% by 2050. We do not anticipate any material financial impact on our portfolio in the first compliance period of 2024 to 2029.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9"/>
        <w:spacing w:after="0" w:line="286" w:lineRule="auto"/>
        <w:rPr>
          <w:sz w:val="20"/>
          <w:szCs w:val="20"/>
          <w:color w:val="auto"/>
        </w:rPr>
      </w:pPr>
      <w:r>
        <w:rPr>
          <w:rFonts w:ascii="Arial" w:cs="Arial" w:eastAsia="Arial" w:hAnsi="Arial"/>
          <w:sz w:val="16"/>
          <w:szCs w:val="16"/>
          <w:color w:val="auto"/>
        </w:rPr>
        <w:t>The Company has demonstrated a commitment to transparency on climate issues via annual public reporting informed by widely-adopted frameworks, including Global Reporting Initiative ("GRI"), Global Real Estate Benchmark ("GRESB"), Sustainability Accounting Standards Board ("SASB"), and the CDP (formerly the Carbon Disclosure Project). In 2021, the Company released its first Task Force on Climate-related Financial Disclosures ("TCFD") report structured in accordance with the 11 TCFD recommendations covering its climate governance, strategy, management, and metrics. This report, along with the Company's current ESG Report, is available under "Reports &amp; Resources" in the "Sustainability" section on our website. The Company is also committed to setting near-term Scope 1 and Scope 2 science-based emissions reduction targets with the SBTi, which are currently in the validation process. Our goal is to reduce emissions for our operationally controlled portfolio to align it with the 1.5 degree Celsius climate scenario.</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2022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achievements from 2022 included: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Leasing</w:t>
      </w:r>
    </w:p>
    <w:p>
      <w:pPr>
        <w:spacing w:after="0" w:line="118" w:lineRule="exact"/>
        <w:rPr>
          <w:sz w:val="20"/>
          <w:szCs w:val="20"/>
          <w:color w:val="auto"/>
        </w:rPr>
      </w:pPr>
    </w:p>
    <w:p>
      <w:pPr>
        <w:ind w:left="800" w:hanging="31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Signed 141 Manhattan office leases covering approximately 2.1 million square feet.</w:t>
      </w:r>
    </w:p>
    <w:p>
      <w:pPr>
        <w:spacing w:after="0" w:line="112" w:lineRule="exact"/>
        <w:rPr>
          <w:rFonts w:ascii="Arial" w:cs="Arial" w:eastAsia="Arial" w:hAnsi="Arial"/>
          <w:sz w:val="18"/>
          <w:szCs w:val="18"/>
          <w:color w:val="auto"/>
        </w:rPr>
      </w:pPr>
    </w:p>
    <w:p>
      <w:pPr>
        <w:ind w:left="800" w:hanging="31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Signed a new lease with Franklin Templeton for 347,474 square feet at One Madison Avenue.</w:t>
      </w:r>
    </w:p>
    <w:p>
      <w:pPr>
        <w:spacing w:after="0" w:line="112" w:lineRule="exact"/>
        <w:rPr>
          <w:rFonts w:ascii="Arial" w:cs="Arial" w:eastAsia="Arial" w:hAnsi="Arial"/>
          <w:sz w:val="18"/>
          <w:szCs w:val="18"/>
          <w:color w:val="auto"/>
        </w:rPr>
      </w:pPr>
    </w:p>
    <w:p>
      <w:pPr>
        <w:ind w:left="800" w:hanging="31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Signed a renewal and expansion lease with Kinney Systems, Inc. for 64,926 square feet at 555 West 57th Street.</w:t>
      </w:r>
    </w:p>
    <w:p>
      <w:pPr>
        <w:spacing w:after="0" w:line="112" w:lineRule="exact"/>
        <w:rPr>
          <w:rFonts w:ascii="Arial" w:cs="Arial" w:eastAsia="Arial" w:hAnsi="Arial"/>
          <w:sz w:val="18"/>
          <w:szCs w:val="18"/>
          <w:color w:val="auto"/>
        </w:rPr>
      </w:pPr>
    </w:p>
    <w:p>
      <w:pPr>
        <w:ind w:left="800" w:hanging="31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Signed a new lease with International Business Machines Corporation ("IBM") for 328,000 square feet at One Madison Avenue.</w:t>
      </w:r>
    </w:p>
    <w:p>
      <w:pPr>
        <w:spacing w:after="0" w:line="112" w:lineRule="exact"/>
        <w:rPr>
          <w:rFonts w:ascii="Arial" w:cs="Arial" w:eastAsia="Arial" w:hAnsi="Arial"/>
          <w:sz w:val="18"/>
          <w:szCs w:val="18"/>
          <w:color w:val="auto"/>
        </w:rPr>
      </w:pPr>
    </w:p>
    <w:p>
      <w:pPr>
        <w:ind w:left="800" w:hanging="31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Signed a new lease with a global information services company for 236,026 square feet at 100 Park Avenue.</w:t>
      </w:r>
    </w:p>
    <w:p>
      <w:pPr>
        <w:spacing w:after="0" w:line="112" w:lineRule="exact"/>
        <w:rPr>
          <w:rFonts w:ascii="Arial" w:cs="Arial" w:eastAsia="Arial" w:hAnsi="Arial"/>
          <w:sz w:val="18"/>
          <w:szCs w:val="18"/>
          <w:color w:val="auto"/>
        </w:rPr>
      </w:pPr>
    </w:p>
    <w:p>
      <w:pPr>
        <w:ind w:left="800" w:hanging="31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Signed a lease renewal with UN Women for 85,522 square feet at 220 East 42nd Street.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8" w:lineRule="exact"/>
        <w:rPr>
          <w:sz w:val="20"/>
          <w:szCs w:val="20"/>
          <w:color w:val="auto"/>
        </w:rPr>
      </w:pPr>
    </w:p>
    <w:p>
      <w:pPr>
        <w:ind w:left="800" w:hanging="314"/>
        <w:spacing w:after="0" w:line="266"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Closed on the acquisition of 245 Park Avenue at a gross asset valuation of $2.0 billion. The Company previously had a preferred equity investment in the property with a book value of $195.6 million.</w:t>
      </w:r>
    </w:p>
    <w:p>
      <w:pPr>
        <w:spacing w:after="0" w:line="73" w:lineRule="exact"/>
        <w:rPr>
          <w:rFonts w:ascii="Arial" w:cs="Arial" w:eastAsia="Arial" w:hAnsi="Arial"/>
          <w:sz w:val="18"/>
          <w:szCs w:val="18"/>
          <w:color w:val="auto"/>
        </w:rPr>
      </w:pPr>
    </w:p>
    <w:p>
      <w:pPr>
        <w:ind w:left="800" w:hanging="314"/>
        <w:spacing w:after="0" w:line="266"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Converted the previous mezzanine debt investment in 5 Times Square to a 31.55% common equity interest. The Company's mezzanine debt investment in the property had a book value of $139.1 million.</w:t>
      </w:r>
    </w:p>
    <w:p>
      <w:pPr>
        <w:spacing w:after="0" w:line="73" w:lineRule="exact"/>
        <w:rPr>
          <w:rFonts w:ascii="Arial" w:cs="Arial" w:eastAsia="Arial" w:hAnsi="Arial"/>
          <w:sz w:val="18"/>
          <w:szCs w:val="18"/>
          <w:color w:val="auto"/>
        </w:rPr>
      </w:pPr>
    </w:p>
    <w:p>
      <w:pPr>
        <w:ind w:left="800" w:hanging="314"/>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Closed on the acquisition of 450 Park Avenue for $445.0 million in a newly formed joint venture. The Company retained a 25.1% in the property.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18" w:lineRule="exact"/>
        <w:rPr>
          <w:sz w:val="20"/>
          <w:szCs w:val="20"/>
          <w:color w:val="auto"/>
        </w:rPr>
      </w:pPr>
    </w:p>
    <w:p>
      <w:pPr>
        <w:ind w:left="800" w:hanging="314"/>
        <w:spacing w:after="0" w:line="266" w:lineRule="auto"/>
        <w:tabs>
          <w:tab w:leader="none" w:pos="7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Together with our joint venture partner, entered into an agreement to sell the retail condominiums at 121 Greene Street for a gross sales price of $14.0 million. The transaction is expected to close in the first quarter of 2023.</w:t>
      </w:r>
    </w:p>
    <w:p>
      <w:pPr>
        <w:spacing w:after="0" w:line="73" w:lineRule="exact"/>
        <w:rPr>
          <w:rFonts w:ascii="Arial" w:cs="Arial" w:eastAsia="Arial" w:hAnsi="Arial"/>
          <w:sz w:val="18"/>
          <w:szCs w:val="18"/>
          <w:color w:val="auto"/>
        </w:rPr>
      </w:pPr>
    </w:p>
    <w:p>
      <w:pPr>
        <w:ind w:left="800" w:right="20" w:hanging="314"/>
        <w:spacing w:after="0" w:line="266" w:lineRule="auto"/>
        <w:tabs>
          <w:tab w:leader="none" w:pos="7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Closed on the sale of 414,317 square feet of office leasehold condominium units at 885 Third Avenue for total consideration of $300.4 million. The Company retained the remaining 218,796 square feet of the building.</w:t>
      </w:r>
    </w:p>
    <w:p>
      <w:pPr>
        <w:spacing w:after="0" w:line="73" w:lineRule="exact"/>
        <w:rPr>
          <w:rFonts w:ascii="Arial" w:cs="Arial" w:eastAsia="Arial" w:hAnsi="Arial"/>
          <w:sz w:val="18"/>
          <w:szCs w:val="18"/>
          <w:color w:val="auto"/>
        </w:rPr>
      </w:pPr>
    </w:p>
    <w:p>
      <w:pPr>
        <w:ind w:left="800" w:hanging="31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Closed on the sale of the vacant office condominium at 609 Fifth Avenue for a gross sales price of $100.5 million.</w:t>
      </w:r>
    </w:p>
    <w:p>
      <w:pPr>
        <w:spacing w:after="0" w:line="112" w:lineRule="exact"/>
        <w:rPr>
          <w:rFonts w:ascii="Arial" w:cs="Arial" w:eastAsia="Arial" w:hAnsi="Arial"/>
          <w:sz w:val="18"/>
          <w:szCs w:val="18"/>
          <w:color w:val="auto"/>
        </w:rPr>
      </w:pPr>
    </w:p>
    <w:p>
      <w:pPr>
        <w:ind w:left="800" w:hanging="31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Conveyed 1591-1597 Broadway for a gross sales price of $121.0 million.</w:t>
      </w:r>
    </w:p>
    <w:p>
      <w:pPr>
        <w:spacing w:after="0" w:line="112" w:lineRule="exact"/>
        <w:rPr>
          <w:rFonts w:ascii="Arial" w:cs="Arial" w:eastAsia="Arial" w:hAnsi="Arial"/>
          <w:sz w:val="18"/>
          <w:szCs w:val="18"/>
          <w:color w:val="auto"/>
        </w:rPr>
      </w:pPr>
    </w:p>
    <w:p>
      <w:pPr>
        <w:ind w:left="800" w:hanging="314"/>
        <w:spacing w:after="0" w:line="266" w:lineRule="auto"/>
        <w:tabs>
          <w:tab w:leader="none" w:pos="7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Together with our joint venture partner, closed on the sale of 1080 Amsterdam Avenue for a gross sales price of $42.5 million. Simultaneously, the Company sold its remaining interests in the Stonehenge portfolio for gross consideration of $1.0 million.</w:t>
      </w:r>
    </w:p>
    <w:p>
      <w:pPr>
        <w:spacing w:after="0" w:line="73" w:lineRule="exact"/>
        <w:rPr>
          <w:rFonts w:ascii="Arial" w:cs="Arial" w:eastAsia="Arial" w:hAnsi="Arial"/>
          <w:sz w:val="18"/>
          <w:szCs w:val="18"/>
          <w:color w:val="auto"/>
        </w:rPr>
      </w:pPr>
    </w:p>
    <w:p>
      <w:pPr>
        <w:ind w:left="800" w:hanging="31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Closed on the sale of 707 Eleventh Avenue for a gross sales price of $95.0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w:t>
      </w:r>
    </w:p>
    <w:p>
      <w:pPr>
        <w:spacing w:after="0" w:line="118" w:lineRule="exact"/>
        <w:rPr>
          <w:sz w:val="20"/>
          <w:szCs w:val="20"/>
          <w:color w:val="auto"/>
        </w:rPr>
      </w:pPr>
    </w:p>
    <w:p>
      <w:pPr>
        <w:ind w:left="800" w:hanging="314"/>
        <w:spacing w:after="0" w:line="266"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Closed on a new $400.0 million corporate unsecured term loan facility. The facility matures in April 2024, as fully extended. In January 2023, the facility was increased by $25.0 million to $425.0 million.</w:t>
      </w:r>
    </w:p>
    <w:p>
      <w:pPr>
        <w:spacing w:after="0" w:line="73" w:lineRule="exact"/>
        <w:rPr>
          <w:rFonts w:ascii="Arial" w:cs="Arial" w:eastAsia="Arial" w:hAnsi="Arial"/>
          <w:sz w:val="18"/>
          <w:szCs w:val="18"/>
          <w:color w:val="auto"/>
        </w:rPr>
      </w:pPr>
    </w:p>
    <w:p>
      <w:pPr>
        <w:ind w:left="800" w:hanging="314"/>
        <w:spacing w:after="0" w:line="266"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Refinanced the mortgage loan on 100 Church Street. The new $370.0 million mortgage loan, which replaced the previous $197.8 million mortgage, has a term of up to 5 years and bears interest at a floating rate of 2.00% over Term SOFR.</w:t>
      </w:r>
    </w:p>
    <w:p>
      <w:pPr>
        <w:spacing w:after="0" w:line="73" w:lineRule="exact"/>
        <w:rPr>
          <w:rFonts w:ascii="Arial" w:cs="Arial" w:eastAsia="Arial" w:hAnsi="Arial"/>
          <w:sz w:val="18"/>
          <w:szCs w:val="18"/>
          <w:color w:val="auto"/>
        </w:rPr>
      </w:pPr>
    </w:p>
    <w:p>
      <w:pPr>
        <w:jc w:val="both"/>
        <w:ind w:left="800" w:hanging="314"/>
        <w:spacing w:after="0" w:line="330" w:lineRule="auto"/>
        <w:tabs>
          <w:tab w:leader="none" w:pos="7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Executed $2.9 billion of LIBOR or SOFR swaps and caps to mitigate the effect of rising interest rates. As a result of executed derivatives, the Company's share of net floating rate debt exposure was reduced to $1.1 billion, equating to 9.1% of total combined debt, as of December 31, 2022.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Preferred Equity Investments</w:t>
      </w:r>
    </w:p>
    <w:p>
      <w:pPr>
        <w:spacing w:after="0" w:line="118" w:lineRule="exact"/>
        <w:rPr>
          <w:sz w:val="20"/>
          <w:szCs w:val="20"/>
          <w:color w:val="auto"/>
        </w:rPr>
      </w:pPr>
    </w:p>
    <w:p>
      <w:pPr>
        <w:jc w:val="both"/>
        <w:ind w:left="800" w:hanging="314"/>
        <w:spacing w:after="0" w:line="256" w:lineRule="auto"/>
        <w:tabs>
          <w:tab w:leader="none" w:pos="7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Funded $100.5 million in debt and preferred equity investments, inclusive of advances under future funding obligations, discount and fee amortization, and paid-in-kind interest, net of premium amortization, and recorded $565.9 million of proceeds from sales, repayments and participations.</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w:t>
      </w:r>
    </w:p>
    <w:p>
      <w:pPr>
        <w:spacing w:after="0" w:line="118" w:lineRule="exact"/>
        <w:rPr>
          <w:sz w:val="20"/>
          <w:szCs w:val="20"/>
          <w:color w:val="auto"/>
        </w:rPr>
      </w:pPr>
    </w:p>
    <w:p>
      <w:pPr>
        <w:jc w:val="both"/>
        <w:ind w:left="800" w:hanging="314"/>
        <w:spacing w:after="0" w:line="253"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Repurchased 2.0 million shares of our common stock and redeemed 0.8 million units of our Operating Partnership under our $3.5 billion share repurchase program at an average price of $70.24 per share. From program inception through December 31, 2022, we have repurchased a total of 36.1 million shares of our common stock and redeemed 2.6 million units of our Operating Partnership under the program at an average price of $87.51 per share.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Declines in the demand for office space in the New York metropolitan area, and in particular midtown Manhattan, could adversely affect the value of our real estate portfolio and our results of operations and, consequently, our ability to service current debt and to pay dividends and distributions to security holders.</w:t>
      </w:r>
    </w:p>
    <w:p>
      <w:pPr>
        <w:spacing w:after="0" w:line="79"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A significant majority of our property holdings are comprised of commercial office properties located in midtown Manhattan. Our property holdings also include some retail properties. As a result of the concentration of our holdings, our business is dependent on the condition of the New York metropolitan area economy in general and the market for office space in midtown Manhattan in particular. Future weakness and uncertainty in the New York metropolitan area economy could materially reduce the value of our real estate portfolio and our rental revenues, and thus adversely affect our cash flow and our ability to service our debt obligations and to pay dividends and distributions to security holders.</w:t>
      </w:r>
    </w:p>
    <w:p>
      <w:pPr>
        <w:spacing w:after="0" w:line="72"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The COVID-19 pandemic caused severe disruptions with wide ranging impacts to virtually every segment of society and the global economy. Office companies in particular have been affected by the increased acceptance of flexible or hybrid work schedules, allowing employees to work remotely and collaborate through video or teleconferencing instead of in-office attendance. The continuation or further increase to remote work policies and flexible work arrangements may cause office tenants to reassess their long-term physical needs, which would have an adverse effect on our business, results of operations, liquidity, cash flows, prospects, and our ability to achieve forward-looking targets and expectations.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renew leases or relet space as leases expire.</w:t>
      </w:r>
    </w:p>
    <w:p>
      <w:pPr>
        <w:spacing w:after="0" w:line="118" w:lineRule="exact"/>
        <w:rPr>
          <w:sz w:val="20"/>
          <w:szCs w:val="20"/>
          <w:color w:val="auto"/>
        </w:rPr>
      </w:pPr>
    </w:p>
    <w:p>
      <w:pPr>
        <w:jc w:val="both"/>
        <w:ind w:firstLine="439"/>
        <w:spacing w:after="0" w:line="285" w:lineRule="auto"/>
        <w:rPr>
          <w:sz w:val="20"/>
          <w:szCs w:val="20"/>
          <w:color w:val="auto"/>
        </w:rPr>
      </w:pPr>
      <w:r>
        <w:rPr>
          <w:rFonts w:ascii="Arial" w:cs="Arial" w:eastAsia="Arial" w:hAnsi="Arial"/>
          <w:sz w:val="16"/>
          <w:szCs w:val="16"/>
          <w:color w:val="auto"/>
        </w:rPr>
        <w:t>If tenants decide not to renew their leases upon expiration, we may not be able to relet the space. Even if tenants do renew or we can relet the space, the terms of a renewal or new lease, taking into account among other things, the cost of improvements to the property and leasing commissions, may be less favorable than the terms in the expired leases. As of December 31, 2022, approximately 40.8% of the rentable square feet at our consolidated properties and approximately 23.5% of the rentable square feet at our unconsolidated joint venture properties are scheduled to expire by December 31, 2027. As of December 31, 2022, these leases had annualized escalated rent totaling $305.2 million and $438.1 million, respectively. In addition, changes in space utilization by tenants may cause us to incur substantial costs in renovating or redesigning the internal configuration of the relevant property in order to renew or relet space. If we are unable to promptly renew the leases or relet the space at similar rates or if we incur substantial costs in renewing or reletting the space, our cash flow and ability to service our debt obligations and pay dividends and distributions to security holders could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for tenants.</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leasing of real estate is highly competitive. The principal competitive factors are rent, location, lease term, lease concessions, services provided and the nature and condition of the property to be leased. We directly compete with all owners, developers and operators of similar space in the areas in which our properties are located.</w:t>
      </w:r>
    </w:p>
    <w:p>
      <w:pPr>
        <w:spacing w:after="0" w:line="83" w:lineRule="exact"/>
        <w:rPr>
          <w:sz w:val="20"/>
          <w:szCs w:val="20"/>
          <w:color w:val="auto"/>
        </w:rPr>
      </w:pPr>
    </w:p>
    <w:p>
      <w:pPr>
        <w:jc w:val="both"/>
        <w:ind w:firstLine="439"/>
        <w:spacing w:after="0" w:line="303" w:lineRule="auto"/>
        <w:rPr>
          <w:sz w:val="20"/>
          <w:szCs w:val="20"/>
          <w:color w:val="auto"/>
        </w:rPr>
      </w:pPr>
      <w:r>
        <w:rPr>
          <w:rFonts w:ascii="Arial" w:cs="Arial" w:eastAsia="Arial" w:hAnsi="Arial"/>
          <w:sz w:val="16"/>
          <w:szCs w:val="16"/>
          <w:color w:val="auto"/>
        </w:rPr>
        <w:t>Our commercial office properties are concentrated in highly developed areas of the New York metropolitan area. Manhattan is the largest office market in the United States. The number of competitive office properties in the New York metropolitan area, which may be newer or better located than our properties, could have a material adverse effect on our ability to lease office space at our properties, and on the effective rents we are able to charge.</w:t>
      </w:r>
    </w:p>
    <w:p>
      <w:pPr>
        <w:spacing w:after="0" w:line="43"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b w:val="1"/>
          <w:bCs w:val="1"/>
          <w:color w:val="auto"/>
        </w:rPr>
        <w:t>The expiration of long term leases or operating sublease interests where we do not own a fee interest in the land could adversely affect our results of operations.</w:t>
      </w:r>
    </w:p>
    <w:p>
      <w:pPr>
        <w:spacing w:after="0" w:line="68"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Our interests in certain properties are entirely or partially comprised of either long-term leasehold or operating sublease interests in the land and the improvements, rather than by ownership of fee interest in the land. As of December 31, 2022, the expiration dates of these long-term leases range from 2043 to 2119, including the effect of our unilateral extension rights at each of these properties. Pursuant to the leasehold arrangements, we, as tenant under the long-term leasehold or the operating sublease, perform the functions traditionally performed by landlords with respect to our subtenants. We are responsible for not only collecting rent from our subtenants, but also maintaining the property and paying expenses relating to the property. Annualized cash rents, including our share of joint venture annualized cash rents, from properties held through long-term leases or operating sublease interests as of December 31, 2022 totaled $258.2 million, or 18.3%, of our share of total Portfolio annualized cash rent. Unless we purchase a fee interest in the underlying land or extend the terms of these leases prior to expiration, we will no longer operate these properties upon expiration of the leases, which could adversely affect our financial condition and results of operations. Rent payments under leasehold or operating sublease interests are adjusted, within the parameters of the contractual arrangements, at certain intervals. Rent adjustments may result in higher rents that could adversely affect our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five large properties for a significant portion of our revenue.</w:t>
      </w:r>
    </w:p>
    <w:p>
      <w:pPr>
        <w:spacing w:after="0" w:line="118" w:lineRule="exact"/>
        <w:rPr>
          <w:sz w:val="20"/>
          <w:szCs w:val="20"/>
          <w:color w:val="auto"/>
        </w:rPr>
      </w:pPr>
    </w:p>
    <w:p>
      <w:pPr>
        <w:jc w:val="both"/>
        <w:ind w:firstLine="439"/>
        <w:spacing w:after="0" w:line="296" w:lineRule="auto"/>
        <w:rPr>
          <w:sz w:val="20"/>
          <w:szCs w:val="20"/>
          <w:color w:val="auto"/>
        </w:rPr>
      </w:pPr>
      <w:r>
        <w:rPr>
          <w:rFonts w:ascii="Arial" w:cs="Arial" w:eastAsia="Arial" w:hAnsi="Arial"/>
          <w:sz w:val="17"/>
          <w:szCs w:val="17"/>
          <w:color w:val="auto"/>
        </w:rPr>
        <w:t>Five of our properties, One Vanderbilt Avenue, 245 Park Avenue, 11 Madison Avenue, 420 Lexington Avenue, and 1515 Broadway accounted for 40.0% of our Portfolio annualized cash rent, which includes our share of joint venture annualized cash rent, as of December 31, 2022.</w:t>
      </w:r>
    </w:p>
    <w:p>
      <w:pPr>
        <w:spacing w:after="0" w:line="50"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Our revenue and cash available to service debt obligations and for distribution to our stockholders would be materially adversely affected if any of these properties were materially damaged or destroyed. Additionally, our revenue and cash available to service debt obligations and for distribution to our stockholders would be materially adversely affected if tenants at these properties fail to timely make rental payments due to adverse financial conditions or otherwise, default under their leases or file for bankruptcy or become insolvent.</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Our results of operations rely on major tenants and insolvency or bankruptcy of these or other tenants could adversely affect our results of operations.</w:t>
      </w:r>
    </w:p>
    <w:p>
      <w:pPr>
        <w:spacing w:after="0" w:line="68"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Giving effect to leases in effect as of December 31, 2022 for consolidated properties and unconsolidated joint venture properties, as of that date, our five largest tenants, based on annualized cash rent, accounted for 14.1% of our share of Portfolio annualized cash rent, with one tenant, Paramount Global (formerly ViacomCBS Inc.), accounting for 5.4% of our share of Portfolio annualized cash rent. Our business and results of operations would be adversely affected if any of our major tenants became insolvent, declared bankruptcy, or otherwise refused to pay rent in a timely fashion or at all. In addition, if business conditions in the industries in which our tenants are concentrated deteriorate, or economic volatility has a disproportionate impact on our tenants, we may experience increases in past due accounts, defaults, lower occupancy and reduced effective rents across tenants in such industries, which could in turn have an adverse effect on our business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is in progress at our development projects.</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The Company's development projects are subject to internal and external factors which may affect construction progress. Unforeseen matters could delay completion, result in increased costs or otherwise have a material effect on our results of operations. In addition, the extended time frame to complete these projects could cause them to be subject to shifts and trends in the real estate market which may not be consistent with our current business plans for the properties.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that affect the retail environment.</w:t>
      </w:r>
    </w:p>
    <w:p>
      <w:pPr>
        <w:spacing w:after="0" w:line="118"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While only 3.5% of our Portfolio annualized cash rent is generated by retail properties, principally in Manhattan, we are subject to risks that affect the retail environment generally, including the level of consumer spending and preferences, consumer confidence, electronic retail competition, levels of tourism in Manhattan, and governmental measures aimed at slowing the spread of COVID-19. These factors could adversely affect the financial condition of our retail tenants and the willingness of retailers to lease space in our retail properties, which could in turn have an adverse effect on our business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the risk of adverse changes in economic and geopolitical conditions in general and the commercial office markets in particular.</w:t>
      </w:r>
    </w:p>
    <w:p>
      <w:pPr>
        <w:spacing w:after="0" w:line="141"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Our business has been affected by the ongoing volatility in the U.S. financial and credit markets and other market, economic, or political challenges experienced by the U.S. economy or the real estate industry as a whole, including changes in law and policy and uncertainty in connection with any such changes. Periods of economic weakness or volatility result in reduced access to credit and/or wider credit spreads. Economic or political uncertainty, including concern about growth and the stability of the markets generally and changes in interest rates, have led lenders and institutional investors to reduce and, in some cases, cease to provide funding to borrowers, which adversely affects our liquidity and financial condition, and the liquidity and financial condition of our tenants. Specifically, our business, like other real estate businesses, is affected by the following conditions:</w:t>
      </w:r>
    </w:p>
    <w:p>
      <w:pPr>
        <w:spacing w:after="0" w:line="60" w:lineRule="exact"/>
        <w:rPr>
          <w:sz w:val="20"/>
          <w:szCs w:val="20"/>
          <w:color w:val="auto"/>
        </w:rPr>
      </w:pPr>
    </w:p>
    <w:p>
      <w:pPr>
        <w:ind w:left="640" w:hanging="314"/>
        <w:spacing w:after="0" w:line="26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job losses or declining rates of job creation, which decrease demand for office space, causing market rental rates and property values to be negatively impacted;</w:t>
      </w:r>
    </w:p>
    <w:p>
      <w:pPr>
        <w:spacing w:after="0" w:line="73"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borrow on terms and conditions that we find acceptable, which reduces our ability to pursue acquisition and development opportunities and refinance existing debt, reducing our returns from both our existing operations and our acquisition and development activities and increasing our future interest expense; and</w:t>
      </w:r>
    </w:p>
    <w:p>
      <w:pPr>
        <w:spacing w:after="0" w:line="83"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values of our properties, which limits our ability to dispose of assets at acceptable prices and to obtain debt financing secured by our properties.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Leasing office space to smaller and growth-oriented businesses could adversely affect our cash flow and results of operations.</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Some of the tenants in our properties are smaller, growth-oriented businesses that may not have the financial strength of larger corporate tenants. Smaller companies generally experience a higher rate of failure than larger businesses. Growth-oriented firms may also seek other office space as they develop. Leasing office space to these companies creates a higher risk of tenant defaults, turnover and bankruptcies, which could adversely affect our cash flow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suffer adverse consequences if our revenues decline since our operating costs do not decline in proportion to our revenue.</w:t>
      </w:r>
    </w:p>
    <w:p>
      <w:pPr>
        <w:spacing w:after="0" w:line="130"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earn a significant portion of our income from renting our properties. Our operating costs, however, do not fluctuate in proportion to changes in our rental revenue. If revenues decline more than expenses, we may be forced to borrow to cover our costs, we may incur losses or we may not have cash available to service our debt obligations and to pay dividends and distributions to security holders.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 for acquisitions may reduce the number of acquisition opportunities available to us and increase the costs of those acquisitions.</w:t>
      </w:r>
    </w:p>
    <w:p>
      <w:pPr>
        <w:spacing w:after="0" w:line="141"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may acquire properties when we are presented with attractive opportunities. We may face competition for acquisition opportunities from other investors, particularly those investors who are willing to incur more leverage, and this competition may adversely affect us by subjecting us to the following risks:</w:t>
      </w:r>
    </w:p>
    <w:p>
      <w:pPr>
        <w:spacing w:after="0" w:line="83" w:lineRule="exact"/>
        <w:rPr>
          <w:sz w:val="20"/>
          <w:szCs w:val="20"/>
          <w:color w:val="auto"/>
        </w:rPr>
      </w:pPr>
    </w:p>
    <w:p>
      <w:pPr>
        <w:jc w:val="both"/>
        <w:ind w:left="640" w:hanging="314"/>
        <w:spacing w:after="0" w:line="256"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acquire a desired property because of competition from other well-capitalized real estate investors, including publicly traded and privately held REITs, private real estate funds, domestic and foreign financial institutions, life insurance companies, sovereign wealth funds, pension trusts, partnerships and individual investors; and</w:t>
      </w:r>
    </w:p>
    <w:p>
      <w:pPr>
        <w:spacing w:after="0" w:line="83" w:lineRule="exact"/>
        <w:rPr>
          <w:rFonts w:ascii="Arial" w:cs="Arial" w:eastAsia="Arial" w:hAnsi="Arial"/>
          <w:sz w:val="18"/>
          <w:szCs w:val="18"/>
          <w:color w:val="auto"/>
        </w:rPr>
      </w:pPr>
    </w:p>
    <w:p>
      <w:pPr>
        <w:ind w:left="640" w:hanging="31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purchase price for such acquisition property.</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are unable to successfully acquire additional properties, our ability to grow our business could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property acquisitions.</w:t>
      </w:r>
    </w:p>
    <w:p>
      <w:pPr>
        <w:spacing w:after="0" w:line="118"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Our acquisition activities may not be successful if we are unable to meet required closing conditions or unable to finance acquisitions and developments of properties on favorable terms or at all. Additionally, we have less visibility into the future performance of acquired properties than properties that we have owned for a period of time, and therefore, recently acquired properties may not be as profitable as our existing portfolio.</w:t>
      </w:r>
    </w:p>
    <w:p>
      <w:pPr>
        <w:spacing w:after="0" w:line="6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Further, we may acquire properties subject to both known and unknown liabilities and without any recourse, or with only limited recourse to the seller. As a result, if a liability were asserted against us arising from our ownership of those properties, we might have to pay substantial sums to settle it, which could adversely affect our cash flow. Unknown liabilities with respect to properties acquired might include:</w:t>
      </w:r>
    </w:p>
    <w:p>
      <w:pPr>
        <w:spacing w:after="0" w:line="83" w:lineRule="exact"/>
        <w:rPr>
          <w:sz w:val="20"/>
          <w:szCs w:val="20"/>
          <w:color w:val="auto"/>
        </w:rPr>
      </w:pPr>
    </w:p>
    <w:p>
      <w:pPr>
        <w:ind w:left="640" w:hanging="31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by tenants, vendors or other persons arising from dealing with the former owners of the properties;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for indemnification by general partners, directors, officers and others indemnified by the former owners of the properties;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liabilities for clean-up of undisclosed environmental contamination.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our ability to sell or reduce the indebtedness on specific properties could adversely affect the value of our common stock.</w:t>
      </w:r>
    </w:p>
    <w:p>
      <w:pPr>
        <w:spacing w:after="0" w:line="130"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In connection with past and future acquisitions of interests in properties, we have or may agree to restrictions on our ability to sell or refinance the acquired properties for certain periods. These limitations could result in us holding properties which we would otherwise sell, or prevent us from paying down or refinancing existing indebtedness, any of which may have adverse consequences on our business and result in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losses may not be covered by insurance.</w:t>
      </w:r>
    </w:p>
    <w:p>
      <w:pPr>
        <w:spacing w:after="0" w:line="118"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or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in whole or in part, by the Company or its affiliates.</w:t>
      </w:r>
    </w:p>
    <w:p>
      <w:pPr>
        <w:spacing w:after="0" w:line="75"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Furthermore, with respect to certain of our properties, including certain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occurrence of a terrorist attack may adversely affect the value of our properties and our ability to generate cash flow.</w:t>
      </w:r>
    </w:p>
    <w:p>
      <w:pPr>
        <w:spacing w:after="0" w:line="118"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Our operations are primarily concentrated in the New York metropolitan area. In the aftermath of a terrorist attack or other acts of terrorism or war, tenants in the New York metropolitan area may choose to relocate their business to less populated, lower-profile areas of the United States that those tenants believe are not as likely to be targets of future terrorist activity. In addition, economic activity could decline as a result of terrorist attacks or other acts of terrorism or war, or the perceived threat of such acts. Each of these impacts could in turn trigger a decrease in the demand for space in the New York metropolitan area, which could increase vacancies in our properties and force us to lease our properties on less favorable terms. While under the Terrorism Risk Insurance Program Reauthorization Act of 2019, insurers must make terrorism insurance available under their property and casualty insurance policies, this legislation does not regulate the pricing of such insurance. The absence of affordable terrorism insurance coverage may adversely affect the general real estate lending market, lending volume and the market's overall liquidity and, in the event of an uninsured loss, we could lose all or a portion of our assets. Furthermore, we may also experience increased costs in relation to security equipment and personnel. As a result, the value of our properties and our results of operations could materially decline.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possible risks associated with the natural disasters and the effects of climate change.</w:t>
      </w:r>
    </w:p>
    <w:p>
      <w:pPr>
        <w:spacing w:after="0" w:line="118"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We are subject to risks associated with natural disasters and the effects of climate change, which can include storms, hurricanes and flooding, any of which could have a material adverse effect on our properties, operations and business. To the extent climate change causes changes in weather patterns, our markets could experience increases in storm intensity and rising sea-levels. Over time, these conditions could result in declining demand for office space in our buildings or our inability to operate the buildings at all. Climate change may also have indirect effects on our business by increasing the cost of (or making unavailable) property insurance on terms we find acceptable, increasing the cost of energy at our properties and requiring us to expend funds as we seek to repair and protect our properties against such risks. Any of these direct or indirect effects of climate change may have a material adverse effect on our properties, operations or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significant costs to comply with climate change initiatives, and in particular those implemented in New York City.</w:t>
      </w:r>
    </w:p>
    <w:p>
      <w:pPr>
        <w:spacing w:after="0" w:line="118"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Numerous states and municipalities have adopted laws and policies on climate change and emission reduction targets. In particular, through the Climate Leadership and Community Protection Act signed into law in 2019, New York State mandated the adoption of a net-zero carbon economy statewide by 2050, with a zero-carbon electricity grid by 2040. New York City enacted Local Law 97 (LL97) in 2019 under the Climate Mobilization Act, setting carbon caps for large buildings starting in 2024 as part of a broader commitment to reducing greenhouse gas emissions by 40% by 2030, and by 80% by 2050. As our portfolio is principally located in Manhattan, our business is subject to transition risks related to these climate change policies. If we are unable to meet the required emissions reductions, we may be subject to material fines that will continue to be assessed each year we fail to comply. Additionally, even if we can achieve compliance under LL97 in a given year, it is not a certainty that we will remain in compliance in subsequent years. And, costs of compliance or penalties may be significant.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potential conflicts of interest.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potential conflicts of interest between us and Stephen L. Green.</w:t>
      </w:r>
    </w:p>
    <w:p>
      <w:pPr>
        <w:spacing w:after="0" w:line="11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There is a potential conflict of interest relating to the disposition of certain property contributed to us by Stephen L. Green and affiliated entities in our initial public offering. Mr. Green serves as a member and as the chairman emeritus of our Board of Directors. If we sell a property in a transaction in which a taxable gain is recognized, for tax purposes the built-in gain would be allocated solely to him and not to us. As a result, Mr. Green has a conflict of interest if the sale of a property he contributed is in our best interest but not his.</w:t>
      </w:r>
    </w:p>
    <w:p>
      <w:pPr>
        <w:spacing w:after="0" w:line="86"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In addition, Mr. Green's tax basis includes his share of debt, including mortgage indebtedness, owed by the Operating Partnership. If the Operating Partnership were to retire such debt, then he would experience a decrease in his share of liabilities, which, for tax purposes, would be treated as a distribution of cash to him. To the extent the deemed distribution of cash exceeded his tax basis, he would recognize gain. As a result, Mr. Green has a conflict of interest if the refinancing of indebtedness is in our best interest but not his.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LIQUIDITY AND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financing, financial covenants, degree of leverage, and increases in interest rates could adversely affect our economic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Scheduled debt payments could adversely affect our results of operations.</w:t>
      </w:r>
    </w:p>
    <w:p>
      <w:pPr>
        <w:spacing w:after="0" w:line="112"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Cash flow could be insufficient to meet the payments of principal and interest required under our current mortgages, our 2021 credit facility, 2022 term loan, our senior unsecured notes, our debentures and indebtedness outstanding at our joint venture properties. The total principal amount of our outstanding consolidated indebtedness was $5.6 billion as of December 31, 2022, consisting of $1.7 billion in unsecured bank term loans, $0.1 billion under our senior unsecured notes, $0.1 billion of junior subordinated deferrable interest debentures, $3.2 billion of non-recourse mortgages and loans payable on certain of our properties and debt and preferred equity investments, $450.0 million drawn under our revolving credit facility, and $2.0 million of outstanding letters of credit. In addition, we could increase the amount of our outstanding consolidated indebtedness in the future, in part by borrowing under the revolving credit facility portion of our 2021 credit facility. As of December 31, 2022, the total principal amount of non-recourse indebtedness outstanding at the joint venture properties was $12.5 billion, of which our proportionate share was $6.2 billion. As of December 31, 2022, we had no recourse indebtedness outstanding at our unconsolidated joint venture properties.</w:t>
      </w:r>
    </w:p>
    <w:p>
      <w:pPr>
        <w:spacing w:after="0" w:line="81"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If we are unable to make payments under our 2021 credit facility and 2022 term loan, all amounts due and owing at such time shall accrue interest at a per annum rate equal to 2% higher than the rate applicable immediately prior to the default. If we are unable to make payments under our senior unsecured notes, the principal and unpaid interest will become immediately payable. If a property is mortgaged to secure payment of indebtedness and we are unable to meet mortgage payments, the mortgagee could foreclose on the property, resulting in loss of income and asset value. Foreclosure on mortgaged properties or an inability to make payments under our 2021 credit facility, 2022 term loan or our senior unsecured notes could trigger defaults under the terms of our other financings, making such financings at risk of being declared immediately payable, and would have a negative impact on our financial condition and results of operations.</w:t>
      </w:r>
    </w:p>
    <w:p>
      <w:pPr>
        <w:spacing w:after="0" w:line="88" w:lineRule="exact"/>
        <w:rPr>
          <w:sz w:val="20"/>
          <w:szCs w:val="20"/>
          <w:color w:val="auto"/>
        </w:rPr>
      </w:pPr>
    </w:p>
    <w:p>
      <w:pPr>
        <w:jc w:val="both"/>
        <w:ind w:firstLine="439"/>
        <w:spacing w:after="0" w:line="285" w:lineRule="auto"/>
        <w:rPr>
          <w:sz w:val="20"/>
          <w:szCs w:val="20"/>
          <w:color w:val="auto"/>
        </w:rPr>
      </w:pPr>
      <w:r>
        <w:rPr>
          <w:rFonts w:ascii="Arial" w:cs="Arial" w:eastAsia="Arial" w:hAnsi="Arial"/>
          <w:sz w:val="16"/>
          <w:szCs w:val="16"/>
          <w:color w:val="auto"/>
        </w:rPr>
        <w:t>We may not be able to refinance existing indebtedness, which may require substantial principal payments at maturity. $260.1 million of consolidated mortgage debt and $1.1 billion of unconsolidated joint venture debt is scheduled to mature in 2023 after giving effect to our as-of-right extension options and repayments and refinancing of consolidated and joint venture debt between December 31, 2022 and February 15, 2023 as discussed in the "Financial Statements and Supplementary Data" section. At the present time, we intend to repay, refinance, or exercise extension options on the debt associated with our properties on or prior to their respective maturity dates. At the time of refinancing, prevailing interest rates or other factors, such as the possible reluctance of lenders to make commercial real estate loans, may result in higher interest rates. Increased interest expense on the extended or refinanced debt would adversely affect cash flow and our ability to service debt obligations and pay dividends and distributions to security holders. If any principal payments due at maturity cannot be repaid, refinanced or extended, our cash flow will not be sufficient to repay maturing or accelerated debt.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 could adversely affect our ability to conduct our business.</w:t>
      </w:r>
    </w:p>
    <w:p>
      <w:pPr>
        <w:spacing w:after="0" w:line="112"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7"/>
          <w:szCs w:val="17"/>
          <w:color w:val="auto"/>
        </w:rPr>
        <w:t>The mortgages and mezzanine loans on our properties generally contain customary negative covenants that limit our ability to further mortgage the properties, to enter into material leases without lender consent or materially modify existing leases, among other things. In addition, our 2021 credit facility, 2022 term loan and senior unsecured notes contain restrictions and requirements on our method of operations. Our 2021 credit facility and our unsecured notes also require us to maintain designated ratios, including but not limited to, total debt-to-assets, debt service coverage and unencumbered assets-to-unsecured debt. These restrictions could adversely affect operations (including reducing our flexibility and our ability to incur additional debt), our ability to pay debt obligations and our ability to pay dividends and distributions to security holders.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interest rates could adversely affect our cash flow.</w:t>
      </w:r>
    </w:p>
    <w:p>
      <w:pPr>
        <w:spacing w:after="0" w:line="112"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6"/>
          <w:szCs w:val="16"/>
          <w:color w:val="auto"/>
        </w:rPr>
        <w:t>Advances under our 2021 credit facility, 2022 term loan and certain property-level mortgage debt bear interest at a variable rate. After giving effect to derivatives, our consolidated variable rate borrowings totaled $0.5 billion as of December 31, 2022. In addition, we could increase the amount of our outstanding variable rate debt in the future, in part by borrowing additional amounts under our 2021 credit facility. Borrowings under our revolving credit facility and three term loans bore interest at the adjusted term SOFR plus 10 basis points, and the applicable spreads of 105 basis points, 120 basis points, 125 basis points, and 140 basis points, respectively, as of December 31, 2022. As of December 31, 2022, borrowings under our term loans and junior subordinated deferrable interest debentures totaled $1.7 billion and $100.0 million, respectively. We may incur indebtedness in the future that also bears interest at a variable rate or may be required to refinance our debt at higher rates. If we were to incur variable rate indebtedness in the future, we may seek to enter into derivative instruments to mitigate the effect of such variable rate debt. However, such derivative instruments may not be available on favorable terms or at all. As of December 31, 2022, a hypothetical 100 basis point increase in interest rates across each of our variable interest rate instruments, including our variable rate debt and preferred equity investments which mitigate our exposure to interest rate changes, would increase our net annual interest costs by $3.5 million and would increase our share of joint venture annual interest costs by $6.5 million. Our joint ventures may also incur variable rate debt and face similar risks. Accordingly, increases in interest rates could adversely affect our results of operations and financial conditions and our ability to continue to pay dividends and distributions to security holders.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planned phasing out of LIBOR may affect our financial results.</w:t>
      </w:r>
    </w:p>
    <w:p>
      <w:pPr>
        <w:spacing w:after="0" w:line="112"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In March 2021, ICE Benchmark Administration, the administrator of LIBOR, with the support of the Federal Reserve Board and the FCA, announced plans to extend the publication of certain USD LIBOR settings until June 30, 2023 after which LIBOR reference rates will cease to be provided. It is not possible to predict the effect of these changes or the establishment of alternative reference rates.</w:t>
      </w:r>
    </w:p>
    <w:p>
      <w:pPr>
        <w:spacing w:after="0" w:line="83"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The Alternative Reference Rate Committee ("ARRC"), a committee convened by the Federal Reserve that includes major market participants, and on which the SEC staff and other regulators participate, has proposed an alternative rate, the Secured Overnight Financing Rate (“SOFR”), to replace U.S. Dollar LIBOR. Any changes announced by the FCA, ARRC, other regulators or any other successor governance or oversight body, or future changes adopted by such body, in the method pursuant to which U.S. Dollar LIBOR, SOFR, or any other alternative rates are determined may result in a sudden or prolonged increase or decrease in the reported LIBOR rates. If that were to occur, the levels of interest payments we incur and interest payments we receive may change. It is also uncertain whether SOFR or any other alternative rate will gain market acceptance and may result in, among other things, volatility or illiquidity in markets for instruments that currently rely on LIBOR. In addition, although certain of our LIBOR based obligations and investments provide for alternative methods of calculating the interest rate if LIBOR is not reported, uncertainty as to the extent and manner of future changes may result in interest rates and/or payments that are higher than, lower than or that do not otherwise correlate over time with the interest rates and/or payments that would have been made on our obligations if LIBOR rate was available in its current form. We may also need to renegotiate our LIBOR based obligations, which we may not be successful in doing on a timely basis or on terms acceptable to us.</w:t>
      </w:r>
    </w:p>
    <w:p>
      <w:pPr>
        <w:spacing w:after="0" w:line="75" w:lineRule="exact"/>
        <w:rPr>
          <w:sz w:val="20"/>
          <w:szCs w:val="20"/>
          <w:color w:val="auto"/>
        </w:rPr>
      </w:pPr>
    </w:p>
    <w:p>
      <w:pPr>
        <w:ind w:right="260" w:firstLine="439"/>
        <w:spacing w:after="0" w:line="251" w:lineRule="auto"/>
        <w:rPr>
          <w:sz w:val="20"/>
          <w:szCs w:val="20"/>
          <w:color w:val="auto"/>
        </w:rPr>
      </w:pPr>
      <w:r>
        <w:rPr>
          <w:rFonts w:ascii="Arial" w:cs="Arial" w:eastAsia="Arial" w:hAnsi="Arial"/>
          <w:sz w:val="18"/>
          <w:szCs w:val="18"/>
          <w:color w:val="auto"/>
        </w:rPr>
        <w:t>Borrowings under our existing term loan and revolving credit facilities bear interest at a rate based on the term SOFR, which is a relatively new reference rate. The publication of SOFR began in April 2019, and, therefore, it has a very limited history. The future performance of SOFR cannot be predicted based on the limited historical performance. Since the initial publication of SOFR, changes in SOFR have, on occasion, been more volatile than changes in other benchmark or market rates, such as US dollar LIBOR. As a result, the amount of interest we may pay on our credit facilities is difficult to predict.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results of operations.</w:t>
      </w:r>
    </w:p>
    <w:p>
      <w:pPr>
        <w:spacing w:after="0" w:line="11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The interest rate hedge instruments we use to manage some of our exposure to interest rate volatility involve risk and counterparties may fail to perform under these arrangements. In addition, these arrangements may not be effective in reducing our exposure to interest rate changes. When existing interest rate hedges terminate, we may incur increased costs in putting in place further interest rate hedges. Failure to hedge effectively against interest rate changes may adversely affect our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our leverage could adversely affect our stock price.</w:t>
      </w:r>
    </w:p>
    <w:p>
      <w:pPr>
        <w:spacing w:after="0" w:line="112"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Our organizational documents do not contain any limitation on the amount of indebtedness we may incur. We consider many factors when making decisions regarding the incurrence of indebtedness, such as the purchase price of properties to be acquired with debt financing, the estimated market value of our properties and the ability of particular properties and our business as a whole to generate cash flow to cover expected debt service. Any changes that increase our leverage could be viewed negatively by investors and could have a material effect on our financial condition, results of operations, cash flows, the trading price of our securities and our ability to pay dividends and distributions to security holders.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credit ratings could materially adversely affect our business and financial condition.</w:t>
      </w:r>
    </w:p>
    <w:p>
      <w:pPr>
        <w:spacing w:after="0" w:line="112" w:lineRule="exact"/>
        <w:rPr>
          <w:sz w:val="20"/>
          <w:szCs w:val="20"/>
          <w:color w:val="auto"/>
        </w:rPr>
      </w:pPr>
    </w:p>
    <w:p>
      <w:pPr>
        <w:jc w:val="both"/>
        <w:ind w:firstLine="439"/>
        <w:spacing w:after="0" w:line="286" w:lineRule="auto"/>
        <w:rPr>
          <w:sz w:val="20"/>
          <w:szCs w:val="20"/>
          <w:color w:val="auto"/>
        </w:rPr>
      </w:pPr>
      <w:r>
        <w:rPr>
          <w:rFonts w:ascii="Arial" w:cs="Arial" w:eastAsia="Arial" w:hAnsi="Arial"/>
          <w:sz w:val="16"/>
          <w:szCs w:val="16"/>
          <w:color w:val="auto"/>
        </w:rPr>
        <w:t>Our credit rating and the credit ratings assigned to our debt securities and our preferred stock could change based upon, among other things, our results of operations and financial condition. These ratings are subject to ongoing evaluation by credit rating agencies, and any rating could be changed or withdrawn by a rating agency in the future if, in its judgment, circumstances warrant such action. If any of the credit rating agencies that have rated our securities downgrades or lowers its credit rating, or if any credit rating agency indicates that it has placed any such rating on a “watch list” for a possible downgrading or lowering, or otherwise indicates that its outlook for that rating is negative, such action could have a material adverse effect on our costs and availability of funding, which could in turn have a material adverse effect on our financial condition, results of operations, cash flows, the trading price of our securities and our ability to satisfy our debt service obligations and to pay dividends and distributions to security 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preferred equity investments could cause us to incur expenses, which could adversely affect our results of operations.</w:t>
      </w:r>
    </w:p>
    <w:p>
      <w:pPr>
        <w:spacing w:after="0" w:line="118"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We held first mortgages, mezzanine loans, junior participations and preferred equity interests with an aggregate net book value of $623.3 million as of December 31, 2022. Some of these instruments may have some recourse to their sponsors, while others are limited to the collateral securing the loan. In the event of a default under these obligations, we may have to take possession of the collateral securing these interests. Borrowers may contest enforcement of foreclosure or other remedies, seek bankruptcy protection against such enforcement and/or bring claims for lender liability in response to actions to enforce their obligations to us. Declines in the value of the property may prevent us from realizing an amount equal to our investment upon foreclosure or realization even if we make substantial improvements or repairs to the underlying real estate in order to maximize such property's investment potential. In addition, we may invest in mortgage-backed securities and other marketable securities.</w:t>
      </w:r>
    </w:p>
    <w:p>
      <w:pPr>
        <w:spacing w:after="0" w:line="75"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Our debt and preferred equity investments are carried at the net amounts expected to be collected. We maintain and regularly evaluate the need for reserves to protect against potential future credit losses. Our reserves reflect management's judgment of the probability and severity of losses and the value of the underlying collateral. We cannot be certain that our judgment will prove to be correct and that our reserves will be adequate over time to protect against future credit losses because of unanticipated adverse changes in the economy or events adversely affecting specific properties, assets, tenants, borrowers, industries in which our tenants and borrowers operate or markets in which our tenants and borrowers or their properties are located. The ultimate resolutions may differ from our expectation, and we could suffer losses which would have a material adverse effect on our financial performance, the trading price of our securities and our ability to pay dividends and distributions to security holders.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investments could be adversely affected by our lack of sole decision-making authority and reliance upon a co-venturer's financial condition.</w:t>
      </w:r>
    </w:p>
    <w:p>
      <w:pPr>
        <w:spacing w:after="0" w:line="141"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We co-invest with third parties through partnerships, joint ventures, co-tenancies or other structures, and by acquiring non-controlling interests in, or sharing responsibility for managing the affairs of, a property, partnership, joint venture, co-tenancy or other entity. Therefore, we may not be in a position to exercise sole decision-making authority regarding such property, partnership, joint venture or other entity. Investments in partnerships, joint ventures, or other entities may involve risks not present were a third party not involved, including the possibility that our partners, co-tenants or co-venturers might file for bankruptcy protection or otherwise fail to fund their share of required capital contributions. Additionally, our partners or co-venturers might at any time have economic or other business interests or goals which are competitive or inconsistent with our business interests or goals. These investments may also have the potential risk of impasses on decisions such as a sale, because neither we, nor the partner, co-tenant or co-venturer would have full control over the partnership or joint venture. In addition, we may in specific circumstances be liable for the actions of our third-party partners, co-tenants or co-venturers. As of December 31, 2022, we had an aggregate cost basis in joint ventures totaling $3.2 billion.</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Certain of our joint venture agreements contain terms in favor of our partners that could have an adverse effect on the value of our investments in the joint ventures.</w:t>
      </w:r>
    </w:p>
    <w:p>
      <w:pPr>
        <w:spacing w:after="0" w:line="68"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Each of our joint venture agreements has been individually negotiated with our partner in the joint venture and, in some cases, we have agreed to terms that are more favorable to our partner in the joint venture than to us. For example, our partner may be entitled to a specified portion of the profits of the joint venture before we are entitled to any portion of such profits. We may also enter into similar arrangements in the future.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external sources of capital.</w:t>
      </w:r>
    </w:p>
    <w:p>
      <w:pPr>
        <w:spacing w:after="0" w:line="118"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We need a substantial amount of capital to operate and grow our business. This need is exacerbated by the distribution requirements imposed on us for SL Green to qualify as a REIT. We therefore rely on third-party sources of capital, which may not be available on favorable terms or at all. Our access to third-party sources of capital depends on a number of things, including the market's perception of our growth potential and our current and potential future earnings. In addition, we may raise money in the public equity and debt markets and our ability to do so will depend upon the general conditions prevailing in these markets. At any time, conditions may exist which effectively prevent us, or REITs in general, from accessing these markets. Moreover, additional equity offerings may result in substantial dilution of our stockholders' interests, and additional debt financing may substantially increase our leverage.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dividends and distributions from our direct and indirect subsidiaries.</w:t>
      </w:r>
    </w:p>
    <w:p>
      <w:pPr>
        <w:spacing w:after="0" w:line="118"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Substantially all of our assets are held through subsidiaries of our Operating Partnership. We are, therefore, dependent on the results of operations of our subsidiaries and their ability to provide us with cash, whether in the form of dividends paid through our Operating Partnership, loans or otherwise, to meet our obligations and to pay any dividends to our equity holders. Any distributions to us from those subsidiaries may be subject to contractual and other restrictions, including such subsidiaries' obligations to their creditors, and could be subject to other business and operational considerations. Additionally, our Operating Partnership's ability to distribute to us any cash that it receives from our subsidiaries will also depend on its ability to first satisfy its obligations to its creditors and make distributions payable to holders of its outstanding preferred units and any additional preferred units it may issue from time to time.</w:t>
      </w:r>
    </w:p>
    <w:p>
      <w:pPr>
        <w:spacing w:after="0" w:line="60"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In addition, our participation in any distribution of the assets of any of our direct or indirect subsidiaries upon any liquidation, reorganization or insolvency is only after the claims of the creditors, including trade creditors and preferred security holders, are satisfied.</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Our charter documents, debt instruments and applicable law may hinder any attempt to acquire us, which could discourage takeover attempts and prevent our stockholders from receiving a premium over the market price of our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charter and bylaws could inhibit changes in control.</w:t>
      </w:r>
    </w:p>
    <w:p>
      <w:pPr>
        <w:spacing w:after="0" w:line="112"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 change of control of our company could benefit stockholders by providing them with a premium over the then-prevailing market price of our stock. However, provisions contained in our charter and bylaws may delay or prevent a change in control of our company. These provisions, discussed more fully below, are:</w:t>
      </w:r>
    </w:p>
    <w:p>
      <w:pPr>
        <w:spacing w:after="0" w:line="83" w:lineRule="exact"/>
        <w:rPr>
          <w:sz w:val="20"/>
          <w:szCs w:val="20"/>
          <w:color w:val="auto"/>
        </w:rPr>
      </w:pPr>
    </w:p>
    <w:p>
      <w:pPr>
        <w:ind w:left="640" w:hanging="31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Ownership limitations;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Maryland takeover statutes that may prevent a change of control of our company;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Contractual provisions that limit the assumption of certain of our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stock ownership limit.</w:t>
      </w:r>
    </w:p>
    <w:p>
      <w:pPr>
        <w:spacing w:after="0" w:line="112"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auto"/>
        </w:rPr>
        <w:t>To remain qualified as a REIT for federal income tax purposes, not more than 50% in value of our outstanding capital stock may be owned by five or fewer individuals at any time during the last half of any taxable year. For this purpose, stock may be "owned" directly, as well as indirectly under certain constructive ownership rules, including, for example, rules that attribute stock held by one shareholder to another shareholder. In part to avoid violating this rule regarding stock ownership limitations and maintain our REIT qualification, our charter prohibits direct or indirect ownership by any single stockholder of more than 9.0% in value or number of shares of our common stock. Limitations on the ownership of preferred stock may also be imposed by us.</w:t>
      </w:r>
    </w:p>
    <w:p>
      <w:pPr>
        <w:spacing w:after="0" w:line="60"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Our board of directors has the discretion to raise or waive this limitation on ownership for any stockholder if deemed to be in our best interest. Our board of directors has granted such waivers from time to time. To obtain a waiver, a stockholder must present the board and our tax counsel with evidence that ownership in excess of this limit will not affect our present or future REIT status.</w:t>
      </w:r>
    </w:p>
    <w:p>
      <w:pPr>
        <w:spacing w:after="0" w:line="83"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Absent any exemption or waiver, stock acquired or held in excess of the limit on ownership will be transferred to a trust for the exclusive benefit of a designated charitable beneficiary, and the stockholder's rights to distributions and to vote would terminate. The stockholder would be entitled to receive, from the proceeds of any subsequent sale of the shares transferred to the charitable trust, the lesser of: the price paid for the stock or, if the owner did not pay for the stock, the market price of the stock on the date of the event causing the stock to be transferred to the charitable trust; and the amount realized from the sale.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limitation on ownership of stock could delay or prevent a change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Maryland takeover statutes may prevent a change of control of our company, which could depress our stock price.</w:t>
      </w:r>
    </w:p>
    <w:p>
      <w:pPr>
        <w:spacing w:after="0" w:line="112" w:lineRule="exact"/>
        <w:rPr>
          <w:sz w:val="20"/>
          <w:szCs w:val="20"/>
          <w:color w:val="auto"/>
        </w:rPr>
      </w:pPr>
    </w:p>
    <w:p>
      <w:pPr>
        <w:jc w:val="both"/>
        <w:ind w:firstLine="439"/>
        <w:spacing w:after="0" w:line="273" w:lineRule="auto"/>
        <w:rPr>
          <w:sz w:val="20"/>
          <w:szCs w:val="20"/>
          <w:color w:val="auto"/>
        </w:rPr>
      </w:pPr>
      <w:r>
        <w:rPr>
          <w:rFonts w:ascii="Arial" w:cs="Arial" w:eastAsia="Arial" w:hAnsi="Arial"/>
          <w:sz w:val="17"/>
          <w:szCs w:val="17"/>
          <w:color w:val="auto"/>
        </w:rPr>
        <w:t>Under the Maryland General Corporation Law, or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9" w:lineRule="exact"/>
        <w:rPr>
          <w:sz w:val="20"/>
          <w:szCs w:val="20"/>
          <w:color w:val="auto"/>
        </w:rPr>
      </w:pPr>
    </w:p>
    <w:p>
      <w:pPr>
        <w:ind w:left="640" w:hanging="31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outstanding voting stock; or</w:t>
      </w:r>
    </w:p>
    <w:p>
      <w:pPr>
        <w:spacing w:after="0" w:line="112"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 year period prior to the date in question, was the beneficial owner of 10% or more of the voting power of the then outstanding voting stock of the corporation.</w:t>
      </w:r>
    </w:p>
    <w:p>
      <w:pPr>
        <w:spacing w:after="0" w:line="74" w:lineRule="exact"/>
        <w:rPr>
          <w:sz w:val="20"/>
          <w:szCs w:val="20"/>
          <w:color w:val="auto"/>
        </w:rPr>
      </w:pPr>
    </w:p>
    <w:p>
      <w:pPr>
        <w:ind w:right="20" w:firstLine="439"/>
        <w:spacing w:after="0" w:line="266" w:lineRule="auto"/>
        <w:rPr>
          <w:sz w:val="20"/>
          <w:szCs w:val="20"/>
          <w:color w:val="auto"/>
        </w:rPr>
      </w:pPr>
      <w:r>
        <w:rPr>
          <w:rFonts w:ascii="Arial" w:cs="Arial" w:eastAsia="Arial" w:hAnsi="Arial"/>
          <w:sz w:val="18"/>
          <w:szCs w:val="18"/>
          <w:color w:val="auto"/>
        </w:rPr>
        <w:t>A person is not an interested stockholder under the statute if the board of directors approves in advance the transaction by which he otherwise would have become an interested stockholder.</w:t>
      </w:r>
    </w:p>
    <w:p>
      <w:pPr>
        <w:spacing w:after="0" w:line="74"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After the five year prohibition, any business combination between the Maryland corporation and an interested stockholder generally must be recommended by the board of directors of the corporation and approved by the affirmative vote of at least:</w:t>
      </w:r>
    </w:p>
    <w:p>
      <w:pPr>
        <w:spacing w:after="0" w:line="74" w:lineRule="exact"/>
        <w:rPr>
          <w:sz w:val="20"/>
          <w:szCs w:val="20"/>
          <w:color w:val="auto"/>
        </w:rPr>
      </w:pPr>
    </w:p>
    <w:p>
      <w:pPr>
        <w:ind w:left="640" w:hanging="314"/>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80% of the votes entitled to be cast by holders of outstanding shares of voting stock of the corporation, voting together as a single group; and</w:t>
      </w:r>
    </w:p>
    <w:p>
      <w:pPr>
        <w:spacing w:after="0" w:line="124" w:lineRule="exact"/>
        <w:rPr>
          <w:rFonts w:ascii="Arial" w:cs="Arial" w:eastAsia="Arial" w:hAnsi="Arial"/>
          <w:sz w:val="17"/>
          <w:szCs w:val="17"/>
          <w:color w:val="auto"/>
        </w:rPr>
      </w:pPr>
    </w:p>
    <w:p>
      <w:pPr>
        <w:ind w:left="640" w:hanging="314"/>
        <w:spacing w:after="0" w:line="296"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0" w:lineRule="exact"/>
        <w:rPr>
          <w:sz w:val="20"/>
          <w:szCs w:val="20"/>
          <w:color w:val="auto"/>
        </w:rPr>
      </w:pPr>
    </w:p>
    <w:p>
      <w:pPr>
        <w:jc w:val="both"/>
        <w:ind w:firstLine="439"/>
        <w:spacing w:after="0" w:line="296" w:lineRule="auto"/>
        <w:rPr>
          <w:sz w:val="20"/>
          <w:szCs w:val="20"/>
          <w:color w:val="auto"/>
        </w:rPr>
      </w:pPr>
      <w:r>
        <w:rPr>
          <w:rFonts w:ascii="Arial" w:cs="Arial" w:eastAsia="Arial" w:hAnsi="Arial"/>
          <w:sz w:val="17"/>
          <w:szCs w:val="17"/>
          <w:color w:val="auto"/>
        </w:rPr>
        <w:t>The business combination statute may discourage others from trying to acquire control of us and increase the difficulty of consummating any offer, including potential acquisitions that might involve a premium price for our common stock or otherwise be in the best interest of our stockholders.</w:t>
      </w:r>
    </w:p>
    <w:p>
      <w:pPr>
        <w:spacing w:after="0" w:line="50"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7"/>
          <w:szCs w:val="17"/>
          <w:color w:val="auto"/>
        </w:rPr>
        <w:t>In addition, the MGCL provides that holders of "control shares" of a Maryland corporation acquired in a "control share acquisition" will not have voting rights with respect to the control shares except to the extent approved by a vote of two-thirds of the votes entitled to be cast on the matter, excluding shares of stock owned by the acquiror, by officers of the corporation or by directors who are employees of the corporation. "Control shares" means voting shares of stock that,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(i) one-tenth or more but less than one-third; (ii) one-third or more but less than a majority; or (iii) a majority or more of all voting power. A "control share acquisition" means the acquisition of ownership of, or the power to direct the exercise of voting power with respect to, issued and outstanding control shares, subject to certain exceptions.</w:t>
      </w:r>
    </w:p>
    <w:p>
      <w:pPr>
        <w:spacing w:after="0" w:line="7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have opted out of the "business combinations" and "control shares" provisions of the MGCL by resolution of our board of directors and a provision in our bylaws, respectively. However, in the future, our board of directors may reverse its decision by resolution and elect to opt in to the MGCL's business combination provisions, or amend our bylaws and elect to opt in to the MGCL's control share provisions.</w:t>
      </w:r>
    </w:p>
    <w:p>
      <w:pPr>
        <w:spacing w:after="0" w:line="83"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Additionally, other provisions of the MGCL permit our board of directors, without stockholder approval and regardless of what is provided in our charter or bylaws, to implement certain other takeover defenses, some of which have been implemented through provisions in our charter or bylaws unrelated to the provisions of the MGCL. Such takeover defenses, to the extent implemented now or in the future, may have the effect of inhibiting a third party from making us an acquisition proposal or of delaying, deferring or preventing a change in our control under circumstances that otherwise could provide our stockholders with an opportunity to realize a premium over the then-current market price.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provisions that limit the assumption of certain of our debt may prevent a change in control.</w:t>
      </w:r>
    </w:p>
    <w:p>
      <w:pPr>
        <w:spacing w:after="0" w:line="112" w:lineRule="exact"/>
        <w:rPr>
          <w:sz w:val="20"/>
          <w:szCs w:val="20"/>
          <w:color w:val="auto"/>
        </w:rPr>
      </w:pPr>
    </w:p>
    <w:p>
      <w:pPr>
        <w:jc w:val="both"/>
        <w:ind w:right="20" w:firstLine="439"/>
        <w:spacing w:after="0" w:line="266" w:lineRule="auto"/>
        <w:rPr>
          <w:sz w:val="20"/>
          <w:szCs w:val="20"/>
          <w:color w:val="auto"/>
        </w:rPr>
      </w:pPr>
      <w:r>
        <w:rPr>
          <w:rFonts w:ascii="Arial" w:cs="Arial" w:eastAsia="Arial" w:hAnsi="Arial"/>
          <w:sz w:val="18"/>
          <w:szCs w:val="18"/>
          <w:color w:val="auto"/>
        </w:rPr>
        <w:t>Certain of our consolidated debt is not assumable and may be subject to significant prepayment penalties. These limitations could deter a change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Green's failure to qualify as a REIT would be costly and would have a significant effect on the value of our securities.</w:t>
      </w:r>
    </w:p>
    <w:p>
      <w:pPr>
        <w:spacing w:after="0" w:line="1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We believe we have operated in a manner for SL Green to qualify as a REIT for federal income tax purposes and intend to continue to so operate. Many of the REIT compliance requirements, however, are highly technical and complex. The determination that SL Green is a REIT requires an analysis of factual matters and circumstances. These matters, some of which are not totally within our control, can affect SL Green's qualification as a REIT. For example, to qualify as a REIT, at least 95% of our gross income must come from designated sources that are listed in the applicable tax laws. We are also required to distribute to stockholders at least 90% of our REIT taxable income excluding capital gains. The fact that we hold our assets through the Operating Partnership and its subsidiaries further complicates the application of the REIT requirements. Even a technical or inadvertent mistake could jeopardize our REIT status. Furthermore, Congress and the Internal Revenue Service, or the IRS, might make changes to the tax laws and regulations that make it more difficult, or impossible, for us to remain qualified as a REIT.</w:t>
      </w:r>
    </w:p>
    <w:p>
      <w:pPr>
        <w:spacing w:after="0" w:line="7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If SL Green fails to qualify as a REIT, the funds available for distribution to our stockholders would be substantially reduced as we would not be allowed a deduction for dividends paid to our stockholders in computing our taxable income and would be subject to federal income tax at regular corporate rates and possibly increased state and local taxes.</w:t>
      </w:r>
    </w:p>
    <w:p>
      <w:pPr>
        <w:spacing w:after="0" w:line="83"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Also, unless the IRS grants us relief under specific statutory provisions, SL Green would remain disqualified as a REIT for four years following the year in which SL Green first failed to qualify. If SL Green failed to qualify as a REIT, SL Green would have to pay significant income taxes and would therefore have less money available for investments, to service debt obligations or to pay dividends and distributions to security holders. This would have a significant adverse effect on the value of our securities. In addition, the REIT tax laws would no longer obligate us to make any distributions to stockholders. As a result of all these factors, if SL Green fails to qualify as a REIT, this could impair our ability to expand our business and raise capital.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pay taxable dividends on our common stock in common stock and cash.</w:t>
      </w:r>
    </w:p>
    <w:p>
      <w:pPr>
        <w:spacing w:after="0" w:line="118"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In order to qualify as a REIT, we are required to annually distribute to our stockholders at least 90% of our REIT taxable income, excluding net capital gains. In order to avoid taxation of our income, we are required to annually distribute to our stockholders all of our taxable income, including net capital gains. In order to satisfy these requirements, we have, and in the future may make distributions that are payable partly in cash and partly in shares of our common stock. If we pay such a dividend, taxable stockholders would be required to include the entire amount of the dividend, including the portion paid with shares of common stock, as income to the extent of our current and accumulated earnings and profits, and may be required to pay income taxes with respect to such dividends in excess of the cash dividends received.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costs to comply with governmental laws and regulations.</w:t>
      </w:r>
    </w:p>
    <w:p>
      <w:pPr>
        <w:spacing w:after="0" w:line="118"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We are subject to various federal, state and local environmental and health and safety laws that can impose liability on current and former property owners or operators for the clean-up of certain hazardous substances released on a property or of contamination at any facility (e.g., a landfill) to which we have sent hazardous substances for treatment or disposal, without regard to fault or whether the release or disposal was in compliance with law. Being held responsible for such a clean-up could result in significant cost to us and have a material adverse effect on our financial condition and results of operations.</w:t>
      </w:r>
    </w:p>
    <w:p>
      <w:pPr>
        <w:spacing w:after="0" w:line="54"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Our properties may be subject to risks relating to current or future laws, including laws benefiting disabled persons, such as the Americans with Disabilities Act, or ADA, and state or local zoning, construction or other regulations. Compliance with such laws may require significant property modifications in the future, which could be costly. Non-compliance could result in fines being levied against us in the future.</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Compliance with changing or new regulations applicable to corporate governance and public disclosure may result in additional expenses, or affect our operations.</w:t>
      </w:r>
    </w:p>
    <w:p>
      <w:pPr>
        <w:spacing w:after="0" w:line="68"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Changing or new laws, regulations and standards relating to corporate governance and public disclosure, including SEC regulations and NYSE rules, can create uncertainty for public companies. These changed or new laws, regulations and standards are subject to varying interpretations in many cases due to their lack of specificity.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are committed to maintaining high standards of corporate governance and public disclosure. If our efforts to comply with new or changed laws, regulations and standards differ from the activities intended by regulatory or governing bodies due to ambiguities related to practice, our reputation may be harmed.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continued efforts to comply with Section 404 of the Sarbanes-Oxley Act of 2002 and the related regulations regarding our required assessment of our internal controls over financial reporting and our external auditors' audit of that assessment have required the commitment of significant financial and managerial resources. We expect these efforts to require the continued commitment of significant resources. Further, our directors, chief executive officer and chief financial officer could face an increased risk of personal liability in connection with the performance of their duties. As a result, we may have difficulty attracting and retaining qualified directors and executive officers, which could harm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property taxes could increase due to reassessment or property tax rate changes.</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We are required to pay real property taxes or payments in lieu of taxes in respect of our properties and such taxes may increase as our properties are reassessed by taxing authorities or as property tax rates change. An increase in the assessed value of our properties or our property tax rates could adversely impact our financial condition, results of operations and our ability to satisfy our debt service obligations and to pay dividends and distributions to our security 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and may continue to be subject to wide fluctuations.</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Between January 1, 2022 and December 31, 2022, the closing sale price of our common stock on the New York Stock Exchange, or the NYSE, ranged from $32.94 to $83.95 per share. Our stock price may fluctuate in response to a number of events and factors, such as those described elsewhere in this "Risk Factors" section. Equity issuances or buybacks by us or the perception that such issuances or buybacks may occur may also affect the market price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common stock, preferred stock and convertible debt could dilute existing stockholders' interests.</w:t>
      </w:r>
    </w:p>
    <w:p>
      <w:pPr>
        <w:spacing w:after="0" w:line="118" w:lineRule="exact"/>
        <w:rPr>
          <w:sz w:val="20"/>
          <w:szCs w:val="20"/>
          <w:color w:val="auto"/>
        </w:rPr>
      </w:pPr>
    </w:p>
    <w:p>
      <w:pPr>
        <w:jc w:val="both"/>
        <w:ind w:firstLine="439"/>
        <w:spacing w:after="0" w:line="303" w:lineRule="auto"/>
        <w:rPr>
          <w:sz w:val="20"/>
          <w:szCs w:val="20"/>
          <w:color w:val="auto"/>
        </w:rPr>
      </w:pPr>
      <w:r>
        <w:rPr>
          <w:rFonts w:ascii="Arial" w:cs="Arial" w:eastAsia="Arial" w:hAnsi="Arial"/>
          <w:sz w:val="16"/>
          <w:szCs w:val="16"/>
          <w:color w:val="auto"/>
        </w:rPr>
        <w:t>Our charter authorizes our Board of Directors to issue additional shares of common stock, preferred stock and convertible equity or debt without stockholder approval and without the requirement to offer rights of pre-emption to existing stockholders. Any such issuance could dilute our existing stockholders' interests. Also, any future series of preferred stock may have voting provisions that could delay or prevent a change of control of our company.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market conditions could adversely affect the market price of our common stock.</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with other publicly traded equity securities, the value of our common stock depends on various market conditions, which may change from time to time. In addition to the current economic environment and future volatility in the securities and credit markets, the following market conditions may affect the value of our common stock:</w:t>
      </w:r>
    </w:p>
    <w:p>
      <w:pPr>
        <w:spacing w:after="0" w:line="83" w:lineRule="exact"/>
        <w:rPr>
          <w:sz w:val="20"/>
          <w:szCs w:val="20"/>
          <w:color w:val="auto"/>
        </w:rPr>
      </w:pPr>
    </w:p>
    <w:p>
      <w:pPr>
        <w:ind w:left="640" w:hanging="314"/>
        <w:spacing w:after="0" w:line="266"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general reputation of REITs and the attractiveness of our equity securities in comparison to other equity securities, including securities issued by other real estate-based companies;</w:t>
      </w:r>
    </w:p>
    <w:p>
      <w:pPr>
        <w:spacing w:after="0" w:line="73" w:lineRule="exact"/>
        <w:rPr>
          <w:rFonts w:ascii="Arial" w:cs="Arial" w:eastAsia="Arial" w:hAnsi="Arial"/>
          <w:sz w:val="18"/>
          <w:szCs w:val="18"/>
          <w:color w:val="auto"/>
        </w:rPr>
      </w:pPr>
    </w:p>
    <w:p>
      <w:pPr>
        <w:ind w:left="640" w:hanging="31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stock and bond market conditions.</w:t>
      </w:r>
    </w:p>
    <w:p>
      <w:pPr>
        <w:spacing w:after="0" w:line="112"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market value of our common stock is based on a number of factors including, but not limited to, the market's perception of the current and future value of our assets, our growth potential and our current and potential future earnings and cash dividends. Consequently, our common stock may trade at prices that are higher or lower than our net asset value per share of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U.S. federal income tax laws could materially and adversely affect us and our stockholders.</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U.S. federal income tax laws and the rules dealing with U.S. federal income taxation are continually under review by Congress, the IRS, and the U.S. Department of the Treasury. Any such changes could have an adverse effect on an investment in our shares or on the market value or the resale potential of our assets.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personnel could harm our operations and our stock price.</w:t>
      </w:r>
    </w:p>
    <w:p>
      <w:pPr>
        <w:spacing w:after="0" w:line="118"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We are dependent on the efforts of Marc Holliday, our chairman and chief executive officer, and Andrew W. Mathias, our president. These officers have employment agreements which expire in January 2025 and December 2023, respectively. A loss of the services of either of these individuals could adversely affect our operations and could be negatively perceived by the market resulting in a decrease in our stock price.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operations would suffer in the event of system failures or cyber security attacks.</w:t>
      </w:r>
    </w:p>
    <w:p>
      <w:pPr>
        <w:spacing w:after="0" w:line="118"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6"/>
          <w:szCs w:val="16"/>
          <w:color w:val="auto"/>
        </w:rPr>
        <w:t>Despite system redundancy, the implementation of security measures and the existence of a disaster recovery plan for our internal information technology systems, our systems are vulnerable to a number of risks including energy blackouts, natural disasters, terrorism, war, telecommunication failures and cyber attacks and intrusions, such as computer viruses, malware, attachments to e-mails, intrusion and unauthorized access, including from persons inside our organization or from persons outside our organization with access to our systems. The risk of a security breach or disruption, particularly through cyber attacks and intrusions, including by computer hackers, foreign governments and cyber terrorists, has generally increased as the number, intensity and sophistication of attempted attacks and instructions from around the world have increased. Our systems are critical to the operation of our business and any system failure, accident or security breach that causes interruptions in our operations could result in a material disruption to our business. We may also incur additional costs to remedy damages caused by such disruptions. Although we make efforts to maintain the security and integrity of our systems and have implemented various measures to manage the risk of a security breach or disruption, there can be no assurance that our security efforts and measures will be effective or that attempted security breaches or disruptions would not be successful or damaging. Any compromise of our security could also result in a violation of applicable privacy and other laws, significant legal and financial exposure, damage to our reputation, loss or misuse of the information (which may be confidential, proprietary and/or commercially sensitive in nature) and a loss of confidence in our security measures, which could harm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may prove inaccurate.</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See Item 7, "Management's Discussion and Analysis of Financial Condition and Results of Operations—Forward-looking Information," for additional disclosure regarding forward-looking statements.</w:t>
      </w:r>
    </w:p>
    <w:p>
      <w:pPr>
        <w:spacing w:after="0" w:line="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2022, we did not have any unresolved comments with the staff of the SEC.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2"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7"/>
          <w:szCs w:val="17"/>
          <w:color w:val="auto"/>
        </w:rPr>
        <w:t>As of December 31, 2022, we owned or held interests in 13 consolidated commercial office buildings encompassing approximately 10.0 million rentable square feet and 12 unconsolidated commercial office buildings encompassing approximately 14.0 million rentable square feet located primarily in midtown Manhattan. Many of these buildings include some amount of retail space on the lower floors, as well as basement/storage space. As of December 31, 2022, our portfolio also included ownership interests in one consolidated property, encompassing seven commercial office buildings totaling approximately 0.9 million rentable square feet, in Stamford Connecticut, which we refer to as our Suburban property. Some of these buildings also include a small amount of retail space on the lower floors, as well as basement/storage space.</w:t>
      </w:r>
    </w:p>
    <w:p>
      <w:pPr>
        <w:spacing w:after="0" w:line="101"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As of December 31, 2022, we also owned or held interests in 11 prime retail properties encompassing approximately 0.3 million square feet, 8 buildings in differing stages of development or redevelopment encompassing approximately 4.4 million square feet, and 1 residential building encompassing 209 units (approximately 0.1 million square feet). In addition, we manage one office building owned by third parties encompassing approximately 0.3 million square feet and held debt and preferred equity investments with a book value of $623.3 million, excluding $8.5 million of investments recorded in balance sheet line items other than the Debt and preferred equity investments line item.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The following tables set forth certain information with respect to each of the Manhattan and Suburban office, prime retail, residential, development and redevelopment properties in the portfolio as of December 31, 2022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Percent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8"/>
              <w:spacing w:after="0"/>
              <w:rPr>
                <w:sz w:val="20"/>
                <w:szCs w:val="20"/>
                <w:color w:val="auto"/>
              </w:rPr>
            </w:pPr>
            <w:r>
              <w:rPr>
                <w:rFonts w:ascii="Arial" w:cs="Arial" w:eastAsia="Arial" w:hAnsi="Arial"/>
                <w:sz w:val="12"/>
                <w:szCs w:val="12"/>
                <w:b w:val="1"/>
                <w:bCs w:val="1"/>
                <w:color w:val="auto"/>
                <w:w w:val="93"/>
              </w:rPr>
              <w:t>Annualized</w:t>
            </w:r>
          </w:p>
        </w:tc>
        <w:tc>
          <w:tcPr>
            <w:tcW w:w="0" w:type="dxa"/>
            <w:vAlign w:val="bottom"/>
          </w:tcPr>
          <w:p>
            <w:pPr>
              <w:spacing w:after="0"/>
              <w:rPr>
                <w:sz w:val="1"/>
                <w:szCs w:val="1"/>
                <w:color w:val="auto"/>
              </w:rPr>
            </w:pPr>
          </w:p>
        </w:tc>
      </w:tr>
      <w:tr>
        <w:trPr>
          <w:trHeight w:val="120"/>
        </w:trPr>
        <w:tc>
          <w:tcPr>
            <w:tcW w:w="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8"/>
              <w:spacing w:after="0" w:line="120" w:lineRule="exact"/>
              <w:rPr>
                <w:sz w:val="20"/>
                <w:szCs w:val="20"/>
                <w:color w:val="auto"/>
              </w:rPr>
            </w:pPr>
            <w:r>
              <w:rPr>
                <w:rFonts w:ascii="Arial" w:cs="Arial" w:eastAsia="Arial" w:hAnsi="Arial"/>
                <w:sz w:val="12"/>
                <w:szCs w:val="12"/>
                <w:b w:val="1"/>
                <w:bCs w:val="1"/>
                <w:color w:val="auto"/>
                <w:w w:val="95"/>
              </w:rPr>
              <w:t>Cash</w:t>
            </w: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Approximate</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3"/>
              </w:rPr>
              <w:t>Annualized</w:t>
            </w:r>
          </w:p>
        </w:tc>
        <w:tc>
          <w:tcPr>
            <w:tcW w:w="8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of Portfolio</w:t>
            </w:r>
          </w:p>
        </w:tc>
        <w:tc>
          <w:tcPr>
            <w:tcW w:w="12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2"/>
                <w:szCs w:val="12"/>
                <w:b w:val="1"/>
                <w:bCs w:val="1"/>
                <w:color w:val="auto"/>
                <w:w w:val="94"/>
              </w:rPr>
              <w:t>Rent per</w:t>
            </w:r>
          </w:p>
        </w:tc>
        <w:tc>
          <w:tcPr>
            <w:tcW w:w="0" w:type="dxa"/>
            <w:vAlign w:val="bottom"/>
          </w:tcPr>
          <w:p>
            <w:pPr>
              <w:spacing w:after="0"/>
              <w:rPr>
                <w:sz w:val="1"/>
                <w:szCs w:val="1"/>
                <w:color w:val="auto"/>
              </w:rPr>
            </w:pPr>
          </w:p>
        </w:tc>
      </w:tr>
      <w:tr>
        <w:trPr>
          <w:trHeight w:val="120"/>
        </w:trPr>
        <w:tc>
          <w:tcPr>
            <w:tcW w:w="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0"/>
              </w:rPr>
              <w:t>Rentable</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5"/>
              </w:rPr>
              <w:t>Cash</w:t>
            </w:r>
          </w:p>
        </w:tc>
        <w:tc>
          <w:tcPr>
            <w:tcW w:w="8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Annualized</w:t>
            </w: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38"/>
              <w:spacing w:after="0" w:line="120" w:lineRule="exact"/>
              <w:rPr>
                <w:sz w:val="20"/>
                <w:szCs w:val="20"/>
                <w:color w:val="auto"/>
              </w:rPr>
            </w:pPr>
            <w:r>
              <w:rPr>
                <w:rFonts w:ascii="Arial" w:cs="Arial" w:eastAsia="Arial" w:hAnsi="Arial"/>
                <w:sz w:val="12"/>
                <w:szCs w:val="12"/>
                <w:b w:val="1"/>
                <w:bCs w:val="1"/>
                <w:color w:val="auto"/>
                <w:w w:val="91"/>
              </w:rPr>
              <w:t>Leased</w:t>
            </w:r>
          </w:p>
        </w:tc>
        <w:tc>
          <w:tcPr>
            <w:tcW w:w="0" w:type="dxa"/>
            <w:vAlign w:val="bottom"/>
          </w:tcPr>
          <w:p>
            <w:pPr>
              <w:spacing w:after="0"/>
              <w:rPr>
                <w:sz w:val="1"/>
                <w:szCs w:val="1"/>
                <w:color w:val="auto"/>
              </w:rPr>
            </w:pPr>
          </w:p>
        </w:tc>
      </w:tr>
      <w:tr>
        <w:trPr>
          <w:trHeight w:val="133"/>
        </w:trPr>
        <w:tc>
          <w:tcPr>
            <w:tcW w:w="2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Manhattan Properties</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b w:val="1"/>
                <w:bCs w:val="1"/>
                <w:color w:val="auto"/>
              </w:rPr>
              <w:t>Year Built/</w:t>
            </w:r>
          </w:p>
        </w:tc>
        <w:tc>
          <w:tcPr>
            <w:tcW w:w="180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rPr>
              <w:t>City/ Town</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Square</w:t>
            </w: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5"/>
              </w:rPr>
              <w:t>Percent</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89"/>
              </w:rPr>
              <w:t>Rent</w:t>
            </w:r>
          </w:p>
        </w:tc>
        <w:tc>
          <w:tcPr>
            <w:tcW w:w="8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8"/>
              </w:rPr>
              <w:t>Cash</w:t>
            </w:r>
          </w:p>
        </w:tc>
        <w:tc>
          <w:tcPr>
            <w:tcW w:w="12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2"/>
                <w:szCs w:val="12"/>
                <w:b w:val="1"/>
                <w:bCs w:val="1"/>
                <w:color w:val="auto"/>
                <w:w w:val="93"/>
              </w:rPr>
              <w:t>Square</w:t>
            </w:r>
          </w:p>
        </w:tc>
        <w:tc>
          <w:tcPr>
            <w:tcW w:w="0" w:type="dxa"/>
            <w:vAlign w:val="bottom"/>
          </w:tcPr>
          <w:p>
            <w:pPr>
              <w:spacing w:after="0"/>
              <w:rPr>
                <w:sz w:val="1"/>
                <w:szCs w:val="1"/>
                <w:color w:val="auto"/>
              </w:rPr>
            </w:pPr>
          </w:p>
        </w:tc>
      </w:tr>
      <w:tr>
        <w:trPr>
          <w:trHeight w:val="167"/>
        </w:trPr>
        <w:tc>
          <w:tcPr>
            <w:tcW w:w="2800" w:type="dxa"/>
            <w:vAlign w:val="bottom"/>
            <w:gridSpan w:val="2"/>
            <w:vMerge w:val="continue"/>
          </w:tcPr>
          <w:p>
            <w:pPr>
              <w:spacing w:after="0"/>
              <w:rPr>
                <w:sz w:val="14"/>
                <w:szCs w:val="14"/>
                <w:color w:val="auto"/>
              </w:rPr>
            </w:pPr>
          </w:p>
        </w:tc>
        <w:tc>
          <w:tcPr>
            <w:tcW w:w="820" w:type="dxa"/>
            <w:vAlign w:val="bottom"/>
          </w:tcPr>
          <w:p>
            <w:pPr>
              <w:jc w:val="right"/>
              <w:ind w:right="118"/>
              <w:spacing w:after="0"/>
              <w:rPr>
                <w:sz w:val="20"/>
                <w:szCs w:val="20"/>
                <w:color w:val="auto"/>
              </w:rPr>
            </w:pPr>
            <w:r>
              <w:rPr>
                <w:rFonts w:ascii="Arial" w:cs="Arial" w:eastAsia="Arial" w:hAnsi="Arial"/>
                <w:sz w:val="12"/>
                <w:szCs w:val="12"/>
                <w:b w:val="1"/>
                <w:bCs w:val="1"/>
                <w:color w:val="auto"/>
              </w:rPr>
              <w:t>Renovated</w:t>
            </w:r>
          </w:p>
        </w:tc>
        <w:tc>
          <w:tcPr>
            <w:tcW w:w="180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88"/>
              </w:rPr>
              <w:t>Feet</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Occupied (1)</w:t>
            </w:r>
          </w:p>
        </w:tc>
        <w:tc>
          <w:tcPr>
            <w:tcW w:w="12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3"/>
              </w:rPr>
              <w:t>Rent (3)</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1"/>
              </w:rPr>
              <w:t>Tenants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2"/>
                <w:szCs w:val="12"/>
                <w:b w:val="1"/>
                <w:bCs w:val="1"/>
                <w:color w:val="auto"/>
                <w:w w:val="95"/>
              </w:rPr>
              <w:t>Foot (4)</w:t>
            </w:r>
          </w:p>
        </w:tc>
        <w:tc>
          <w:tcPr>
            <w:tcW w:w="0" w:type="dxa"/>
            <w:vAlign w:val="bottom"/>
          </w:tcPr>
          <w:p>
            <w:pPr>
              <w:spacing w:after="0"/>
              <w:rPr>
                <w:sz w:val="1"/>
                <w:szCs w:val="1"/>
                <w:color w:val="auto"/>
              </w:rPr>
            </w:pPr>
          </w:p>
        </w:tc>
      </w:tr>
      <w:tr>
        <w:trPr>
          <w:trHeight w:val="173"/>
        </w:trPr>
        <w:tc>
          <w:tcPr>
            <w:tcW w:w="2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CONSOLIDATED OFFICE PROPERTIES</w:t>
            </w:r>
          </w:p>
        </w:tc>
        <w:tc>
          <w:tcPr>
            <w:tcW w:w="82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ind w:left="20"/>
              <w:spacing w:after="0"/>
              <w:rPr>
                <w:sz w:val="20"/>
                <w:szCs w:val="20"/>
                <w:color w:val="auto"/>
              </w:rPr>
            </w:pPr>
            <w:r>
              <w:rPr>
                <w:rFonts w:ascii="Arial" w:cs="Arial" w:eastAsia="Arial" w:hAnsi="Arial"/>
                <w:sz w:val="12"/>
                <w:szCs w:val="12"/>
                <w:b w:val="1"/>
                <w:bCs w:val="1"/>
                <w:color w:val="auto"/>
              </w:rPr>
              <w:t>"Same Store"</w:t>
            </w: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100</w:t>
            </w:r>
          </w:p>
        </w:tc>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Church Street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1959/2010</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Downtown</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1,047,500</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93"/>
              </w:rPr>
              <w:t>90.3%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45,818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3.6%</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45.38</w:t>
            </w:r>
          </w:p>
        </w:tc>
        <w:tc>
          <w:tcPr>
            <w:tcW w:w="0" w:type="dxa"/>
            <w:vAlign w:val="bottom"/>
          </w:tcPr>
          <w:p>
            <w:pPr>
              <w:spacing w:after="0"/>
              <w:rPr>
                <w:sz w:val="1"/>
                <w:szCs w:val="1"/>
                <w:color w:val="auto"/>
              </w:rPr>
            </w:pPr>
          </w:p>
        </w:tc>
      </w:tr>
      <w:tr>
        <w:trPr>
          <w:trHeight w:val="165"/>
        </w:trPr>
        <w:tc>
          <w:tcPr>
            <w:tcW w:w="2800" w:type="dxa"/>
            <w:vAlign w:val="bottom"/>
            <w:gridSpan w:val="2"/>
          </w:tcPr>
          <w:p>
            <w:pPr>
              <w:ind w:left="20"/>
              <w:spacing w:after="0"/>
              <w:rPr>
                <w:sz w:val="20"/>
                <w:szCs w:val="20"/>
                <w:color w:val="auto"/>
              </w:rPr>
            </w:pPr>
            <w:r>
              <w:rPr>
                <w:rFonts w:ascii="Arial" w:cs="Arial" w:eastAsia="Arial" w:hAnsi="Arial"/>
                <w:sz w:val="12"/>
                <w:szCs w:val="12"/>
                <w:color w:val="auto"/>
              </w:rPr>
              <w:t>110 Greene Street</w:t>
            </w:r>
          </w:p>
        </w:tc>
        <w:tc>
          <w:tcPr>
            <w:tcW w:w="820" w:type="dxa"/>
            <w:vAlign w:val="bottom"/>
          </w:tcPr>
          <w:p>
            <w:pPr>
              <w:jc w:val="right"/>
              <w:spacing w:after="0"/>
              <w:rPr>
                <w:sz w:val="20"/>
                <w:szCs w:val="20"/>
                <w:color w:val="auto"/>
              </w:rPr>
            </w:pPr>
            <w:r>
              <w:rPr>
                <w:rFonts w:ascii="Arial" w:cs="Arial" w:eastAsia="Arial" w:hAnsi="Arial"/>
                <w:sz w:val="12"/>
                <w:szCs w:val="12"/>
                <w:color w:val="auto"/>
              </w:rPr>
              <w:t>1908/1920</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Soho</w:t>
            </w:r>
          </w:p>
        </w:tc>
        <w:tc>
          <w:tcPr>
            <w:tcW w:w="1020" w:type="dxa"/>
            <w:vAlign w:val="bottom"/>
          </w:tcPr>
          <w:p>
            <w:pPr>
              <w:jc w:val="right"/>
              <w:spacing w:after="0"/>
              <w:rPr>
                <w:sz w:val="20"/>
                <w:szCs w:val="20"/>
                <w:color w:val="auto"/>
              </w:rPr>
            </w:pPr>
            <w:r>
              <w:rPr>
                <w:rFonts w:ascii="Arial" w:cs="Arial" w:eastAsia="Arial" w:hAnsi="Arial"/>
                <w:sz w:val="12"/>
                <w:szCs w:val="12"/>
                <w:color w:val="auto"/>
              </w:rPr>
              <w:t>223,600</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93"/>
              </w:rPr>
              <w:t>86.1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16,452</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1.3</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90.60</w:t>
            </w: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125</w:t>
            </w:r>
          </w:p>
        </w:tc>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Park Avenue</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1923/2006</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Grand Central</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604,245</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95.7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45,962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3.6</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74.43</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Arial" w:cs="Arial" w:eastAsia="Arial" w:hAnsi="Arial"/>
                <w:sz w:val="12"/>
                <w:szCs w:val="12"/>
                <w:color w:val="auto"/>
                <w:w w:val="89"/>
              </w:rPr>
              <w:t>304</w:t>
            </w:r>
          </w:p>
        </w:tc>
        <w:tc>
          <w:tcPr>
            <w:tcW w:w="2580" w:type="dxa"/>
            <w:vAlign w:val="bottom"/>
          </w:tcPr>
          <w:p>
            <w:pPr>
              <w:ind w:left="20"/>
              <w:spacing w:after="0"/>
              <w:rPr>
                <w:sz w:val="20"/>
                <w:szCs w:val="20"/>
                <w:color w:val="auto"/>
              </w:rPr>
            </w:pPr>
            <w:r>
              <w:rPr>
                <w:rFonts w:ascii="Arial" w:cs="Arial" w:eastAsia="Arial" w:hAnsi="Arial"/>
                <w:sz w:val="12"/>
                <w:szCs w:val="12"/>
                <w:color w:val="auto"/>
              </w:rPr>
              <w:t>Park Avenue South</w:t>
            </w:r>
          </w:p>
        </w:tc>
        <w:tc>
          <w:tcPr>
            <w:tcW w:w="820" w:type="dxa"/>
            <w:vAlign w:val="bottom"/>
          </w:tcPr>
          <w:p>
            <w:pPr>
              <w:jc w:val="right"/>
              <w:spacing w:after="0"/>
              <w:rPr>
                <w:sz w:val="20"/>
                <w:szCs w:val="20"/>
                <w:color w:val="auto"/>
              </w:rPr>
            </w:pPr>
            <w:r>
              <w:rPr>
                <w:rFonts w:ascii="Arial" w:cs="Arial" w:eastAsia="Arial" w:hAnsi="Arial"/>
                <w:sz w:val="12"/>
                <w:szCs w:val="12"/>
                <w:color w:val="auto"/>
              </w:rPr>
              <w:t>1930</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Midtown South</w:t>
            </w:r>
          </w:p>
        </w:tc>
        <w:tc>
          <w:tcPr>
            <w:tcW w:w="1020" w:type="dxa"/>
            <w:vAlign w:val="bottom"/>
          </w:tcPr>
          <w:p>
            <w:pPr>
              <w:jc w:val="right"/>
              <w:spacing w:after="0"/>
              <w:rPr>
                <w:sz w:val="20"/>
                <w:szCs w:val="20"/>
                <w:color w:val="auto"/>
              </w:rPr>
            </w:pPr>
            <w:r>
              <w:rPr>
                <w:rFonts w:ascii="Arial" w:cs="Arial" w:eastAsia="Arial" w:hAnsi="Arial"/>
                <w:sz w:val="12"/>
                <w:szCs w:val="12"/>
                <w:color w:val="auto"/>
              </w:rPr>
              <w:t>215,000</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93"/>
              </w:rPr>
              <w:t>100.0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18,231</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1.4</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89"/>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84.20</w:t>
            </w: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420</w:t>
            </w:r>
          </w:p>
        </w:tc>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Lexington Ave (Graybar)</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1927/1999</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Grand Central North</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1,188,000</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85.0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80,559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6.3</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89"/>
              </w:rPr>
              <w:t>169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64.67</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Arial" w:cs="Arial" w:eastAsia="Arial" w:hAnsi="Arial"/>
                <w:sz w:val="12"/>
                <w:szCs w:val="12"/>
                <w:color w:val="auto"/>
                <w:w w:val="89"/>
              </w:rPr>
              <w:t>461</w:t>
            </w:r>
          </w:p>
        </w:tc>
        <w:tc>
          <w:tcPr>
            <w:tcW w:w="2580" w:type="dxa"/>
            <w:vAlign w:val="bottom"/>
          </w:tcPr>
          <w:p>
            <w:pPr>
              <w:ind w:left="20"/>
              <w:spacing w:after="0"/>
              <w:rPr>
                <w:sz w:val="20"/>
                <w:szCs w:val="20"/>
                <w:color w:val="auto"/>
              </w:rPr>
            </w:pPr>
            <w:r>
              <w:rPr>
                <w:rFonts w:ascii="Arial" w:cs="Arial" w:eastAsia="Arial" w:hAnsi="Arial"/>
                <w:sz w:val="12"/>
                <w:szCs w:val="12"/>
                <w:color w:val="auto"/>
              </w:rPr>
              <w:t>Fifth Avenue</w:t>
            </w:r>
          </w:p>
        </w:tc>
        <w:tc>
          <w:tcPr>
            <w:tcW w:w="820" w:type="dxa"/>
            <w:vAlign w:val="bottom"/>
          </w:tcPr>
          <w:p>
            <w:pPr>
              <w:jc w:val="right"/>
              <w:spacing w:after="0"/>
              <w:rPr>
                <w:sz w:val="20"/>
                <w:szCs w:val="20"/>
                <w:color w:val="auto"/>
              </w:rPr>
            </w:pPr>
            <w:r>
              <w:rPr>
                <w:rFonts w:ascii="Arial" w:cs="Arial" w:eastAsia="Arial" w:hAnsi="Arial"/>
                <w:sz w:val="12"/>
                <w:szCs w:val="12"/>
                <w:color w:val="auto"/>
              </w:rPr>
              <w:t>1988</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Midtown</w:t>
            </w:r>
          </w:p>
        </w:tc>
        <w:tc>
          <w:tcPr>
            <w:tcW w:w="1020" w:type="dxa"/>
            <w:vAlign w:val="bottom"/>
          </w:tcPr>
          <w:p>
            <w:pPr>
              <w:jc w:val="right"/>
              <w:spacing w:after="0"/>
              <w:rPr>
                <w:sz w:val="20"/>
                <w:szCs w:val="20"/>
                <w:color w:val="auto"/>
              </w:rPr>
            </w:pPr>
            <w:r>
              <w:rPr>
                <w:rFonts w:ascii="Arial" w:cs="Arial" w:eastAsia="Arial" w:hAnsi="Arial"/>
                <w:sz w:val="12"/>
                <w:szCs w:val="12"/>
                <w:color w:val="auto"/>
              </w:rPr>
              <w:t>200,000</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93"/>
              </w:rPr>
              <w:t>77.1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14,311</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1.1</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89.09</w:t>
            </w: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485</w:t>
            </w:r>
          </w:p>
        </w:tc>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Lexington Avenue</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1956/2006</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Grand Central North</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921,000</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76.6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47,744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3.7</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68.20</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Arial" w:cs="Arial" w:eastAsia="Arial" w:hAnsi="Arial"/>
                <w:sz w:val="12"/>
                <w:szCs w:val="12"/>
                <w:color w:val="auto"/>
                <w:w w:val="89"/>
              </w:rPr>
              <w:t>555</w:t>
            </w:r>
          </w:p>
        </w:tc>
        <w:tc>
          <w:tcPr>
            <w:tcW w:w="2580" w:type="dxa"/>
            <w:vAlign w:val="bottom"/>
          </w:tcPr>
          <w:p>
            <w:pPr>
              <w:ind w:left="20"/>
              <w:spacing w:after="0"/>
              <w:rPr>
                <w:sz w:val="20"/>
                <w:szCs w:val="20"/>
                <w:color w:val="auto"/>
              </w:rPr>
            </w:pPr>
            <w:r>
              <w:rPr>
                <w:rFonts w:ascii="Arial" w:cs="Arial" w:eastAsia="Arial" w:hAnsi="Arial"/>
                <w:sz w:val="12"/>
                <w:szCs w:val="12"/>
                <w:color w:val="auto"/>
              </w:rPr>
              <w:t>West 57th Street</w:t>
            </w:r>
          </w:p>
        </w:tc>
        <w:tc>
          <w:tcPr>
            <w:tcW w:w="820" w:type="dxa"/>
            <w:vAlign w:val="bottom"/>
          </w:tcPr>
          <w:p>
            <w:pPr>
              <w:jc w:val="right"/>
              <w:spacing w:after="0"/>
              <w:rPr>
                <w:sz w:val="20"/>
                <w:szCs w:val="20"/>
                <w:color w:val="auto"/>
              </w:rPr>
            </w:pPr>
            <w:r>
              <w:rPr>
                <w:rFonts w:ascii="Arial" w:cs="Arial" w:eastAsia="Arial" w:hAnsi="Arial"/>
                <w:sz w:val="12"/>
                <w:szCs w:val="12"/>
                <w:color w:val="auto"/>
              </w:rPr>
              <w:t>1971</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Midtown West</w:t>
            </w:r>
          </w:p>
        </w:tc>
        <w:tc>
          <w:tcPr>
            <w:tcW w:w="1020" w:type="dxa"/>
            <w:vAlign w:val="bottom"/>
          </w:tcPr>
          <w:p>
            <w:pPr>
              <w:jc w:val="right"/>
              <w:spacing w:after="0"/>
              <w:rPr>
                <w:sz w:val="20"/>
                <w:szCs w:val="20"/>
                <w:color w:val="auto"/>
              </w:rPr>
            </w:pPr>
            <w:r>
              <w:rPr>
                <w:rFonts w:ascii="Arial" w:cs="Arial" w:eastAsia="Arial" w:hAnsi="Arial"/>
                <w:sz w:val="12"/>
                <w:szCs w:val="12"/>
                <w:color w:val="auto"/>
              </w:rPr>
              <w:t>941,000</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93"/>
              </w:rPr>
              <w:t>96.8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53,847</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4.2</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89"/>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52.41</w:t>
            </w:r>
          </w:p>
        </w:tc>
        <w:tc>
          <w:tcPr>
            <w:tcW w:w="0" w:type="dxa"/>
            <w:vAlign w:val="bottom"/>
          </w:tcPr>
          <w:p>
            <w:pPr>
              <w:spacing w:after="0"/>
              <w:rPr>
                <w:sz w:val="1"/>
                <w:szCs w:val="1"/>
                <w:color w:val="auto"/>
              </w:rPr>
            </w:pPr>
          </w:p>
        </w:tc>
      </w:tr>
      <w:tr>
        <w:trPr>
          <w:trHeight w:val="181"/>
        </w:trPr>
        <w:tc>
          <w:tcPr>
            <w:tcW w:w="28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2"/>
                <w:szCs w:val="12"/>
                <w:color w:val="auto"/>
              </w:rPr>
              <w:t xml:space="preserve">711 Third Avenue </w:t>
            </w:r>
            <w:r>
              <w:rPr>
                <w:rFonts w:ascii="Arial" w:cs="Arial" w:eastAsia="Arial" w:hAnsi="Arial"/>
                <w:sz w:val="16"/>
                <w:szCs w:val="16"/>
                <w:color w:val="auto"/>
                <w:vertAlign w:val="superscript"/>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1955</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Grand Central North</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524,000</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94.7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35,735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2.8</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64.88</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Arial" w:cs="Arial" w:eastAsia="Arial" w:hAnsi="Arial"/>
                <w:sz w:val="12"/>
                <w:szCs w:val="12"/>
                <w:color w:val="auto"/>
                <w:w w:val="89"/>
              </w:rPr>
              <w:t>810</w:t>
            </w:r>
          </w:p>
        </w:tc>
        <w:tc>
          <w:tcPr>
            <w:tcW w:w="2580" w:type="dxa"/>
            <w:vAlign w:val="bottom"/>
          </w:tcPr>
          <w:p>
            <w:pPr>
              <w:ind w:left="20"/>
              <w:spacing w:after="0"/>
              <w:rPr>
                <w:sz w:val="20"/>
                <w:szCs w:val="20"/>
                <w:color w:val="auto"/>
              </w:rPr>
            </w:pPr>
            <w:r>
              <w:rPr>
                <w:rFonts w:ascii="Arial" w:cs="Arial" w:eastAsia="Arial" w:hAnsi="Arial"/>
                <w:sz w:val="12"/>
                <w:szCs w:val="12"/>
                <w:color w:val="auto"/>
              </w:rPr>
              <w:t>Seventh Avenue</w:t>
            </w:r>
          </w:p>
        </w:tc>
        <w:tc>
          <w:tcPr>
            <w:tcW w:w="820" w:type="dxa"/>
            <w:vAlign w:val="bottom"/>
          </w:tcPr>
          <w:p>
            <w:pPr>
              <w:jc w:val="right"/>
              <w:spacing w:after="0"/>
              <w:rPr>
                <w:sz w:val="20"/>
                <w:szCs w:val="20"/>
                <w:color w:val="auto"/>
              </w:rPr>
            </w:pPr>
            <w:r>
              <w:rPr>
                <w:rFonts w:ascii="Arial" w:cs="Arial" w:eastAsia="Arial" w:hAnsi="Arial"/>
                <w:sz w:val="12"/>
                <w:szCs w:val="12"/>
                <w:color w:val="auto"/>
              </w:rPr>
              <w:t>1970</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Times Square</w:t>
            </w:r>
          </w:p>
        </w:tc>
        <w:tc>
          <w:tcPr>
            <w:tcW w:w="1020" w:type="dxa"/>
            <w:vAlign w:val="bottom"/>
          </w:tcPr>
          <w:p>
            <w:pPr>
              <w:jc w:val="right"/>
              <w:spacing w:after="0"/>
              <w:rPr>
                <w:sz w:val="20"/>
                <w:szCs w:val="20"/>
                <w:color w:val="auto"/>
              </w:rPr>
            </w:pPr>
            <w:r>
              <w:rPr>
                <w:rFonts w:ascii="Arial" w:cs="Arial" w:eastAsia="Arial" w:hAnsi="Arial"/>
                <w:sz w:val="12"/>
                <w:szCs w:val="12"/>
                <w:color w:val="auto"/>
              </w:rPr>
              <w:t>692,000</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93"/>
              </w:rPr>
              <w:t>86.5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42,664</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3.3</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74.16</w:t>
            </w:r>
          </w:p>
        </w:tc>
        <w:tc>
          <w:tcPr>
            <w:tcW w:w="0" w:type="dxa"/>
            <w:vAlign w:val="bottom"/>
          </w:tcPr>
          <w:p>
            <w:pPr>
              <w:spacing w:after="0"/>
              <w:rPr>
                <w:sz w:val="1"/>
                <w:szCs w:val="1"/>
                <w:color w:val="auto"/>
              </w:rPr>
            </w:pPr>
          </w:p>
        </w:tc>
      </w:tr>
      <w:tr>
        <w:trPr>
          <w:trHeight w:val="18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1185 Avenue of the Americas</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1969</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Rockefeller Center</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1,062,000</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69.3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65,087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5.1</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84.36</w:t>
            </w:r>
          </w:p>
        </w:tc>
        <w:tc>
          <w:tcPr>
            <w:tcW w:w="0" w:type="dxa"/>
            <w:vAlign w:val="bottom"/>
          </w:tcPr>
          <w:p>
            <w:pPr>
              <w:spacing w:after="0"/>
              <w:rPr>
                <w:sz w:val="1"/>
                <w:szCs w:val="1"/>
                <w:color w:val="auto"/>
              </w:rPr>
            </w:pPr>
          </w:p>
        </w:tc>
      </w:tr>
      <w:tr>
        <w:trPr>
          <w:trHeight w:val="166"/>
        </w:trPr>
        <w:tc>
          <w:tcPr>
            <w:tcW w:w="2800" w:type="dxa"/>
            <w:vAlign w:val="bottom"/>
            <w:gridSpan w:val="2"/>
          </w:tcPr>
          <w:p>
            <w:pPr>
              <w:ind w:left="20"/>
              <w:spacing w:after="0"/>
              <w:rPr>
                <w:sz w:val="20"/>
                <w:szCs w:val="20"/>
                <w:color w:val="auto"/>
              </w:rPr>
            </w:pPr>
            <w:r>
              <w:rPr>
                <w:rFonts w:ascii="Arial" w:cs="Arial" w:eastAsia="Arial" w:hAnsi="Arial"/>
                <w:sz w:val="12"/>
                <w:szCs w:val="12"/>
                <w:color w:val="auto"/>
              </w:rPr>
              <w:t>1350 Avenue of the Americas</w:t>
            </w:r>
          </w:p>
        </w:tc>
        <w:tc>
          <w:tcPr>
            <w:tcW w:w="820" w:type="dxa"/>
            <w:vAlign w:val="bottom"/>
          </w:tcPr>
          <w:p>
            <w:pPr>
              <w:jc w:val="right"/>
              <w:spacing w:after="0"/>
              <w:rPr>
                <w:sz w:val="20"/>
                <w:szCs w:val="20"/>
                <w:color w:val="auto"/>
              </w:rPr>
            </w:pPr>
            <w:r>
              <w:rPr>
                <w:rFonts w:ascii="Arial" w:cs="Arial" w:eastAsia="Arial" w:hAnsi="Arial"/>
                <w:sz w:val="12"/>
                <w:szCs w:val="12"/>
                <w:color w:val="auto"/>
              </w:rPr>
              <w:t>1966</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Rockefeller Center</w:t>
            </w:r>
          </w:p>
        </w:tc>
        <w:tc>
          <w:tcPr>
            <w:tcW w:w="1020" w:type="dxa"/>
            <w:vAlign w:val="bottom"/>
          </w:tcPr>
          <w:p>
            <w:pPr>
              <w:jc w:val="right"/>
              <w:spacing w:after="0"/>
              <w:rPr>
                <w:sz w:val="20"/>
                <w:szCs w:val="20"/>
                <w:color w:val="auto"/>
              </w:rPr>
            </w:pPr>
            <w:r>
              <w:rPr>
                <w:rFonts w:ascii="Arial" w:cs="Arial" w:eastAsia="Arial" w:hAnsi="Arial"/>
                <w:sz w:val="12"/>
                <w:szCs w:val="12"/>
                <w:color w:val="auto"/>
              </w:rPr>
              <w:t>562,000</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93"/>
              </w:rPr>
              <w:t>88.1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40,301</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3.2</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82.07</w:t>
            </w:r>
          </w:p>
        </w:tc>
        <w:tc>
          <w:tcPr>
            <w:tcW w:w="0" w:type="dxa"/>
            <w:vAlign w:val="bottom"/>
          </w:tcPr>
          <w:p>
            <w:pPr>
              <w:spacing w:after="0"/>
              <w:rPr>
                <w:sz w:val="1"/>
                <w:szCs w:val="1"/>
                <w:color w:val="auto"/>
              </w:rPr>
            </w:pPr>
          </w:p>
        </w:tc>
      </w:tr>
      <w:tr>
        <w:trPr>
          <w:trHeight w:val="173"/>
        </w:trPr>
        <w:tc>
          <w:tcPr>
            <w:tcW w:w="280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b w:val="1"/>
                <w:bCs w:val="1"/>
                <w:color w:val="auto"/>
              </w:rPr>
              <w:t>Subtotal / Weighted Average</w:t>
            </w:r>
          </w:p>
        </w:tc>
        <w:tc>
          <w:tcPr>
            <w:tcW w:w="8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8,180,345</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86.0%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506,711</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39.6%</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89"/>
              </w:rPr>
              <w:t>441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00" w:type="dxa"/>
            <w:vAlign w:val="bottom"/>
            <w:gridSpan w:val="2"/>
          </w:tcPr>
          <w:p>
            <w:pPr>
              <w:ind w:left="20"/>
              <w:spacing w:after="0"/>
              <w:rPr>
                <w:sz w:val="20"/>
                <w:szCs w:val="20"/>
                <w:color w:val="auto"/>
              </w:rPr>
            </w:pPr>
            <w:r>
              <w:rPr>
                <w:rFonts w:ascii="Arial" w:cs="Arial" w:eastAsia="Arial" w:hAnsi="Arial"/>
                <w:sz w:val="12"/>
                <w:szCs w:val="12"/>
                <w:b w:val="1"/>
                <w:bCs w:val="1"/>
                <w:color w:val="auto"/>
              </w:rPr>
              <w:t>"Non Same Store"</w:t>
            </w:r>
          </w:p>
        </w:tc>
        <w:tc>
          <w:tcPr>
            <w:tcW w:w="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245</w:t>
            </w:r>
          </w:p>
        </w:tc>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Park Avenue</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1966</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Park Avenue</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1,782,793</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93"/>
              </w:rPr>
              <w:t>83.9%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127,442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10.0%</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91.18</w:t>
            </w:r>
          </w:p>
        </w:tc>
        <w:tc>
          <w:tcPr>
            <w:tcW w:w="0" w:type="dxa"/>
            <w:vAlign w:val="bottom"/>
          </w:tcPr>
          <w:p>
            <w:pPr>
              <w:spacing w:after="0"/>
              <w:rPr>
                <w:sz w:val="1"/>
                <w:szCs w:val="1"/>
                <w:color w:val="auto"/>
              </w:rPr>
            </w:pPr>
          </w:p>
        </w:tc>
      </w:tr>
      <w:tr>
        <w:trPr>
          <w:trHeight w:val="160"/>
        </w:trPr>
        <w:tc>
          <w:tcPr>
            <w:tcW w:w="2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2"/>
                <w:szCs w:val="12"/>
                <w:b w:val="1"/>
                <w:bCs w:val="1"/>
                <w:color w:val="auto"/>
              </w:rPr>
              <w:t>Subtotal / Weighted Average</w:t>
            </w:r>
          </w:p>
        </w:tc>
        <w:tc>
          <w:tcPr>
            <w:tcW w:w="82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1,782,793</w:t>
            </w:r>
          </w:p>
        </w:tc>
        <w:tc>
          <w:tcPr>
            <w:tcW w:w="900" w:type="dxa"/>
            <w:vAlign w:val="bottom"/>
            <w:tcBorders>
              <w:bottom w:val="single" w:sz="8" w:color="CCEEFF"/>
            </w:tcBorders>
            <w:gridSpan w:val="2"/>
          </w:tcPr>
          <w:p>
            <w:pPr>
              <w:jc w:val="center"/>
              <w:ind w:left="58"/>
              <w:spacing w:after="0"/>
              <w:rPr>
                <w:sz w:val="20"/>
                <w:szCs w:val="20"/>
                <w:color w:val="auto"/>
              </w:rPr>
            </w:pPr>
            <w:r>
              <w:rPr>
                <w:rFonts w:ascii="Arial" w:cs="Arial" w:eastAsia="Arial" w:hAnsi="Arial"/>
                <w:sz w:val="12"/>
                <w:szCs w:val="12"/>
                <w:b w:val="1"/>
                <w:bCs w:val="1"/>
                <w:color w:val="auto"/>
                <w:w w:val="99"/>
              </w:rPr>
              <w:t>83.9%</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127,442</w:t>
            </w:r>
          </w:p>
        </w:tc>
        <w:tc>
          <w:tcPr>
            <w:tcW w:w="10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10.0%</w:t>
            </w:r>
          </w:p>
        </w:tc>
        <w:tc>
          <w:tcPr>
            <w:tcW w:w="1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17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420" w:type="dxa"/>
            <w:vAlign w:val="bottom"/>
            <w:gridSpan w:val="5"/>
          </w:tcPr>
          <w:p>
            <w:pPr>
              <w:ind w:left="140"/>
              <w:spacing w:after="0"/>
              <w:rPr>
                <w:sz w:val="20"/>
                <w:szCs w:val="20"/>
                <w:color w:val="auto"/>
              </w:rPr>
            </w:pPr>
            <w:r>
              <w:rPr>
                <w:rFonts w:ascii="Arial" w:cs="Arial" w:eastAsia="Arial" w:hAnsi="Arial"/>
                <w:sz w:val="12"/>
                <w:szCs w:val="12"/>
                <w:b w:val="1"/>
                <w:bCs w:val="1"/>
                <w:color w:val="auto"/>
              </w:rPr>
              <w:t>Total / Weighted Average Manhattan Consolidated Office Properties</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9,963,138</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b w:val="1"/>
                <w:bCs w:val="1"/>
                <w:color w:val="auto"/>
                <w:w w:val="99"/>
              </w:rPr>
              <w:t>85.7%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634,153</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9"/>
              </w:rPr>
              <w:t>49.6%</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b w:val="1"/>
                <w:bCs w:val="1"/>
                <w:color w:val="auto"/>
                <w:w w:val="89"/>
              </w:rPr>
              <w:t>458</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70.89</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ind w:left="20"/>
              <w:spacing w:after="0"/>
              <w:rPr>
                <w:sz w:val="20"/>
                <w:szCs w:val="20"/>
                <w:color w:val="auto"/>
              </w:rPr>
            </w:pPr>
            <w:r>
              <w:rPr>
                <w:rFonts w:ascii="Arial" w:cs="Arial" w:eastAsia="Arial" w:hAnsi="Arial"/>
                <w:sz w:val="12"/>
                <w:szCs w:val="12"/>
                <w:b w:val="1"/>
                <w:bCs w:val="1"/>
                <w:color w:val="auto"/>
              </w:rPr>
              <w:t>UNCONSOLIDATED OFFICE PROPERTIES</w:t>
            </w: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"Same Store"</w:t>
            </w:r>
          </w:p>
        </w:tc>
        <w:tc>
          <w:tcPr>
            <w:tcW w:w="8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800" w:type="dxa"/>
            <w:vAlign w:val="bottom"/>
            <w:gridSpan w:val="2"/>
          </w:tcPr>
          <w:p>
            <w:pPr>
              <w:ind w:left="20"/>
              <w:spacing w:after="0"/>
              <w:rPr>
                <w:sz w:val="20"/>
                <w:szCs w:val="20"/>
                <w:color w:val="auto"/>
              </w:rPr>
            </w:pPr>
            <w:r>
              <w:rPr>
                <w:rFonts w:ascii="Arial" w:cs="Arial" w:eastAsia="Arial" w:hAnsi="Arial"/>
                <w:sz w:val="12"/>
                <w:szCs w:val="12"/>
                <w:color w:val="auto"/>
              </w:rPr>
              <w:t>2 Herald Square—51.00%</w:t>
            </w:r>
          </w:p>
        </w:tc>
        <w:tc>
          <w:tcPr>
            <w:tcW w:w="820" w:type="dxa"/>
            <w:vAlign w:val="bottom"/>
          </w:tcPr>
          <w:p>
            <w:pPr>
              <w:jc w:val="right"/>
              <w:spacing w:after="0"/>
              <w:rPr>
                <w:sz w:val="20"/>
                <w:szCs w:val="20"/>
                <w:color w:val="auto"/>
              </w:rPr>
            </w:pPr>
            <w:r>
              <w:rPr>
                <w:rFonts w:ascii="Arial" w:cs="Arial" w:eastAsia="Arial" w:hAnsi="Arial"/>
                <w:sz w:val="12"/>
                <w:szCs w:val="12"/>
                <w:color w:val="auto"/>
              </w:rPr>
              <w:t>1909</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Herald Square</w:t>
            </w:r>
          </w:p>
        </w:tc>
        <w:tc>
          <w:tcPr>
            <w:tcW w:w="1020" w:type="dxa"/>
            <w:vAlign w:val="bottom"/>
          </w:tcPr>
          <w:p>
            <w:pPr>
              <w:jc w:val="right"/>
              <w:spacing w:after="0"/>
              <w:rPr>
                <w:sz w:val="20"/>
                <w:szCs w:val="20"/>
                <w:color w:val="auto"/>
              </w:rPr>
            </w:pPr>
            <w:r>
              <w:rPr>
                <w:rFonts w:ascii="Arial" w:cs="Arial" w:eastAsia="Arial" w:hAnsi="Arial"/>
                <w:sz w:val="12"/>
                <w:szCs w:val="12"/>
                <w:color w:val="auto"/>
              </w:rPr>
              <w:t>369,000</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93"/>
              </w:rPr>
              <w:t>84.6%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30,952</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4"/>
              </w:rPr>
              <w:t>1.2%</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89"/>
              </w:rPr>
              <w:t>5</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97.28</w:t>
            </w:r>
          </w:p>
        </w:tc>
        <w:tc>
          <w:tcPr>
            <w:tcW w:w="0" w:type="dxa"/>
            <w:vAlign w:val="bottom"/>
          </w:tcPr>
          <w:p>
            <w:pPr>
              <w:spacing w:after="0"/>
              <w:rPr>
                <w:sz w:val="1"/>
                <w:szCs w:val="1"/>
                <w:color w:val="auto"/>
              </w:rPr>
            </w:pPr>
          </w:p>
        </w:tc>
      </w:tr>
      <w:tr>
        <w:trPr>
          <w:trHeight w:val="18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10 East 53rd Street—55.00%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1972/2014</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Plaza District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354,300</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96.0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31,717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1.4</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86.24</w:t>
            </w:r>
          </w:p>
        </w:tc>
        <w:tc>
          <w:tcPr>
            <w:tcW w:w="0" w:type="dxa"/>
            <w:vAlign w:val="bottom"/>
          </w:tcPr>
          <w:p>
            <w:pPr>
              <w:spacing w:after="0"/>
              <w:rPr>
                <w:sz w:val="1"/>
                <w:szCs w:val="1"/>
                <w:color w:val="auto"/>
              </w:rPr>
            </w:pPr>
          </w:p>
        </w:tc>
      </w:tr>
      <w:tr>
        <w:trPr>
          <w:trHeight w:val="165"/>
        </w:trPr>
        <w:tc>
          <w:tcPr>
            <w:tcW w:w="2800" w:type="dxa"/>
            <w:vAlign w:val="bottom"/>
            <w:gridSpan w:val="2"/>
          </w:tcPr>
          <w:p>
            <w:pPr>
              <w:ind w:left="20"/>
              <w:spacing w:after="0"/>
              <w:rPr>
                <w:sz w:val="20"/>
                <w:szCs w:val="20"/>
                <w:color w:val="auto"/>
              </w:rPr>
            </w:pPr>
            <w:r>
              <w:rPr>
                <w:rFonts w:ascii="Arial" w:cs="Arial" w:eastAsia="Arial" w:hAnsi="Arial"/>
                <w:sz w:val="12"/>
                <w:szCs w:val="12"/>
                <w:color w:val="auto"/>
              </w:rPr>
              <w:t>11 Madison Avenue—60.00%</w:t>
            </w:r>
          </w:p>
        </w:tc>
        <w:tc>
          <w:tcPr>
            <w:tcW w:w="820" w:type="dxa"/>
            <w:vAlign w:val="bottom"/>
          </w:tcPr>
          <w:p>
            <w:pPr>
              <w:jc w:val="right"/>
              <w:spacing w:after="0"/>
              <w:rPr>
                <w:sz w:val="20"/>
                <w:szCs w:val="20"/>
                <w:color w:val="auto"/>
              </w:rPr>
            </w:pPr>
            <w:r>
              <w:rPr>
                <w:rFonts w:ascii="Arial" w:cs="Arial" w:eastAsia="Arial" w:hAnsi="Arial"/>
                <w:sz w:val="12"/>
                <w:szCs w:val="12"/>
                <w:color w:val="auto"/>
              </w:rPr>
              <w:t>1929</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Park Avenue South</w:t>
            </w:r>
          </w:p>
        </w:tc>
        <w:tc>
          <w:tcPr>
            <w:tcW w:w="1020" w:type="dxa"/>
            <w:vAlign w:val="bottom"/>
          </w:tcPr>
          <w:p>
            <w:pPr>
              <w:jc w:val="right"/>
              <w:spacing w:after="0"/>
              <w:rPr>
                <w:sz w:val="20"/>
                <w:szCs w:val="20"/>
                <w:color w:val="auto"/>
              </w:rPr>
            </w:pPr>
            <w:r>
              <w:rPr>
                <w:rFonts w:ascii="Arial" w:cs="Arial" w:eastAsia="Arial" w:hAnsi="Arial"/>
                <w:sz w:val="12"/>
                <w:szCs w:val="12"/>
                <w:color w:val="auto"/>
              </w:rPr>
              <w:t>2,314,000</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93"/>
              </w:rPr>
              <w:t>96.4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166,939</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7.8</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89"/>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75.84</w:t>
            </w: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100</w:t>
            </w:r>
          </w:p>
        </w:tc>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Park Avenue—50.00%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1950/1980</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Grand Central South</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834,000</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84.2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60,820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2.4</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81.88</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Arial" w:cs="Arial" w:eastAsia="Arial" w:hAnsi="Arial"/>
                <w:sz w:val="12"/>
                <w:szCs w:val="12"/>
                <w:color w:val="auto"/>
                <w:w w:val="89"/>
              </w:rPr>
              <w:t>280</w:t>
            </w:r>
          </w:p>
        </w:tc>
        <w:tc>
          <w:tcPr>
            <w:tcW w:w="2580" w:type="dxa"/>
            <w:vAlign w:val="bottom"/>
          </w:tcPr>
          <w:p>
            <w:pPr>
              <w:ind w:left="20"/>
              <w:spacing w:after="0"/>
              <w:rPr>
                <w:sz w:val="20"/>
                <w:szCs w:val="20"/>
                <w:color w:val="auto"/>
              </w:rPr>
            </w:pPr>
            <w:r>
              <w:rPr>
                <w:rFonts w:ascii="Arial" w:cs="Arial" w:eastAsia="Arial" w:hAnsi="Arial"/>
                <w:sz w:val="12"/>
                <w:szCs w:val="12"/>
                <w:color w:val="auto"/>
              </w:rPr>
              <w:t>Park Avenue—50.00%</w:t>
            </w:r>
          </w:p>
        </w:tc>
        <w:tc>
          <w:tcPr>
            <w:tcW w:w="820" w:type="dxa"/>
            <w:vAlign w:val="bottom"/>
          </w:tcPr>
          <w:p>
            <w:pPr>
              <w:jc w:val="right"/>
              <w:spacing w:after="0"/>
              <w:rPr>
                <w:sz w:val="20"/>
                <w:szCs w:val="20"/>
                <w:color w:val="auto"/>
              </w:rPr>
            </w:pPr>
            <w:r>
              <w:rPr>
                <w:rFonts w:ascii="Arial" w:cs="Arial" w:eastAsia="Arial" w:hAnsi="Arial"/>
                <w:sz w:val="12"/>
                <w:szCs w:val="12"/>
                <w:color w:val="auto"/>
              </w:rPr>
              <w:t>1961</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Park Avenue</w:t>
            </w:r>
          </w:p>
        </w:tc>
        <w:tc>
          <w:tcPr>
            <w:tcW w:w="1020" w:type="dxa"/>
            <w:vAlign w:val="bottom"/>
          </w:tcPr>
          <w:p>
            <w:pPr>
              <w:jc w:val="right"/>
              <w:spacing w:after="0"/>
              <w:rPr>
                <w:sz w:val="20"/>
                <w:szCs w:val="20"/>
                <w:color w:val="auto"/>
              </w:rPr>
            </w:pPr>
            <w:r>
              <w:rPr>
                <w:rFonts w:ascii="Arial" w:cs="Arial" w:eastAsia="Arial" w:hAnsi="Arial"/>
                <w:sz w:val="12"/>
                <w:szCs w:val="12"/>
                <w:color w:val="auto"/>
              </w:rPr>
              <w:t>1,219,158</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93"/>
              </w:rPr>
              <w:t>95.9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130,909</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5.1</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106.88</w:t>
            </w: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800</w:t>
            </w:r>
          </w:p>
        </w:tc>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Third Avenue—60.50%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1972/2006</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Grand Central North</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526,000</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84.2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35,896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1.7</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76.03</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Arial" w:cs="Arial" w:eastAsia="Arial" w:hAnsi="Arial"/>
                <w:sz w:val="12"/>
                <w:szCs w:val="12"/>
                <w:color w:val="auto"/>
                <w:w w:val="89"/>
              </w:rPr>
              <w:t>919</w:t>
            </w:r>
          </w:p>
        </w:tc>
        <w:tc>
          <w:tcPr>
            <w:tcW w:w="2580" w:type="dxa"/>
            <w:vAlign w:val="bottom"/>
          </w:tcPr>
          <w:p>
            <w:pPr>
              <w:ind w:left="20"/>
              <w:spacing w:after="0"/>
              <w:rPr>
                <w:sz w:val="20"/>
                <w:szCs w:val="20"/>
                <w:color w:val="auto"/>
              </w:rPr>
            </w:pPr>
            <w:r>
              <w:rPr>
                <w:rFonts w:ascii="Arial" w:cs="Arial" w:eastAsia="Arial" w:hAnsi="Arial"/>
                <w:sz w:val="12"/>
                <w:szCs w:val="12"/>
                <w:color w:val="auto"/>
              </w:rPr>
              <w:t>Third Avenue—51.00%</w:t>
            </w:r>
          </w:p>
        </w:tc>
        <w:tc>
          <w:tcPr>
            <w:tcW w:w="820" w:type="dxa"/>
            <w:vAlign w:val="bottom"/>
          </w:tcPr>
          <w:p>
            <w:pPr>
              <w:jc w:val="right"/>
              <w:spacing w:after="0"/>
              <w:rPr>
                <w:sz w:val="20"/>
                <w:szCs w:val="20"/>
                <w:color w:val="auto"/>
              </w:rPr>
            </w:pPr>
            <w:r>
              <w:rPr>
                <w:rFonts w:ascii="Arial" w:cs="Arial" w:eastAsia="Arial" w:hAnsi="Arial"/>
                <w:sz w:val="12"/>
                <w:szCs w:val="12"/>
                <w:color w:val="auto"/>
              </w:rPr>
              <w:t>1970</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Grand Central North</w:t>
            </w:r>
          </w:p>
        </w:tc>
        <w:tc>
          <w:tcPr>
            <w:tcW w:w="1020" w:type="dxa"/>
            <w:vAlign w:val="bottom"/>
          </w:tcPr>
          <w:p>
            <w:pPr>
              <w:jc w:val="right"/>
              <w:spacing w:after="0"/>
              <w:rPr>
                <w:sz w:val="20"/>
                <w:szCs w:val="20"/>
                <w:color w:val="auto"/>
              </w:rPr>
            </w:pPr>
            <w:r>
              <w:rPr>
                <w:rFonts w:ascii="Arial" w:cs="Arial" w:eastAsia="Arial" w:hAnsi="Arial"/>
                <w:sz w:val="12"/>
                <w:szCs w:val="12"/>
                <w:color w:val="auto"/>
              </w:rPr>
              <w:t>1,454,000</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93"/>
              </w:rPr>
              <w:t>99.9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114,175</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4.6</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89"/>
              </w:rPr>
              <w:t>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73.13</w:t>
            </w:r>
          </w:p>
        </w:tc>
        <w:tc>
          <w:tcPr>
            <w:tcW w:w="0" w:type="dxa"/>
            <w:vAlign w:val="bottom"/>
          </w:tcPr>
          <w:p>
            <w:pPr>
              <w:spacing w:after="0"/>
              <w:rPr>
                <w:sz w:val="1"/>
                <w:szCs w:val="1"/>
                <w:color w:val="auto"/>
              </w:rPr>
            </w:pPr>
          </w:p>
        </w:tc>
      </w:tr>
      <w:tr>
        <w:trPr>
          <w:trHeight w:val="18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1515 Broadway—56.90%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1972</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Times Square</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1,750,000</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99.7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131,316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5.8</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89"/>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73.68</w:t>
            </w:r>
          </w:p>
        </w:tc>
        <w:tc>
          <w:tcPr>
            <w:tcW w:w="0" w:type="dxa"/>
            <w:vAlign w:val="bottom"/>
          </w:tcPr>
          <w:p>
            <w:pPr>
              <w:spacing w:after="0"/>
              <w:rPr>
                <w:sz w:val="1"/>
                <w:szCs w:val="1"/>
                <w:color w:val="auto"/>
              </w:rPr>
            </w:pPr>
          </w:p>
        </w:tc>
      </w:tr>
      <w:tr>
        <w:trPr>
          <w:trHeight w:val="166"/>
        </w:trPr>
        <w:tc>
          <w:tcPr>
            <w:tcW w:w="2800" w:type="dxa"/>
            <w:vAlign w:val="bottom"/>
            <w:gridSpan w:val="2"/>
          </w:tcPr>
          <w:p>
            <w:pPr>
              <w:ind w:left="20"/>
              <w:spacing w:after="0"/>
              <w:rPr>
                <w:sz w:val="20"/>
                <w:szCs w:val="20"/>
                <w:color w:val="auto"/>
              </w:rPr>
            </w:pPr>
            <w:r>
              <w:rPr>
                <w:rFonts w:ascii="Arial" w:cs="Arial" w:eastAsia="Arial" w:hAnsi="Arial"/>
                <w:sz w:val="12"/>
                <w:szCs w:val="12"/>
                <w:color w:val="auto"/>
              </w:rPr>
              <w:t>Worldwide Plaza—25.00%</w:t>
            </w:r>
          </w:p>
        </w:tc>
        <w:tc>
          <w:tcPr>
            <w:tcW w:w="820" w:type="dxa"/>
            <w:vAlign w:val="bottom"/>
          </w:tcPr>
          <w:p>
            <w:pPr>
              <w:jc w:val="right"/>
              <w:spacing w:after="0"/>
              <w:rPr>
                <w:sz w:val="20"/>
                <w:szCs w:val="20"/>
                <w:color w:val="auto"/>
              </w:rPr>
            </w:pPr>
            <w:r>
              <w:rPr>
                <w:rFonts w:ascii="Arial" w:cs="Arial" w:eastAsia="Arial" w:hAnsi="Arial"/>
                <w:sz w:val="12"/>
                <w:szCs w:val="12"/>
                <w:color w:val="auto"/>
              </w:rPr>
              <w:t>1989/2013</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Westside</w:t>
            </w:r>
          </w:p>
        </w:tc>
        <w:tc>
          <w:tcPr>
            <w:tcW w:w="1020" w:type="dxa"/>
            <w:vAlign w:val="bottom"/>
          </w:tcPr>
          <w:p>
            <w:pPr>
              <w:jc w:val="right"/>
              <w:spacing w:after="0"/>
              <w:rPr>
                <w:sz w:val="20"/>
                <w:szCs w:val="20"/>
                <w:color w:val="auto"/>
              </w:rPr>
            </w:pPr>
            <w:r>
              <w:rPr>
                <w:rFonts w:ascii="Arial" w:cs="Arial" w:eastAsia="Arial" w:hAnsi="Arial"/>
                <w:sz w:val="12"/>
                <w:szCs w:val="12"/>
                <w:color w:val="auto"/>
              </w:rPr>
              <w:t>2,048,725</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color w:val="auto"/>
                <w:w w:val="93"/>
              </w:rPr>
              <w:t>91.7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143,914</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2.8</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82.42</w:t>
            </w:r>
          </w:p>
        </w:tc>
        <w:tc>
          <w:tcPr>
            <w:tcW w:w="0" w:type="dxa"/>
            <w:vAlign w:val="bottom"/>
          </w:tcPr>
          <w:p>
            <w:pPr>
              <w:spacing w:after="0"/>
              <w:rPr>
                <w:sz w:val="1"/>
                <w:szCs w:val="1"/>
                <w:color w:val="auto"/>
              </w:rPr>
            </w:pPr>
          </w:p>
        </w:tc>
      </w:tr>
      <w:tr>
        <w:trPr>
          <w:trHeight w:val="173"/>
        </w:trPr>
        <w:tc>
          <w:tcPr>
            <w:tcW w:w="280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b w:val="1"/>
                <w:bCs w:val="1"/>
                <w:color w:val="auto"/>
              </w:rPr>
              <w:t>Subtotal / Weighted Average</w:t>
            </w:r>
          </w:p>
        </w:tc>
        <w:tc>
          <w:tcPr>
            <w:tcW w:w="8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10,869,183</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94.5%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846,638</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32.8%</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89"/>
              </w:rPr>
              <w:t>200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ind w:left="20"/>
              <w:spacing w:after="0"/>
              <w:rPr>
                <w:sz w:val="20"/>
                <w:szCs w:val="20"/>
                <w:color w:val="auto"/>
              </w:rPr>
            </w:pPr>
            <w:r>
              <w:rPr>
                <w:rFonts w:ascii="Arial" w:cs="Arial" w:eastAsia="Arial" w:hAnsi="Arial"/>
                <w:sz w:val="12"/>
                <w:szCs w:val="12"/>
                <w:b w:val="1"/>
                <w:bCs w:val="1"/>
                <w:color w:val="auto"/>
              </w:rPr>
              <w:t>"Non Same Store"</w:t>
            </w: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One Vanderbilt Avenue—71.01%</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2020</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Grand Central</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1,657,198</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93"/>
              </w:rPr>
              <w:t>96.8%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254,573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14.1%</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161.83</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Arial" w:cs="Arial" w:eastAsia="Arial" w:hAnsi="Arial"/>
                <w:sz w:val="12"/>
                <w:szCs w:val="12"/>
                <w:color w:val="auto"/>
                <w:w w:val="89"/>
              </w:rPr>
              <w:t>220</w:t>
            </w:r>
          </w:p>
        </w:tc>
        <w:tc>
          <w:tcPr>
            <w:tcW w:w="2580" w:type="dxa"/>
            <w:vAlign w:val="bottom"/>
          </w:tcPr>
          <w:p>
            <w:pPr>
              <w:ind w:left="20"/>
              <w:spacing w:after="0"/>
              <w:rPr>
                <w:sz w:val="20"/>
                <w:szCs w:val="20"/>
                <w:color w:val="auto"/>
              </w:rPr>
            </w:pPr>
            <w:r>
              <w:rPr>
                <w:rFonts w:ascii="Arial" w:cs="Arial" w:eastAsia="Arial" w:hAnsi="Arial"/>
                <w:sz w:val="12"/>
                <w:szCs w:val="12"/>
                <w:color w:val="auto"/>
              </w:rPr>
              <w:t>East 42nd Street—51.00%</w:t>
            </w:r>
          </w:p>
        </w:tc>
        <w:tc>
          <w:tcPr>
            <w:tcW w:w="820" w:type="dxa"/>
            <w:vAlign w:val="bottom"/>
          </w:tcPr>
          <w:p>
            <w:pPr>
              <w:jc w:val="right"/>
              <w:spacing w:after="0"/>
              <w:rPr>
                <w:sz w:val="20"/>
                <w:szCs w:val="20"/>
                <w:color w:val="auto"/>
              </w:rPr>
            </w:pPr>
            <w:r>
              <w:rPr>
                <w:rFonts w:ascii="Arial" w:cs="Arial" w:eastAsia="Arial" w:hAnsi="Arial"/>
                <w:sz w:val="12"/>
                <w:szCs w:val="12"/>
                <w:color w:val="auto"/>
              </w:rPr>
              <w:t>1929</w:t>
            </w: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Grand Central</w:t>
            </w:r>
          </w:p>
        </w:tc>
        <w:tc>
          <w:tcPr>
            <w:tcW w:w="1020" w:type="dxa"/>
            <w:vAlign w:val="bottom"/>
          </w:tcPr>
          <w:p>
            <w:pPr>
              <w:jc w:val="right"/>
              <w:spacing w:after="0"/>
              <w:rPr>
                <w:sz w:val="20"/>
                <w:szCs w:val="20"/>
                <w:color w:val="auto"/>
              </w:rPr>
            </w:pPr>
            <w:r>
              <w:rPr>
                <w:rFonts w:ascii="Arial" w:cs="Arial" w:eastAsia="Arial" w:hAnsi="Arial"/>
                <w:sz w:val="12"/>
                <w:szCs w:val="12"/>
                <w:color w:val="auto"/>
              </w:rPr>
              <w:t>1,135,000</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93"/>
              </w:rPr>
              <w:t>92.6%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70,233</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83"/>
              </w:rPr>
              <w:t>2.8</w:t>
            </w:r>
          </w:p>
        </w:tc>
        <w:tc>
          <w:tcPr>
            <w:tcW w:w="90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63.71</w:t>
            </w: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450</w:t>
            </w:r>
          </w:p>
        </w:tc>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Park Avenue—25.10%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1972</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Park Avenue</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337,000</w:t>
            </w:r>
          </w:p>
        </w:tc>
        <w:tc>
          <w:tcPr>
            <w:tcW w:w="9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3"/>
              </w:rPr>
              <w:t>79.8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33,545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0.7</w:t>
            </w: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89"/>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133.18</w:t>
            </w:r>
          </w:p>
        </w:tc>
        <w:tc>
          <w:tcPr>
            <w:tcW w:w="0" w:type="dxa"/>
            <w:vAlign w:val="bottom"/>
          </w:tcPr>
          <w:p>
            <w:pPr>
              <w:spacing w:after="0"/>
              <w:rPr>
                <w:sz w:val="1"/>
                <w:szCs w:val="1"/>
                <w:color w:val="auto"/>
              </w:rPr>
            </w:pPr>
          </w:p>
        </w:tc>
      </w:tr>
      <w:tr>
        <w:trPr>
          <w:trHeight w:val="160"/>
        </w:trPr>
        <w:tc>
          <w:tcPr>
            <w:tcW w:w="2800" w:type="dxa"/>
            <w:vAlign w:val="bottom"/>
            <w:gridSpan w:val="2"/>
          </w:tcPr>
          <w:p>
            <w:pPr>
              <w:ind w:left="140"/>
              <w:spacing w:after="0"/>
              <w:rPr>
                <w:sz w:val="20"/>
                <w:szCs w:val="20"/>
                <w:color w:val="auto"/>
              </w:rPr>
            </w:pPr>
            <w:r>
              <w:rPr>
                <w:rFonts w:ascii="Arial" w:cs="Arial" w:eastAsia="Arial" w:hAnsi="Arial"/>
                <w:sz w:val="12"/>
                <w:szCs w:val="12"/>
                <w:b w:val="1"/>
                <w:bCs w:val="1"/>
                <w:color w:val="auto"/>
              </w:rPr>
              <w:t>Subtotal / Weighted Average</w:t>
            </w:r>
          </w:p>
        </w:tc>
        <w:tc>
          <w:tcPr>
            <w:tcW w:w="8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3,129,198</w:t>
            </w:r>
          </w:p>
        </w:tc>
        <w:tc>
          <w:tcPr>
            <w:tcW w:w="120" w:type="dxa"/>
            <w:vAlign w:val="bottom"/>
          </w:tcPr>
          <w:p>
            <w:pPr>
              <w:spacing w:after="0"/>
              <w:rPr>
                <w:sz w:val="13"/>
                <w:szCs w:val="13"/>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93.4%</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358,351</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17.6%</w:t>
            </w:r>
          </w:p>
        </w:tc>
        <w:tc>
          <w:tcPr>
            <w:tcW w:w="120" w:type="dxa"/>
            <w:vAlign w:val="bottom"/>
          </w:tcPr>
          <w:p>
            <w:pPr>
              <w:spacing w:after="0"/>
              <w:rPr>
                <w:sz w:val="13"/>
                <w:szCs w:val="13"/>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2"/>
                <w:szCs w:val="12"/>
                <w:b w:val="1"/>
                <w:bCs w:val="1"/>
                <w:color w:val="auto"/>
              </w:rPr>
              <w:t>Total / Weighted Average Unconsolidated Office Properties</w:t>
            </w: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13,998,381</w:t>
            </w:r>
          </w:p>
        </w:tc>
        <w:tc>
          <w:tcPr>
            <w:tcW w:w="900" w:type="dxa"/>
            <w:vAlign w:val="bottom"/>
            <w:tcBorders>
              <w:bottom w:val="single" w:sz="8" w:color="CCEEFF"/>
            </w:tcBorders>
            <w:gridSpan w:val="2"/>
            <w:shd w:val="clear" w:color="auto" w:fill="CCEEFF"/>
          </w:tcPr>
          <w:p>
            <w:pPr>
              <w:jc w:val="center"/>
              <w:ind w:left="58"/>
              <w:spacing w:after="0"/>
              <w:rPr>
                <w:sz w:val="20"/>
                <w:szCs w:val="20"/>
                <w:color w:val="auto"/>
              </w:rPr>
            </w:pPr>
            <w:r>
              <w:rPr>
                <w:rFonts w:ascii="Arial" w:cs="Arial" w:eastAsia="Arial" w:hAnsi="Arial"/>
                <w:sz w:val="12"/>
                <w:szCs w:val="12"/>
                <w:b w:val="1"/>
                <w:bCs w:val="1"/>
                <w:color w:val="auto"/>
                <w:w w:val="99"/>
              </w:rPr>
              <w:t>94.3%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1,204,989</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50.4%</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89"/>
              </w:rPr>
              <w:t>296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90.30</w:t>
            </w:r>
          </w:p>
        </w:tc>
        <w:tc>
          <w:tcPr>
            <w:tcW w:w="0" w:type="dxa"/>
            <w:vAlign w:val="bottom"/>
          </w:tcPr>
          <w:p>
            <w:pPr>
              <w:spacing w:after="0"/>
              <w:rPr>
                <w:sz w:val="1"/>
                <w:szCs w:val="1"/>
                <w:color w:val="auto"/>
              </w:rPr>
            </w:pPr>
          </w:p>
        </w:tc>
      </w:tr>
      <w:tr>
        <w:trPr>
          <w:trHeight w:val="20"/>
        </w:trPr>
        <w:tc>
          <w:tcPr>
            <w:tcW w:w="28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8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Manhattan Office Grand Total / Weighted Average</w:t>
            </w:r>
          </w:p>
        </w:tc>
        <w:tc>
          <w:tcPr>
            <w:tcW w:w="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23,961,519</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b w:val="1"/>
                <w:bCs w:val="1"/>
                <w:color w:val="auto"/>
                <w:w w:val="99"/>
              </w:rPr>
              <w:t>90.7%</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1,839,142</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100.0%</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754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Manhattan Office Grand Total—SLG share of Annualized Rent</w:t>
            </w:r>
          </w:p>
        </w:tc>
        <w:tc>
          <w:tcPr>
            <w:tcW w:w="1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1,278,993</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8"/>
              </w:rPr>
              <w:t>100.0%</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2"/>
                <w:szCs w:val="12"/>
                <w:b w:val="1"/>
                <w:bCs w:val="1"/>
                <w:color w:val="auto"/>
              </w:rPr>
              <w:t>Manhattan Office Same Store Occupancy %—Combined</w:t>
            </w: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b w:val="1"/>
                <w:bCs w:val="1"/>
                <w:color w:val="auto"/>
              </w:rPr>
              <w:t>19,049,528</w:t>
            </w:r>
          </w:p>
        </w:tc>
        <w:tc>
          <w:tcPr>
            <w:tcW w:w="900" w:type="dxa"/>
            <w:vAlign w:val="bottom"/>
            <w:tcBorders>
              <w:top w:val="single" w:sz="8" w:color="CCEEFF"/>
              <w:bottom w:val="single" w:sz="8" w:color="CCEEFF"/>
            </w:tcBorders>
            <w:gridSpan w:val="2"/>
            <w:vMerge w:val="restart"/>
          </w:tcPr>
          <w:p>
            <w:pPr>
              <w:jc w:val="center"/>
              <w:ind w:left="58"/>
              <w:spacing w:after="0"/>
              <w:rPr>
                <w:sz w:val="20"/>
                <w:szCs w:val="20"/>
                <w:color w:val="auto"/>
              </w:rPr>
            </w:pPr>
            <w:r>
              <w:rPr>
                <w:rFonts w:ascii="Arial" w:cs="Arial" w:eastAsia="Arial" w:hAnsi="Arial"/>
                <w:sz w:val="12"/>
                <w:szCs w:val="12"/>
                <w:b w:val="1"/>
                <w:bCs w:val="1"/>
                <w:color w:val="auto"/>
                <w:w w:val="99"/>
              </w:rPr>
              <w:t>90.9%</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620" w:type="dxa"/>
            <w:vAlign w:val="bottom"/>
            <w:gridSpan w:val="3"/>
            <w:vMerge w:val="continue"/>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Percent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8"/>
              <w:spacing w:after="0"/>
              <w:rPr>
                <w:sz w:val="20"/>
                <w:szCs w:val="20"/>
                <w:color w:val="auto"/>
              </w:rPr>
            </w:pPr>
            <w:r>
              <w:rPr>
                <w:rFonts w:ascii="Arial" w:cs="Arial" w:eastAsia="Arial" w:hAnsi="Arial"/>
                <w:sz w:val="12"/>
                <w:szCs w:val="12"/>
                <w:b w:val="1"/>
                <w:bCs w:val="1"/>
                <w:color w:val="auto"/>
                <w:w w:val="93"/>
              </w:rPr>
              <w:t>Annualized</w:t>
            </w: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8"/>
              <w:spacing w:after="0" w:line="120" w:lineRule="exact"/>
              <w:rPr>
                <w:sz w:val="20"/>
                <w:szCs w:val="20"/>
                <w:color w:val="auto"/>
              </w:rPr>
            </w:pPr>
            <w:r>
              <w:rPr>
                <w:rFonts w:ascii="Arial" w:cs="Arial" w:eastAsia="Arial" w:hAnsi="Arial"/>
                <w:sz w:val="12"/>
                <w:szCs w:val="12"/>
                <w:b w:val="1"/>
                <w:bCs w:val="1"/>
                <w:color w:val="auto"/>
                <w:w w:val="95"/>
              </w:rPr>
              <w:t>Cash</w:t>
            </w: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Approximate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220"/>
              <w:spacing w:after="0" w:line="133" w:lineRule="exact"/>
              <w:rPr>
                <w:sz w:val="20"/>
                <w:szCs w:val="20"/>
                <w:color w:val="auto"/>
              </w:rPr>
            </w:pPr>
            <w:r>
              <w:rPr>
                <w:rFonts w:ascii="Arial" w:cs="Arial" w:eastAsia="Arial" w:hAnsi="Arial"/>
                <w:sz w:val="12"/>
                <w:szCs w:val="12"/>
                <w:b w:val="1"/>
                <w:bCs w:val="1"/>
                <w:color w:val="auto"/>
                <w:w w:val="93"/>
              </w:rPr>
              <w:t>Annualized</w:t>
            </w:r>
          </w:p>
        </w:tc>
        <w:tc>
          <w:tcPr>
            <w:tcW w:w="2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of Portfolio</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8"/>
              <w:spacing w:after="0" w:line="133" w:lineRule="exact"/>
              <w:rPr>
                <w:sz w:val="20"/>
                <w:szCs w:val="20"/>
                <w:color w:val="auto"/>
              </w:rPr>
            </w:pPr>
            <w:r>
              <w:rPr>
                <w:rFonts w:ascii="Arial" w:cs="Arial" w:eastAsia="Arial" w:hAnsi="Arial"/>
                <w:sz w:val="12"/>
                <w:szCs w:val="12"/>
                <w:b w:val="1"/>
                <w:bCs w:val="1"/>
                <w:color w:val="auto"/>
                <w:w w:val="98"/>
              </w:rPr>
              <w:t>Rent per</w:t>
            </w: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4"/>
              </w:rPr>
              <w:t>Rentable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5"/>
              </w:rPr>
              <w:t>Cash</w:t>
            </w:r>
          </w:p>
        </w:tc>
        <w:tc>
          <w:tcPr>
            <w:tcW w:w="20" w:type="dxa"/>
            <w:vAlign w:val="bottom"/>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3"/>
              </w:rPr>
              <w:t>Annualized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8"/>
              <w:spacing w:after="0" w:line="120" w:lineRule="exact"/>
              <w:rPr>
                <w:sz w:val="20"/>
                <w:szCs w:val="20"/>
                <w:color w:val="auto"/>
              </w:rPr>
            </w:pPr>
            <w:r>
              <w:rPr>
                <w:rFonts w:ascii="Arial" w:cs="Arial" w:eastAsia="Arial" w:hAnsi="Arial"/>
                <w:sz w:val="12"/>
                <w:szCs w:val="12"/>
                <w:b w:val="1"/>
                <w:bCs w:val="1"/>
                <w:color w:val="auto"/>
                <w:w w:val="86"/>
              </w:rPr>
              <w:t>Leased</w:t>
            </w:r>
          </w:p>
        </w:tc>
        <w:tc>
          <w:tcPr>
            <w:tcW w:w="0" w:type="dxa"/>
            <w:vAlign w:val="bottom"/>
          </w:tcPr>
          <w:p>
            <w:pPr>
              <w:spacing w:after="0"/>
              <w:rPr>
                <w:sz w:val="1"/>
                <w:szCs w:val="1"/>
                <w:color w:val="auto"/>
              </w:rPr>
            </w:pPr>
          </w:p>
        </w:tc>
      </w:tr>
      <w:tr>
        <w:trPr>
          <w:trHeight w:val="133"/>
        </w:trPr>
        <w:tc>
          <w:tcPr>
            <w:tcW w:w="2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Suburban Properties</w:t>
            </w:r>
          </w:p>
        </w:tc>
        <w:tc>
          <w:tcPr>
            <w:tcW w:w="9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Year Built/</w:t>
            </w:r>
          </w:p>
        </w:tc>
        <w:tc>
          <w:tcPr>
            <w:tcW w:w="1840" w:type="dxa"/>
            <w:vAlign w:val="bottom"/>
            <w:gridSpan w:val="3"/>
            <w:vMerge w:val="restart"/>
          </w:tcPr>
          <w:p>
            <w:pPr>
              <w:ind w:left="620"/>
              <w:spacing w:after="0"/>
              <w:rPr>
                <w:sz w:val="20"/>
                <w:szCs w:val="20"/>
                <w:color w:val="auto"/>
              </w:rPr>
            </w:pPr>
            <w:r>
              <w:rPr>
                <w:rFonts w:ascii="Arial" w:cs="Arial" w:eastAsia="Arial" w:hAnsi="Arial"/>
                <w:sz w:val="12"/>
                <w:szCs w:val="12"/>
                <w:b w:val="1"/>
                <w:bCs w:val="1"/>
                <w:color w:val="auto"/>
              </w:rPr>
              <w:t>City/ Town</w:t>
            </w:r>
          </w:p>
        </w:tc>
        <w:tc>
          <w:tcPr>
            <w:tcW w:w="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Square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0"/>
              </w:rPr>
              <w:t>Percent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220"/>
              <w:spacing w:after="0" w:line="133" w:lineRule="exact"/>
              <w:rPr>
                <w:sz w:val="20"/>
                <w:szCs w:val="20"/>
                <w:color w:val="auto"/>
              </w:rPr>
            </w:pPr>
            <w:r>
              <w:rPr>
                <w:rFonts w:ascii="Arial" w:cs="Arial" w:eastAsia="Arial" w:hAnsi="Arial"/>
                <w:sz w:val="12"/>
                <w:szCs w:val="12"/>
                <w:b w:val="1"/>
                <w:bCs w:val="1"/>
                <w:color w:val="auto"/>
                <w:w w:val="89"/>
              </w:rPr>
              <w:t>Rent</w:t>
            </w:r>
          </w:p>
        </w:tc>
        <w:tc>
          <w:tcPr>
            <w:tcW w:w="2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8"/>
              </w:rPr>
              <w:t>Cash</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2"/>
                <w:szCs w:val="12"/>
                <w:b w:val="1"/>
                <w:bCs w:val="1"/>
                <w:color w:val="auto"/>
                <w:w w:val="93"/>
              </w:rPr>
              <w:t>Square</w:t>
            </w:r>
          </w:p>
        </w:tc>
        <w:tc>
          <w:tcPr>
            <w:tcW w:w="0" w:type="dxa"/>
            <w:vAlign w:val="bottom"/>
          </w:tcPr>
          <w:p>
            <w:pPr>
              <w:spacing w:after="0"/>
              <w:rPr>
                <w:sz w:val="1"/>
                <w:szCs w:val="1"/>
                <w:color w:val="auto"/>
              </w:rPr>
            </w:pPr>
          </w:p>
        </w:tc>
      </w:tr>
      <w:tr>
        <w:trPr>
          <w:trHeight w:val="167"/>
        </w:trPr>
        <w:tc>
          <w:tcPr>
            <w:tcW w:w="2660" w:type="dxa"/>
            <w:vAlign w:val="bottom"/>
            <w:gridSpan w:val="2"/>
            <w:vMerge w:val="continue"/>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Arial" w:cs="Arial" w:eastAsia="Arial" w:hAnsi="Arial"/>
                <w:sz w:val="12"/>
                <w:szCs w:val="12"/>
                <w:b w:val="1"/>
                <w:bCs w:val="1"/>
                <w:color w:val="auto"/>
              </w:rPr>
              <w:t>Renovated</w:t>
            </w:r>
          </w:p>
        </w:tc>
        <w:tc>
          <w:tcPr>
            <w:tcW w:w="1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7"/>
              </w:rPr>
              <w:t>Feet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Occupied (1)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8"/>
              </w:rPr>
              <w:t>Rent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1"/>
              </w:rPr>
              <w:t>Tenants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2"/>
                <w:szCs w:val="12"/>
                <w:b w:val="1"/>
                <w:bCs w:val="1"/>
                <w:color w:val="auto"/>
                <w:w w:val="95"/>
              </w:rPr>
              <w:t>Foot (4)</w:t>
            </w:r>
          </w:p>
        </w:tc>
        <w:tc>
          <w:tcPr>
            <w:tcW w:w="0" w:type="dxa"/>
            <w:vAlign w:val="bottom"/>
          </w:tcPr>
          <w:p>
            <w:pPr>
              <w:spacing w:after="0"/>
              <w:rPr>
                <w:sz w:val="1"/>
                <w:szCs w:val="1"/>
                <w:color w:val="auto"/>
              </w:rPr>
            </w:pPr>
          </w:p>
        </w:tc>
      </w:tr>
      <w:tr>
        <w:trPr>
          <w:trHeight w:val="173"/>
        </w:trPr>
        <w:tc>
          <w:tcPr>
            <w:tcW w:w="2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CONSOLIDATED OFFICE PROPERTIES</w:t>
            </w: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60" w:type="dxa"/>
            <w:vAlign w:val="bottom"/>
            <w:gridSpan w:val="2"/>
          </w:tcPr>
          <w:p>
            <w:pPr>
              <w:ind w:left="20"/>
              <w:spacing w:after="0"/>
              <w:rPr>
                <w:sz w:val="20"/>
                <w:szCs w:val="20"/>
                <w:color w:val="auto"/>
              </w:rPr>
            </w:pPr>
            <w:r>
              <w:rPr>
                <w:rFonts w:ascii="Arial" w:cs="Arial" w:eastAsia="Arial" w:hAnsi="Arial"/>
                <w:sz w:val="12"/>
                <w:szCs w:val="12"/>
                <w:b w:val="1"/>
                <w:bCs w:val="1"/>
                <w:color w:val="auto"/>
              </w:rPr>
              <w:t>"Same Store" Connecticut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Landmark Square</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w w:val="94"/>
              </w:rPr>
              <w:t>1973-1984</w:t>
            </w:r>
          </w:p>
        </w:tc>
        <w:tc>
          <w:tcPr>
            <w:tcW w:w="184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Stamford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862,800</w:t>
            </w:r>
          </w:p>
        </w:tc>
        <w:tc>
          <w:tcPr>
            <w:tcW w:w="900" w:type="dxa"/>
            <w:vAlign w:val="bottom"/>
            <w:gridSpan w:val="4"/>
            <w:shd w:val="clear" w:color="auto" w:fill="CCEEFF"/>
          </w:tcPr>
          <w:p>
            <w:pPr>
              <w:jc w:val="center"/>
              <w:ind w:left="38"/>
              <w:spacing w:after="0"/>
              <w:rPr>
                <w:sz w:val="20"/>
                <w:szCs w:val="20"/>
                <w:color w:val="auto"/>
              </w:rPr>
            </w:pPr>
            <w:r>
              <w:rPr>
                <w:rFonts w:ascii="Arial" w:cs="Arial" w:eastAsia="Arial" w:hAnsi="Arial"/>
                <w:sz w:val="12"/>
                <w:szCs w:val="12"/>
                <w:color w:val="auto"/>
                <w:w w:val="93"/>
              </w:rPr>
              <w:t>79.3%</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19,560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3"/>
              </w:rPr>
              <w:t>100.0%</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89"/>
              </w:rPr>
              <w:t>107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34.44</w:t>
            </w:r>
          </w:p>
        </w:tc>
        <w:tc>
          <w:tcPr>
            <w:tcW w:w="0" w:type="dxa"/>
            <w:vAlign w:val="bottom"/>
          </w:tcPr>
          <w:p>
            <w:pPr>
              <w:spacing w:after="0"/>
              <w:rPr>
                <w:sz w:val="1"/>
                <w:szCs w:val="1"/>
                <w:color w:val="auto"/>
              </w:rPr>
            </w:pPr>
          </w:p>
        </w:tc>
      </w:tr>
      <w:tr>
        <w:trPr>
          <w:trHeight w:val="160"/>
        </w:trPr>
        <w:tc>
          <w:tcPr>
            <w:tcW w:w="26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Connecticut Subtotal/Weighted Average</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862,800</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b w:val="1"/>
                <w:bCs w:val="1"/>
                <w:color w:val="auto"/>
                <w:w w:val="99"/>
              </w:rPr>
              <w:t>79.3%</w:t>
            </w:r>
          </w:p>
        </w:tc>
        <w:tc>
          <w:tcPr>
            <w:tcW w:w="100" w:type="dxa"/>
            <w:vAlign w:val="bottom"/>
          </w:tcPr>
          <w:p>
            <w:pPr>
              <w:spacing w:after="0"/>
              <w:rPr>
                <w:sz w:val="13"/>
                <w:szCs w:val="13"/>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19,560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8"/>
              </w:rPr>
              <w:t>100.0%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107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2"/>
                <w:szCs w:val="12"/>
                <w:b w:val="1"/>
                <w:bCs w:val="1"/>
                <w:color w:val="auto"/>
              </w:rPr>
              <w:t>Total / Weighted Average Consolidated Office Properties</w:t>
            </w:r>
          </w:p>
        </w:tc>
        <w:tc>
          <w:tcPr>
            <w:tcW w:w="1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862,800</w:t>
            </w:r>
          </w:p>
        </w:tc>
        <w:tc>
          <w:tcPr>
            <w:tcW w:w="900" w:type="dxa"/>
            <w:vAlign w:val="bottom"/>
            <w:tcBorders>
              <w:bottom w:val="single" w:sz="8" w:color="CCEEFF"/>
            </w:tcBorders>
            <w:gridSpan w:val="4"/>
            <w:shd w:val="clear" w:color="auto" w:fill="CCEEFF"/>
          </w:tcPr>
          <w:p>
            <w:pPr>
              <w:jc w:val="center"/>
              <w:ind w:left="58"/>
              <w:spacing w:after="0"/>
              <w:rPr>
                <w:sz w:val="20"/>
                <w:szCs w:val="20"/>
                <w:color w:val="auto"/>
              </w:rPr>
            </w:pPr>
            <w:r>
              <w:rPr>
                <w:rFonts w:ascii="Arial" w:cs="Arial" w:eastAsia="Arial" w:hAnsi="Arial"/>
                <w:sz w:val="12"/>
                <w:szCs w:val="12"/>
                <w:b w:val="1"/>
                <w:bCs w:val="1"/>
                <w:color w:val="auto"/>
                <w:w w:val="99"/>
              </w:rPr>
              <w:t>79.3%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19,560</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2"/>
                <w:szCs w:val="12"/>
                <w:b w:val="1"/>
                <w:bCs w:val="1"/>
                <w:color w:val="auto"/>
                <w:w w:val="98"/>
              </w:rPr>
              <w:t>100.0%</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2"/>
                <w:szCs w:val="12"/>
                <w:b w:val="1"/>
                <w:bCs w:val="1"/>
                <w:color w:val="auto"/>
                <w:w w:val="89"/>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60" w:type="dxa"/>
            <w:vAlign w:val="bottom"/>
            <w:gridSpan w:val="2"/>
          </w:tcPr>
          <w:p>
            <w:pPr>
              <w:ind w:left="20"/>
              <w:spacing w:after="0"/>
              <w:rPr>
                <w:sz w:val="20"/>
                <w:szCs w:val="20"/>
                <w:color w:val="auto"/>
              </w:rPr>
            </w:pPr>
            <w:r>
              <w:rPr>
                <w:rFonts w:ascii="Arial" w:cs="Arial" w:eastAsia="Arial" w:hAnsi="Arial"/>
                <w:sz w:val="12"/>
                <w:szCs w:val="12"/>
                <w:b w:val="1"/>
                <w:bCs w:val="1"/>
                <w:color w:val="auto"/>
              </w:rPr>
              <w:t>Suburban Grand Total / Weighted Average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862,800</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b w:val="1"/>
                <w:bCs w:val="1"/>
                <w:color w:val="auto"/>
                <w:w w:val="99"/>
              </w:rPr>
              <w:t>79.3%</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19,560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107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b w:val="1"/>
                <w:bCs w:val="1"/>
                <w:color w:val="auto"/>
              </w:rPr>
              <w:t>Suburban Office Grand Total—SLG share of Annualized Rent</w:t>
            </w:r>
          </w:p>
        </w:tc>
        <w:tc>
          <w:tcPr>
            <w:tcW w:w="17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19,560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2"/>
                <w:szCs w:val="12"/>
                <w:b w:val="1"/>
                <w:bCs w:val="1"/>
                <w:color w:val="auto"/>
                <w:w w:val="98"/>
              </w:rPr>
              <w:t>100.0%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2"/>
                <w:szCs w:val="12"/>
                <w:b w:val="1"/>
                <w:bCs w:val="1"/>
                <w:color w:val="auto"/>
              </w:rPr>
              <w:t>Suburban Office Same Store Occupancy %—Combined</w:t>
            </w:r>
          </w:p>
        </w:tc>
        <w:tc>
          <w:tcPr>
            <w:tcW w:w="1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2"/>
                <w:szCs w:val="12"/>
                <w:b w:val="1"/>
                <w:bCs w:val="1"/>
                <w:color w:val="auto"/>
              </w:rPr>
              <w:t>862,800</w:t>
            </w:r>
          </w:p>
        </w:tc>
        <w:tc>
          <w:tcPr>
            <w:tcW w:w="900" w:type="dxa"/>
            <w:vAlign w:val="bottom"/>
            <w:tcBorders>
              <w:top w:val="single" w:sz="8" w:color="CCEEFF"/>
              <w:bottom w:val="single" w:sz="8" w:color="CCEEFF"/>
            </w:tcBorders>
            <w:gridSpan w:val="4"/>
            <w:vMerge w:val="restart"/>
          </w:tcPr>
          <w:p>
            <w:pPr>
              <w:jc w:val="center"/>
              <w:ind w:left="58"/>
              <w:spacing w:after="0"/>
              <w:rPr>
                <w:sz w:val="20"/>
                <w:szCs w:val="20"/>
                <w:color w:val="auto"/>
              </w:rPr>
            </w:pPr>
            <w:r>
              <w:rPr>
                <w:rFonts w:ascii="Arial" w:cs="Arial" w:eastAsia="Arial" w:hAnsi="Arial"/>
                <w:sz w:val="12"/>
                <w:szCs w:val="12"/>
                <w:b w:val="1"/>
                <w:bCs w:val="1"/>
                <w:color w:val="auto"/>
                <w:w w:val="99"/>
              </w:rPr>
              <w:t>79.3%</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center"/>
              <w:ind w:right="58"/>
              <w:spacing w:after="0"/>
              <w:rPr>
                <w:sz w:val="20"/>
                <w:szCs w:val="20"/>
                <w:color w:val="auto"/>
              </w:rPr>
            </w:pPr>
            <w:r>
              <w:rPr>
                <w:rFonts w:ascii="Arial" w:cs="Arial" w:eastAsia="Arial" w:hAnsi="Arial"/>
                <w:sz w:val="12"/>
                <w:szCs w:val="12"/>
                <w:b w:val="1"/>
                <w:bCs w:val="1"/>
                <w:color w:val="auto"/>
                <w:w w:val="93"/>
              </w:rPr>
              <w:t>Annualized</w:t>
            </w:r>
          </w:p>
        </w:tc>
        <w:tc>
          <w:tcPr>
            <w:tcW w:w="0" w:type="dxa"/>
            <w:vAlign w:val="bottom"/>
          </w:tcPr>
          <w:p>
            <w:pPr>
              <w:spacing w:after="0" w:line="20" w:lineRule="exact"/>
              <w:rPr>
                <w:sz w:val="1"/>
                <w:szCs w:val="1"/>
                <w:color w:val="auto"/>
              </w:rPr>
            </w:pPr>
          </w:p>
        </w:tc>
      </w:tr>
      <w:tr>
        <w:trPr>
          <w:trHeight w:val="107"/>
        </w:trPr>
        <w:tc>
          <w:tcPr>
            <w:tcW w:w="3620" w:type="dxa"/>
            <w:vAlign w:val="bottom"/>
            <w:gridSpan w:val="4"/>
            <w:vMerge w:val="continue"/>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Percent of</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Approximate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6"/>
              </w:rPr>
              <w:t>Annualized</w:t>
            </w:r>
          </w:p>
        </w:tc>
        <w:tc>
          <w:tcPr>
            <w:tcW w:w="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8"/>
              <w:spacing w:after="0" w:line="125" w:lineRule="exact"/>
              <w:rPr>
                <w:sz w:val="20"/>
                <w:szCs w:val="20"/>
                <w:color w:val="auto"/>
              </w:rPr>
            </w:pPr>
            <w:r>
              <w:rPr>
                <w:rFonts w:ascii="Arial" w:cs="Arial" w:eastAsia="Arial" w:hAnsi="Arial"/>
                <w:sz w:val="12"/>
                <w:szCs w:val="12"/>
                <w:b w:val="1"/>
                <w:bCs w:val="1"/>
                <w:color w:val="auto"/>
                <w:w w:val="95"/>
              </w:rPr>
              <w:t>Cash</w:t>
            </w: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7"/>
              </w:rPr>
              <w:t>Portfolio</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8"/>
              <w:spacing w:after="0" w:line="120" w:lineRule="exact"/>
              <w:rPr>
                <w:sz w:val="20"/>
                <w:szCs w:val="20"/>
                <w:color w:val="auto"/>
              </w:rPr>
            </w:pPr>
            <w:r>
              <w:rPr>
                <w:rFonts w:ascii="Arial" w:cs="Arial" w:eastAsia="Arial" w:hAnsi="Arial"/>
                <w:sz w:val="12"/>
                <w:szCs w:val="12"/>
                <w:b w:val="1"/>
                <w:bCs w:val="1"/>
                <w:color w:val="auto"/>
                <w:w w:val="98"/>
              </w:rPr>
              <w:t>Rent per</w:t>
            </w: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Year Built/</w:t>
            </w: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4"/>
              </w:rPr>
              <w:t>Rentable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Percent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200"/>
              <w:spacing w:after="0" w:line="133" w:lineRule="exact"/>
              <w:rPr>
                <w:sz w:val="20"/>
                <w:szCs w:val="20"/>
                <w:color w:val="auto"/>
              </w:rPr>
            </w:pPr>
            <w:r>
              <w:rPr>
                <w:rFonts w:ascii="Arial" w:cs="Arial" w:eastAsia="Arial" w:hAnsi="Arial"/>
                <w:sz w:val="12"/>
                <w:szCs w:val="12"/>
                <w:b w:val="1"/>
                <w:bCs w:val="1"/>
                <w:color w:val="auto"/>
                <w:w w:val="88"/>
              </w:rPr>
              <w:t>Cash</w:t>
            </w:r>
          </w:p>
        </w:tc>
        <w:tc>
          <w:tcPr>
            <w:tcW w:w="2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Annualized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8"/>
              <w:spacing w:after="0" w:line="133" w:lineRule="exact"/>
              <w:rPr>
                <w:sz w:val="20"/>
                <w:szCs w:val="20"/>
                <w:color w:val="auto"/>
              </w:rPr>
            </w:pPr>
            <w:r>
              <w:rPr>
                <w:rFonts w:ascii="Arial" w:cs="Arial" w:eastAsia="Arial" w:hAnsi="Arial"/>
                <w:sz w:val="12"/>
                <w:szCs w:val="12"/>
                <w:b w:val="1"/>
                <w:bCs w:val="1"/>
                <w:color w:val="auto"/>
                <w:w w:val="86"/>
              </w:rPr>
              <w:t>Leased</w:t>
            </w: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840" w:type="dxa"/>
            <w:vAlign w:val="bottom"/>
            <w:gridSpan w:val="3"/>
            <w:vMerge w:val="restart"/>
          </w:tcPr>
          <w:p>
            <w:pPr>
              <w:ind w:left="580"/>
              <w:spacing w:after="0"/>
              <w:rPr>
                <w:sz w:val="20"/>
                <w:szCs w:val="20"/>
                <w:color w:val="auto"/>
              </w:rPr>
            </w:pPr>
            <w:r>
              <w:rPr>
                <w:rFonts w:ascii="Arial" w:cs="Arial" w:eastAsia="Arial" w:hAnsi="Arial"/>
                <w:sz w:val="12"/>
                <w:szCs w:val="12"/>
                <w:b w:val="1"/>
                <w:bCs w:val="1"/>
                <w:color w:val="auto"/>
              </w:rPr>
              <w:t>City/ Town</w:t>
            </w:r>
          </w:p>
        </w:tc>
        <w:tc>
          <w:tcPr>
            <w:tcW w:w="20" w:type="dxa"/>
            <w:vAlign w:val="bottom"/>
          </w:tcPr>
          <w:p>
            <w:pPr>
              <w:spacing w:after="0"/>
              <w:rPr>
                <w:sz w:val="10"/>
                <w:szCs w:val="10"/>
                <w:color w:val="auto"/>
              </w:rPr>
            </w:pPr>
          </w:p>
        </w:tc>
        <w:tc>
          <w:tcPr>
            <w:tcW w:w="10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3"/>
              </w:rPr>
              <w:t>Square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200"/>
              <w:spacing w:after="0" w:line="120" w:lineRule="exact"/>
              <w:rPr>
                <w:sz w:val="20"/>
                <w:szCs w:val="20"/>
                <w:color w:val="auto"/>
              </w:rPr>
            </w:pPr>
            <w:r>
              <w:rPr>
                <w:rFonts w:ascii="Arial" w:cs="Arial" w:eastAsia="Arial" w:hAnsi="Arial"/>
                <w:sz w:val="12"/>
                <w:szCs w:val="12"/>
                <w:b w:val="1"/>
                <w:bCs w:val="1"/>
                <w:color w:val="auto"/>
                <w:w w:val="97"/>
              </w:rPr>
              <w:t>Rent</w:t>
            </w:r>
          </w:p>
        </w:tc>
        <w:tc>
          <w:tcPr>
            <w:tcW w:w="20" w:type="dxa"/>
            <w:vAlign w:val="bottom"/>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5"/>
              </w:rPr>
              <w:t>Cash</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8"/>
              <w:spacing w:after="0" w:line="120" w:lineRule="exact"/>
              <w:rPr>
                <w:sz w:val="20"/>
                <w:szCs w:val="20"/>
                <w:color w:val="auto"/>
              </w:rPr>
            </w:pPr>
            <w:r>
              <w:rPr>
                <w:rFonts w:ascii="Arial" w:cs="Arial" w:eastAsia="Arial" w:hAnsi="Arial"/>
                <w:sz w:val="12"/>
                <w:szCs w:val="12"/>
                <w:b w:val="1"/>
                <w:bCs w:val="1"/>
                <w:color w:val="auto"/>
                <w:w w:val="93"/>
              </w:rPr>
              <w:t>Square</w:t>
            </w:r>
          </w:p>
        </w:tc>
        <w:tc>
          <w:tcPr>
            <w:tcW w:w="0" w:type="dxa"/>
            <w:vAlign w:val="bottom"/>
          </w:tcPr>
          <w:p>
            <w:pPr>
              <w:spacing w:after="0"/>
              <w:rPr>
                <w:sz w:val="1"/>
                <w:szCs w:val="1"/>
                <w:color w:val="auto"/>
              </w:rPr>
            </w:pPr>
          </w:p>
        </w:tc>
      </w:tr>
      <w:tr>
        <w:trPr>
          <w:trHeight w:val="167"/>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Renovated</w:t>
            </w:r>
          </w:p>
        </w:tc>
        <w:tc>
          <w:tcPr>
            <w:tcW w:w="1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7"/>
              </w:rPr>
              <w:t>Feet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Occupied (1)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2"/>
                <w:szCs w:val="12"/>
                <w:b w:val="1"/>
                <w:bCs w:val="1"/>
                <w:color w:val="auto"/>
                <w:w w:val="95"/>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8"/>
              </w:rPr>
              <w:t>Rent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1"/>
              </w:rPr>
              <w:t>Tenants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2"/>
                <w:szCs w:val="12"/>
                <w:b w:val="1"/>
                <w:bCs w:val="1"/>
                <w:color w:val="auto"/>
                <w:w w:val="95"/>
              </w:rPr>
              <w:t>Foot (4)</w:t>
            </w:r>
          </w:p>
        </w:tc>
        <w:tc>
          <w:tcPr>
            <w:tcW w:w="0" w:type="dxa"/>
            <w:vAlign w:val="bottom"/>
          </w:tcPr>
          <w:p>
            <w:pPr>
              <w:spacing w:after="0"/>
              <w:rPr>
                <w:sz w:val="1"/>
                <w:szCs w:val="1"/>
                <w:color w:val="auto"/>
              </w:rPr>
            </w:pPr>
          </w:p>
        </w:tc>
      </w:tr>
      <w:tr>
        <w:trPr>
          <w:trHeight w:val="17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PRIME RETAIL</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60" w:type="dxa"/>
            <w:vAlign w:val="bottom"/>
            <w:gridSpan w:val="2"/>
          </w:tcPr>
          <w:p>
            <w:pPr>
              <w:ind w:left="20"/>
              <w:spacing w:after="0"/>
              <w:rPr>
                <w:sz w:val="20"/>
                <w:szCs w:val="20"/>
                <w:color w:val="auto"/>
              </w:rPr>
            </w:pPr>
            <w:r>
              <w:rPr>
                <w:rFonts w:ascii="Arial" w:cs="Arial" w:eastAsia="Arial" w:hAnsi="Arial"/>
                <w:sz w:val="12"/>
                <w:szCs w:val="12"/>
                <w:b w:val="1"/>
                <w:bCs w:val="1"/>
                <w:color w:val="auto"/>
              </w:rPr>
              <w:t>"Same Store" Prime Retail</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11 West 34th Street—30.00%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1920/2010</w:t>
            </w:r>
          </w:p>
        </w:tc>
        <w:tc>
          <w:tcPr>
            <w:tcW w:w="1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Herald Square/Penn Station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17,150</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93"/>
              </w:rPr>
              <w:t>100.0%</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4"/>
              </w:rPr>
              <w:t>2.1%</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89"/>
              </w:rPr>
              <w:t>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301.56</w:t>
            </w:r>
          </w:p>
        </w:tc>
        <w:tc>
          <w:tcPr>
            <w:tcW w:w="0" w:type="dxa"/>
            <w:vAlign w:val="bottom"/>
          </w:tcPr>
          <w:p>
            <w:pPr>
              <w:spacing w:after="0"/>
              <w:rPr>
                <w:sz w:val="1"/>
                <w:szCs w:val="1"/>
                <w:color w:val="auto"/>
              </w:rPr>
            </w:pPr>
          </w:p>
        </w:tc>
      </w:tr>
      <w:tr>
        <w:trPr>
          <w:trHeight w:val="165"/>
        </w:trPr>
        <w:tc>
          <w:tcPr>
            <w:tcW w:w="2660" w:type="dxa"/>
            <w:vAlign w:val="bottom"/>
            <w:gridSpan w:val="2"/>
          </w:tcPr>
          <w:p>
            <w:pPr>
              <w:ind w:left="20"/>
              <w:spacing w:after="0"/>
              <w:rPr>
                <w:sz w:val="20"/>
                <w:szCs w:val="20"/>
                <w:color w:val="auto"/>
              </w:rPr>
            </w:pPr>
            <w:r>
              <w:rPr>
                <w:rFonts w:ascii="Arial" w:cs="Arial" w:eastAsia="Arial" w:hAnsi="Arial"/>
                <w:sz w:val="12"/>
                <w:szCs w:val="12"/>
                <w:color w:val="auto"/>
              </w:rPr>
              <w:t>21 East 66th Street—32.28%</w:t>
            </w:r>
          </w:p>
        </w:tc>
        <w:tc>
          <w:tcPr>
            <w:tcW w:w="840" w:type="dxa"/>
            <w:vAlign w:val="bottom"/>
          </w:tcPr>
          <w:p>
            <w:pPr>
              <w:jc w:val="right"/>
              <w:spacing w:after="0"/>
              <w:rPr>
                <w:sz w:val="20"/>
                <w:szCs w:val="20"/>
                <w:color w:val="auto"/>
              </w:rPr>
            </w:pPr>
            <w:r>
              <w:rPr>
                <w:rFonts w:ascii="Arial" w:cs="Arial" w:eastAsia="Arial" w:hAnsi="Arial"/>
                <w:sz w:val="12"/>
                <w:szCs w:val="12"/>
                <w:color w:val="auto"/>
              </w:rPr>
              <w:t>1921</w:t>
            </w:r>
          </w:p>
        </w:tc>
        <w:tc>
          <w:tcPr>
            <w:tcW w:w="1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2"/>
                <w:szCs w:val="12"/>
                <w:color w:val="auto"/>
              </w:rPr>
              <w:t>Plaza District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13,069</w:t>
            </w:r>
          </w:p>
        </w:tc>
        <w:tc>
          <w:tcPr>
            <w:tcW w:w="900" w:type="dxa"/>
            <w:vAlign w:val="bottom"/>
            <w:gridSpan w:val="4"/>
          </w:tcPr>
          <w:p>
            <w:pPr>
              <w:jc w:val="center"/>
              <w:ind w:left="78"/>
              <w:spacing w:after="0"/>
              <w:rPr>
                <w:sz w:val="20"/>
                <w:szCs w:val="20"/>
                <w:color w:val="auto"/>
              </w:rPr>
            </w:pPr>
            <w:r>
              <w:rPr>
                <w:rFonts w:ascii="Arial" w:cs="Arial" w:eastAsia="Arial" w:hAnsi="Arial"/>
                <w:sz w:val="12"/>
                <w:szCs w:val="12"/>
                <w:color w:val="auto"/>
                <w:w w:val="93"/>
              </w:rPr>
              <w:t>100.0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95"/>
              </w:rPr>
              <w:t>1.4</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89"/>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353.81</w:t>
            </w: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115 Spring Street— 51.00%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1900</w:t>
            </w:r>
          </w:p>
        </w:tc>
        <w:tc>
          <w:tcPr>
            <w:tcW w:w="1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Soho</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5,218</w:t>
            </w:r>
          </w:p>
        </w:tc>
        <w:tc>
          <w:tcPr>
            <w:tcW w:w="900" w:type="dxa"/>
            <w:vAlign w:val="bottom"/>
            <w:gridSpan w:val="4"/>
            <w:shd w:val="clear" w:color="auto" w:fill="CCEEFF"/>
          </w:tcPr>
          <w:p>
            <w:pPr>
              <w:jc w:val="center"/>
              <w:ind w:left="78"/>
              <w:spacing w:after="0"/>
              <w:rPr>
                <w:sz w:val="20"/>
                <w:szCs w:val="20"/>
                <w:color w:val="auto"/>
              </w:rPr>
            </w:pPr>
            <w:r>
              <w:rPr>
                <w:rFonts w:ascii="Arial" w:cs="Arial" w:eastAsia="Arial" w:hAnsi="Arial"/>
                <w:sz w:val="12"/>
                <w:szCs w:val="12"/>
                <w:color w:val="auto"/>
                <w:w w:val="93"/>
              </w:rPr>
              <w:t>100.0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5"/>
              </w:rPr>
              <w:t>4.1</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744.84</w:t>
            </w:r>
          </w:p>
        </w:tc>
        <w:tc>
          <w:tcPr>
            <w:tcW w:w="0" w:type="dxa"/>
            <w:vAlign w:val="bottom"/>
          </w:tcPr>
          <w:p>
            <w:pPr>
              <w:spacing w:after="0"/>
              <w:rPr>
                <w:sz w:val="1"/>
                <w:szCs w:val="1"/>
                <w:color w:val="auto"/>
              </w:rPr>
            </w:pPr>
          </w:p>
        </w:tc>
      </w:tr>
      <w:tr>
        <w:trPr>
          <w:trHeight w:val="165"/>
        </w:trPr>
        <w:tc>
          <w:tcPr>
            <w:tcW w:w="2660" w:type="dxa"/>
            <w:vAlign w:val="bottom"/>
            <w:gridSpan w:val="2"/>
          </w:tcPr>
          <w:p>
            <w:pPr>
              <w:ind w:left="20"/>
              <w:spacing w:after="0"/>
              <w:rPr>
                <w:sz w:val="20"/>
                <w:szCs w:val="20"/>
                <w:color w:val="auto"/>
              </w:rPr>
            </w:pPr>
            <w:r>
              <w:rPr>
                <w:rFonts w:ascii="Arial" w:cs="Arial" w:eastAsia="Arial" w:hAnsi="Arial"/>
                <w:sz w:val="12"/>
                <w:szCs w:val="12"/>
                <w:color w:val="auto"/>
              </w:rPr>
              <w:t>121 Greene Street—50.00%</w:t>
            </w:r>
          </w:p>
        </w:tc>
        <w:tc>
          <w:tcPr>
            <w:tcW w:w="840" w:type="dxa"/>
            <w:vAlign w:val="bottom"/>
          </w:tcPr>
          <w:p>
            <w:pPr>
              <w:jc w:val="right"/>
              <w:spacing w:after="0"/>
              <w:rPr>
                <w:sz w:val="20"/>
                <w:szCs w:val="20"/>
                <w:color w:val="auto"/>
              </w:rPr>
            </w:pPr>
            <w:r>
              <w:rPr>
                <w:rFonts w:ascii="Arial" w:cs="Arial" w:eastAsia="Arial" w:hAnsi="Arial"/>
                <w:sz w:val="12"/>
                <w:szCs w:val="12"/>
                <w:color w:val="auto"/>
              </w:rPr>
              <w:t>1887</w:t>
            </w:r>
          </w:p>
        </w:tc>
        <w:tc>
          <w:tcPr>
            <w:tcW w:w="1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2"/>
                <w:szCs w:val="12"/>
                <w:color w:val="auto"/>
              </w:rPr>
              <w:t>Soho</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7,131</w:t>
            </w:r>
          </w:p>
        </w:tc>
        <w:tc>
          <w:tcPr>
            <w:tcW w:w="900" w:type="dxa"/>
            <w:vAlign w:val="bottom"/>
            <w:gridSpan w:val="4"/>
          </w:tcPr>
          <w:p>
            <w:pPr>
              <w:jc w:val="center"/>
              <w:ind w:left="78"/>
              <w:spacing w:after="0"/>
              <w:rPr>
                <w:sz w:val="20"/>
                <w:szCs w:val="20"/>
                <w:color w:val="auto"/>
              </w:rPr>
            </w:pPr>
            <w:r>
              <w:rPr>
                <w:rFonts w:ascii="Arial" w:cs="Arial" w:eastAsia="Arial" w:hAnsi="Arial"/>
                <w:sz w:val="12"/>
                <w:szCs w:val="12"/>
                <w:color w:val="auto"/>
                <w:w w:val="93"/>
              </w:rPr>
              <w:t>100.0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95"/>
              </w:rPr>
              <w:t>1.5</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200.53</w:t>
            </w: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650 Fifth Avenue— 50.00%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1977-1978</w:t>
            </w:r>
          </w:p>
        </w:tc>
        <w:tc>
          <w:tcPr>
            <w:tcW w:w="1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Plaza District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69,214</w:t>
            </w:r>
          </w:p>
        </w:tc>
        <w:tc>
          <w:tcPr>
            <w:tcW w:w="900" w:type="dxa"/>
            <w:vAlign w:val="bottom"/>
            <w:gridSpan w:val="4"/>
            <w:shd w:val="clear" w:color="auto" w:fill="CCEEFF"/>
          </w:tcPr>
          <w:p>
            <w:pPr>
              <w:jc w:val="center"/>
              <w:ind w:left="78"/>
              <w:spacing w:after="0"/>
              <w:rPr>
                <w:sz w:val="20"/>
                <w:szCs w:val="20"/>
                <w:color w:val="auto"/>
              </w:rPr>
            </w:pPr>
            <w:r>
              <w:rPr>
                <w:rFonts w:ascii="Arial" w:cs="Arial" w:eastAsia="Arial" w:hAnsi="Arial"/>
                <w:sz w:val="12"/>
                <w:szCs w:val="12"/>
                <w:color w:val="auto"/>
                <w:w w:val="93"/>
              </w:rPr>
              <w:t>100.0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5"/>
              </w:rPr>
              <w:t>39.2</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552.72</w:t>
            </w:r>
          </w:p>
        </w:tc>
        <w:tc>
          <w:tcPr>
            <w:tcW w:w="0" w:type="dxa"/>
            <w:vAlign w:val="bottom"/>
          </w:tcPr>
          <w:p>
            <w:pPr>
              <w:spacing w:after="0"/>
              <w:rPr>
                <w:sz w:val="1"/>
                <w:szCs w:val="1"/>
                <w:color w:val="auto"/>
              </w:rPr>
            </w:pPr>
          </w:p>
        </w:tc>
      </w:tr>
      <w:tr>
        <w:trPr>
          <w:trHeight w:val="165"/>
        </w:trPr>
        <w:tc>
          <w:tcPr>
            <w:tcW w:w="2660" w:type="dxa"/>
            <w:vAlign w:val="bottom"/>
            <w:gridSpan w:val="2"/>
          </w:tcPr>
          <w:p>
            <w:pPr>
              <w:ind w:left="20"/>
              <w:spacing w:after="0"/>
              <w:rPr>
                <w:sz w:val="20"/>
                <w:szCs w:val="20"/>
                <w:color w:val="auto"/>
              </w:rPr>
            </w:pPr>
            <w:r>
              <w:rPr>
                <w:rFonts w:ascii="Arial" w:cs="Arial" w:eastAsia="Arial" w:hAnsi="Arial"/>
                <w:sz w:val="12"/>
                <w:szCs w:val="12"/>
                <w:color w:val="auto"/>
              </w:rPr>
              <w:t>717 Fifth Avenue—10.92%</w:t>
            </w:r>
          </w:p>
        </w:tc>
        <w:tc>
          <w:tcPr>
            <w:tcW w:w="840" w:type="dxa"/>
            <w:vAlign w:val="bottom"/>
          </w:tcPr>
          <w:p>
            <w:pPr>
              <w:jc w:val="right"/>
              <w:spacing w:after="0"/>
              <w:rPr>
                <w:sz w:val="20"/>
                <w:szCs w:val="20"/>
                <w:color w:val="auto"/>
              </w:rPr>
            </w:pPr>
            <w:r>
              <w:rPr>
                <w:rFonts w:ascii="Arial" w:cs="Arial" w:eastAsia="Arial" w:hAnsi="Arial"/>
                <w:sz w:val="12"/>
                <w:szCs w:val="12"/>
                <w:color w:val="auto"/>
              </w:rPr>
              <w:t>1958/2000</w:t>
            </w:r>
          </w:p>
        </w:tc>
        <w:tc>
          <w:tcPr>
            <w:tcW w:w="1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2"/>
                <w:szCs w:val="12"/>
                <w:color w:val="auto"/>
              </w:rPr>
              <w:t>Midtown/Plaza District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119,550</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93"/>
              </w:rPr>
              <w:t>90.4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50,649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85"/>
              </w:rPr>
              <w:t>11.3</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451.21</w:t>
            </w: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719 Seventh Avenue—75.00%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w:t>
            </w:r>
          </w:p>
        </w:tc>
        <w:tc>
          <w:tcPr>
            <w:tcW w:w="1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Times Square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10,040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660" w:type="dxa"/>
            <w:vAlign w:val="bottom"/>
            <w:gridSpan w:val="2"/>
          </w:tcPr>
          <w:p>
            <w:pPr>
              <w:ind w:left="20"/>
              <w:spacing w:after="0"/>
              <w:rPr>
                <w:sz w:val="20"/>
                <w:szCs w:val="20"/>
                <w:color w:val="auto"/>
              </w:rPr>
            </w:pPr>
            <w:r>
              <w:rPr>
                <w:rFonts w:ascii="Arial" w:cs="Arial" w:eastAsia="Arial" w:hAnsi="Arial"/>
                <w:sz w:val="12"/>
                <w:szCs w:val="12"/>
                <w:color w:val="auto"/>
              </w:rPr>
              <w:t>1552-1560 Broadway—50.00%</w:t>
            </w:r>
          </w:p>
        </w:tc>
        <w:tc>
          <w:tcPr>
            <w:tcW w:w="840" w:type="dxa"/>
            <w:vAlign w:val="bottom"/>
          </w:tcPr>
          <w:p>
            <w:pPr>
              <w:jc w:val="right"/>
              <w:spacing w:after="0"/>
              <w:rPr>
                <w:sz w:val="20"/>
                <w:szCs w:val="20"/>
                <w:color w:val="auto"/>
              </w:rPr>
            </w:pPr>
            <w:r>
              <w:rPr>
                <w:rFonts w:ascii="Arial" w:cs="Arial" w:eastAsia="Arial" w:hAnsi="Arial"/>
                <w:sz w:val="12"/>
                <w:szCs w:val="12"/>
                <w:color w:val="auto"/>
              </w:rPr>
              <w:t>1926/2014</w:t>
            </w:r>
          </w:p>
        </w:tc>
        <w:tc>
          <w:tcPr>
            <w:tcW w:w="1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2"/>
                <w:szCs w:val="12"/>
                <w:color w:val="auto"/>
              </w:rPr>
              <w:t>Times Square</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57,718</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93"/>
              </w:rPr>
              <w:t>88.3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29,885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85"/>
              </w:rPr>
              <w:t>30.6</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662.44</w:t>
            </w: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Added to Same Store in 2022</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60" w:type="dxa"/>
            <w:vAlign w:val="bottom"/>
            <w:gridSpan w:val="2"/>
          </w:tcPr>
          <w:p>
            <w:pPr>
              <w:ind w:left="20"/>
              <w:spacing w:after="0"/>
              <w:rPr>
                <w:sz w:val="20"/>
                <w:szCs w:val="20"/>
                <w:color w:val="auto"/>
              </w:rPr>
            </w:pPr>
            <w:r>
              <w:rPr>
                <w:rFonts w:ascii="Arial" w:cs="Arial" w:eastAsia="Arial" w:hAnsi="Arial"/>
                <w:sz w:val="12"/>
                <w:szCs w:val="12"/>
                <w:color w:val="auto"/>
              </w:rPr>
              <w:t>85 Fifth Avenue—36.30%</w:t>
            </w:r>
          </w:p>
        </w:tc>
        <w:tc>
          <w:tcPr>
            <w:tcW w:w="840" w:type="dxa"/>
            <w:vAlign w:val="bottom"/>
          </w:tcPr>
          <w:p>
            <w:pPr>
              <w:jc w:val="right"/>
              <w:spacing w:after="0"/>
              <w:rPr>
                <w:sz w:val="20"/>
                <w:szCs w:val="20"/>
                <w:color w:val="auto"/>
              </w:rPr>
            </w:pPr>
            <w:r>
              <w:rPr>
                <w:rFonts w:ascii="Arial" w:cs="Arial" w:eastAsia="Arial" w:hAnsi="Arial"/>
                <w:sz w:val="12"/>
                <w:szCs w:val="12"/>
                <w:color w:val="auto"/>
              </w:rPr>
              <w:t>1901/1979</w:t>
            </w:r>
          </w:p>
        </w:tc>
        <w:tc>
          <w:tcPr>
            <w:tcW w:w="1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2"/>
                <w:szCs w:val="12"/>
                <w:color w:val="auto"/>
              </w:rPr>
              <w:t>Midtown South</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12,946</w:t>
            </w:r>
          </w:p>
        </w:tc>
        <w:tc>
          <w:tcPr>
            <w:tcW w:w="900" w:type="dxa"/>
            <w:vAlign w:val="bottom"/>
            <w:gridSpan w:val="4"/>
          </w:tcPr>
          <w:p>
            <w:pPr>
              <w:jc w:val="center"/>
              <w:ind w:left="78"/>
              <w:spacing w:after="0"/>
              <w:rPr>
                <w:sz w:val="20"/>
                <w:szCs w:val="20"/>
                <w:color w:val="auto"/>
              </w:rPr>
            </w:pPr>
            <w:r>
              <w:rPr>
                <w:rFonts w:ascii="Arial" w:cs="Arial" w:eastAsia="Arial" w:hAnsi="Arial"/>
                <w:sz w:val="12"/>
                <w:szCs w:val="12"/>
                <w:color w:val="auto"/>
                <w:w w:val="93"/>
              </w:rPr>
              <w:t>100.0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95"/>
              </w:rPr>
              <w:t>1.6</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89"/>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160.40</w:t>
            </w:r>
          </w:p>
        </w:tc>
        <w:tc>
          <w:tcPr>
            <w:tcW w:w="0" w:type="dxa"/>
            <w:vAlign w:val="bottom"/>
          </w:tcPr>
          <w:p>
            <w:pPr>
              <w:spacing w:after="0"/>
              <w:rPr>
                <w:sz w:val="1"/>
                <w:szCs w:val="1"/>
                <w:color w:val="auto"/>
              </w:rPr>
            </w:pPr>
          </w:p>
        </w:tc>
      </w:tr>
      <w:tr>
        <w:trPr>
          <w:trHeight w:val="173"/>
        </w:trPr>
        <w:tc>
          <w:tcPr>
            <w:tcW w:w="26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b w:val="1"/>
                <w:bCs w:val="1"/>
                <w:color w:val="auto"/>
              </w:rPr>
              <w:t>Subtotal/Weighted Average</w:t>
            </w:r>
          </w:p>
        </w:tc>
        <w:tc>
          <w:tcPr>
            <w:tcW w:w="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312,036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CCEEFF"/>
            </w:tcBorders>
            <w:gridSpan w:val="3"/>
            <w:shd w:val="clear" w:color="auto" w:fill="CCEEFF"/>
          </w:tcPr>
          <w:p>
            <w:pPr>
              <w:jc w:val="center"/>
              <w:ind w:left="38"/>
              <w:spacing w:after="0"/>
              <w:rPr>
                <w:sz w:val="20"/>
                <w:szCs w:val="20"/>
                <w:color w:val="auto"/>
              </w:rPr>
            </w:pPr>
            <w:r>
              <w:rPr>
                <w:rFonts w:ascii="Arial" w:cs="Arial" w:eastAsia="Arial" w:hAnsi="Arial"/>
                <w:sz w:val="12"/>
                <w:szCs w:val="12"/>
                <w:b w:val="1"/>
                <w:bCs w:val="1"/>
                <w:color w:val="auto"/>
                <w:w w:val="99"/>
              </w:rPr>
              <w:t>90.9%</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131,718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91.8%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rPr>
              <w:t>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660" w:type="dxa"/>
            <w:vAlign w:val="bottom"/>
            <w:gridSpan w:val="2"/>
          </w:tcPr>
          <w:p>
            <w:pPr>
              <w:ind w:left="20"/>
              <w:spacing w:after="0"/>
              <w:rPr>
                <w:sz w:val="20"/>
                <w:szCs w:val="20"/>
                <w:color w:val="auto"/>
              </w:rPr>
            </w:pPr>
            <w:r>
              <w:rPr>
                <w:rFonts w:ascii="Arial" w:cs="Arial" w:eastAsia="Arial" w:hAnsi="Arial"/>
                <w:sz w:val="12"/>
                <w:szCs w:val="12"/>
                <w:b w:val="1"/>
                <w:bCs w:val="1"/>
                <w:color w:val="auto"/>
              </w:rPr>
              <w:t>"Non Same Store" Prime Retail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690 Madison Avenue—100.00%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1879/1996/2009</w:t>
            </w:r>
          </w:p>
        </w:tc>
        <w:tc>
          <w:tcPr>
            <w:tcW w:w="1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Plaza District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7,848</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93"/>
              </w:rPr>
              <w:t>100.0%</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4"/>
              </w:rPr>
              <w:t>8.2%</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89"/>
              </w:rPr>
              <w:t>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509.68</w:t>
            </w:r>
          </w:p>
        </w:tc>
        <w:tc>
          <w:tcPr>
            <w:tcW w:w="0" w:type="dxa"/>
            <w:vAlign w:val="bottom"/>
          </w:tcPr>
          <w:p>
            <w:pPr>
              <w:spacing w:after="0"/>
              <w:rPr>
                <w:sz w:val="1"/>
                <w:szCs w:val="1"/>
                <w:color w:val="auto"/>
              </w:rPr>
            </w:pPr>
          </w:p>
        </w:tc>
      </w:tr>
      <w:tr>
        <w:trPr>
          <w:trHeight w:val="160"/>
        </w:trPr>
        <w:tc>
          <w:tcPr>
            <w:tcW w:w="2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2"/>
                <w:szCs w:val="12"/>
                <w:b w:val="1"/>
                <w:bCs w:val="1"/>
                <w:color w:val="auto"/>
              </w:rPr>
              <w:t>Subtotal/Weighted Average</w:t>
            </w:r>
          </w:p>
        </w:tc>
        <w:tc>
          <w:tcPr>
            <w:tcW w:w="8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7,848</w:t>
            </w:r>
          </w:p>
        </w:tc>
        <w:tc>
          <w:tcPr>
            <w:tcW w:w="20" w:type="dxa"/>
            <w:vAlign w:val="bottom"/>
            <w:tcBorders>
              <w:top w:val="single" w:sz="8" w:color="auto"/>
              <w:bottom w:val="single" w:sz="8" w:color="auto"/>
            </w:tcBorders>
          </w:tcPr>
          <w:p>
            <w:pPr>
              <w:spacing w:after="0"/>
              <w:rPr>
                <w:sz w:val="13"/>
                <w:szCs w:val="13"/>
                <w:color w:val="auto"/>
              </w:rPr>
            </w:pPr>
          </w:p>
        </w:tc>
        <w:tc>
          <w:tcPr>
            <w:tcW w:w="880" w:type="dxa"/>
            <w:vAlign w:val="bottom"/>
            <w:tcBorders>
              <w:bottom w:val="single" w:sz="8" w:color="CCEEFF"/>
            </w:tcBorders>
            <w:gridSpan w:val="3"/>
          </w:tcPr>
          <w:p>
            <w:pPr>
              <w:jc w:val="center"/>
              <w:ind w:left="58"/>
              <w:spacing w:after="0"/>
              <w:rPr>
                <w:sz w:val="20"/>
                <w:szCs w:val="20"/>
                <w:color w:val="auto"/>
              </w:rPr>
            </w:pPr>
            <w:r>
              <w:rPr>
                <w:rFonts w:ascii="Arial" w:cs="Arial" w:eastAsia="Arial" w:hAnsi="Arial"/>
                <w:sz w:val="12"/>
                <w:szCs w:val="12"/>
                <w:b w:val="1"/>
                <w:bCs w:val="1"/>
                <w:color w:val="auto"/>
                <w:w w:val="98"/>
              </w:rPr>
              <w:t>100.0%</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4,000</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8.2%</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gridSpan w:val="2"/>
          </w:tcPr>
          <w:p>
            <w:pPr>
              <w:spacing w:after="0"/>
              <w:rPr>
                <w:sz w:val="13"/>
                <w:szCs w:val="13"/>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1</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w w:val="93"/>
              </w:rPr>
              <w:t>Total / Weighted Average Prime Retail Properties</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319,884</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b w:val="1"/>
                <w:bCs w:val="1"/>
                <w:color w:val="auto"/>
                <w:w w:val="99"/>
              </w:rPr>
              <w:t>91.2%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135,718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w w:val="98"/>
              </w:rPr>
              <w:t>100.0%</w:t>
            </w:r>
          </w:p>
        </w:tc>
        <w:tc>
          <w:tcPr>
            <w:tcW w:w="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2"/>
                <w:szCs w:val="12"/>
                <w:b w:val="1"/>
                <w:bCs w:val="1"/>
                <w:color w:val="auto"/>
              </w:rPr>
              <w:t>DEVELOPMENT/REDEVELOPMENT</w:t>
            </w: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5 Times Square</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2002</w:t>
            </w:r>
          </w:p>
        </w:tc>
        <w:tc>
          <w:tcPr>
            <w:tcW w:w="1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Times Square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1,127,931</w:t>
            </w:r>
          </w:p>
        </w:tc>
        <w:tc>
          <w:tcPr>
            <w:tcW w:w="900" w:type="dxa"/>
            <w:vAlign w:val="bottom"/>
            <w:gridSpan w:val="4"/>
            <w:shd w:val="clear" w:color="auto" w:fill="CCEEFF"/>
          </w:tcPr>
          <w:p>
            <w:pPr>
              <w:jc w:val="center"/>
              <w:ind w:left="78"/>
              <w:spacing w:after="0"/>
              <w:rPr>
                <w:sz w:val="20"/>
                <w:szCs w:val="20"/>
                <w:color w:val="auto"/>
              </w:rPr>
            </w:pPr>
            <w:r>
              <w:rPr>
                <w:rFonts w:ascii="Arial" w:cs="Arial" w:eastAsia="Arial" w:hAnsi="Arial"/>
                <w:sz w:val="12"/>
                <w:szCs w:val="12"/>
                <w:color w:val="auto"/>
                <w:w w:val="93"/>
              </w:rPr>
              <w:t>22.5%</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3"/>
              </w:rPr>
              <w:t>15.3%</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89"/>
              </w:rPr>
              <w:t>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96.87</w:t>
            </w:r>
          </w:p>
        </w:tc>
        <w:tc>
          <w:tcPr>
            <w:tcW w:w="0" w:type="dxa"/>
            <w:vAlign w:val="bottom"/>
          </w:tcPr>
          <w:p>
            <w:pPr>
              <w:spacing w:after="0"/>
              <w:rPr>
                <w:sz w:val="1"/>
                <w:szCs w:val="1"/>
                <w:color w:val="auto"/>
              </w:rPr>
            </w:pPr>
          </w:p>
        </w:tc>
      </w:tr>
      <w:tr>
        <w:trPr>
          <w:trHeight w:val="165"/>
        </w:trPr>
        <w:tc>
          <w:tcPr>
            <w:tcW w:w="2660" w:type="dxa"/>
            <w:vAlign w:val="bottom"/>
            <w:gridSpan w:val="2"/>
          </w:tcPr>
          <w:p>
            <w:pPr>
              <w:ind w:left="20"/>
              <w:spacing w:after="0"/>
              <w:rPr>
                <w:sz w:val="20"/>
                <w:szCs w:val="20"/>
                <w:color w:val="auto"/>
              </w:rPr>
            </w:pPr>
            <w:r>
              <w:rPr>
                <w:rFonts w:ascii="Arial" w:cs="Arial" w:eastAsia="Arial" w:hAnsi="Arial"/>
                <w:sz w:val="12"/>
                <w:szCs w:val="12"/>
                <w:color w:val="auto"/>
              </w:rPr>
              <w:t>19 East 65th Street</w:t>
            </w:r>
          </w:p>
        </w:tc>
        <w:tc>
          <w:tcPr>
            <w:tcW w:w="840" w:type="dxa"/>
            <w:vAlign w:val="bottom"/>
          </w:tcPr>
          <w:p>
            <w:pPr>
              <w:jc w:val="right"/>
              <w:spacing w:after="0"/>
              <w:rPr>
                <w:sz w:val="20"/>
                <w:szCs w:val="20"/>
                <w:color w:val="auto"/>
              </w:rPr>
            </w:pPr>
            <w:r>
              <w:rPr>
                <w:rFonts w:ascii="Arial" w:cs="Arial" w:eastAsia="Arial" w:hAnsi="Arial"/>
                <w:sz w:val="12"/>
                <w:szCs w:val="12"/>
                <w:color w:val="auto"/>
              </w:rPr>
              <w:t>1928-1940</w:t>
            </w:r>
          </w:p>
        </w:tc>
        <w:tc>
          <w:tcPr>
            <w:tcW w:w="1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2"/>
                <w:szCs w:val="12"/>
                <w:color w:val="auto"/>
              </w:rPr>
              <w:t>Plaza District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14,639</w:t>
            </w:r>
          </w:p>
        </w:tc>
        <w:tc>
          <w:tcPr>
            <w:tcW w:w="900" w:type="dxa"/>
            <w:vAlign w:val="bottom"/>
            <w:gridSpan w:val="4"/>
          </w:tcPr>
          <w:p>
            <w:pPr>
              <w:jc w:val="center"/>
              <w:ind w:left="78"/>
              <w:spacing w:after="0"/>
              <w:rPr>
                <w:sz w:val="20"/>
                <w:szCs w:val="20"/>
                <w:color w:val="auto"/>
              </w:rPr>
            </w:pPr>
            <w:r>
              <w:rPr>
                <w:rFonts w:ascii="Arial" w:cs="Arial" w:eastAsia="Arial" w:hAnsi="Arial"/>
                <w:sz w:val="12"/>
                <w:szCs w:val="12"/>
                <w:color w:val="auto"/>
                <w:w w:val="95"/>
              </w:rPr>
              <w:t>5.5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95"/>
              </w:rPr>
              <w:t>0.1</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89"/>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40.22</w:t>
            </w: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185 Broadway</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w:t>
            </w:r>
          </w:p>
        </w:tc>
        <w:tc>
          <w:tcPr>
            <w:tcW w:w="1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Lower Manhattan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50,206</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93"/>
              </w:rPr>
              <w:t>25.9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5"/>
              </w:rPr>
              <w:t>6.3</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89"/>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263.19</w:t>
            </w:r>
          </w:p>
        </w:tc>
        <w:tc>
          <w:tcPr>
            <w:tcW w:w="0" w:type="dxa"/>
            <w:vAlign w:val="bottom"/>
          </w:tcPr>
          <w:p>
            <w:pPr>
              <w:spacing w:after="0"/>
              <w:rPr>
                <w:sz w:val="1"/>
                <w:szCs w:val="1"/>
                <w:color w:val="auto"/>
              </w:rPr>
            </w:pPr>
          </w:p>
        </w:tc>
      </w:tr>
      <w:tr>
        <w:trPr>
          <w:trHeight w:val="165"/>
        </w:trPr>
        <w:tc>
          <w:tcPr>
            <w:tcW w:w="2660" w:type="dxa"/>
            <w:vAlign w:val="bottom"/>
            <w:gridSpan w:val="2"/>
          </w:tcPr>
          <w:p>
            <w:pPr>
              <w:ind w:left="20"/>
              <w:spacing w:after="0"/>
              <w:rPr>
                <w:sz w:val="20"/>
                <w:szCs w:val="20"/>
                <w:color w:val="auto"/>
              </w:rPr>
            </w:pPr>
            <w:r>
              <w:rPr>
                <w:rFonts w:ascii="Arial" w:cs="Arial" w:eastAsia="Arial" w:hAnsi="Arial"/>
                <w:sz w:val="12"/>
                <w:szCs w:val="12"/>
                <w:color w:val="auto"/>
              </w:rPr>
              <w:t>625 Madison Avenue</w:t>
            </w:r>
          </w:p>
        </w:tc>
        <w:tc>
          <w:tcPr>
            <w:tcW w:w="840" w:type="dxa"/>
            <w:vAlign w:val="bottom"/>
          </w:tcPr>
          <w:p>
            <w:pPr>
              <w:jc w:val="right"/>
              <w:spacing w:after="0"/>
              <w:rPr>
                <w:sz w:val="20"/>
                <w:szCs w:val="20"/>
                <w:color w:val="auto"/>
              </w:rPr>
            </w:pPr>
            <w:r>
              <w:rPr>
                <w:rFonts w:ascii="Arial" w:cs="Arial" w:eastAsia="Arial" w:hAnsi="Arial"/>
                <w:sz w:val="12"/>
                <w:szCs w:val="12"/>
                <w:color w:val="auto"/>
              </w:rPr>
              <w:t>1956/2002</w:t>
            </w:r>
          </w:p>
        </w:tc>
        <w:tc>
          <w:tcPr>
            <w:tcW w:w="1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2"/>
                <w:szCs w:val="12"/>
                <w:color w:val="auto"/>
              </w:rPr>
              <w:t>Plaza District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563,000</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93"/>
              </w:rPr>
              <w:t>18.1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13,180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85"/>
              </w:rPr>
              <w:t>25.7</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129.52</w:t>
            </w: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750 Third Avenue</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1958/2006</w:t>
            </w:r>
          </w:p>
        </w:tc>
        <w:tc>
          <w:tcPr>
            <w:tcW w:w="1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Grand Central North</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780,000</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w w:val="93"/>
              </w:rPr>
              <w:t>24.0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5"/>
              </w:rPr>
              <w:t>25.8</w:t>
            </w:r>
          </w:p>
        </w:tc>
        <w:tc>
          <w:tcPr>
            <w:tcW w:w="900" w:type="dxa"/>
            <w:vAlign w:val="bottom"/>
            <w:gridSpan w:val="4"/>
            <w:shd w:val="clear" w:color="auto" w:fill="CCEEFF"/>
          </w:tcPr>
          <w:p>
            <w:pPr>
              <w:jc w:val="center"/>
              <w:ind w:left="58"/>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62.42</w:t>
            </w:r>
          </w:p>
        </w:tc>
        <w:tc>
          <w:tcPr>
            <w:tcW w:w="0" w:type="dxa"/>
            <w:vAlign w:val="bottom"/>
          </w:tcPr>
          <w:p>
            <w:pPr>
              <w:spacing w:after="0"/>
              <w:rPr>
                <w:sz w:val="1"/>
                <w:szCs w:val="1"/>
                <w:color w:val="auto"/>
              </w:rPr>
            </w:pPr>
          </w:p>
        </w:tc>
      </w:tr>
      <w:tr>
        <w:trPr>
          <w:trHeight w:val="165"/>
        </w:trPr>
        <w:tc>
          <w:tcPr>
            <w:tcW w:w="2660" w:type="dxa"/>
            <w:vAlign w:val="bottom"/>
            <w:gridSpan w:val="2"/>
          </w:tcPr>
          <w:p>
            <w:pPr>
              <w:ind w:left="20"/>
              <w:spacing w:after="0"/>
              <w:rPr>
                <w:sz w:val="20"/>
                <w:szCs w:val="20"/>
                <w:color w:val="auto"/>
              </w:rPr>
            </w:pPr>
            <w:r>
              <w:rPr>
                <w:rFonts w:ascii="Arial" w:cs="Arial" w:eastAsia="Arial" w:hAnsi="Arial"/>
                <w:sz w:val="12"/>
                <w:szCs w:val="12"/>
                <w:color w:val="auto"/>
              </w:rPr>
              <w:t>885 Third Avenue</w:t>
            </w:r>
          </w:p>
        </w:tc>
        <w:tc>
          <w:tcPr>
            <w:tcW w:w="840" w:type="dxa"/>
            <w:vAlign w:val="bottom"/>
          </w:tcPr>
          <w:p>
            <w:pPr>
              <w:jc w:val="right"/>
              <w:spacing w:after="0"/>
              <w:rPr>
                <w:sz w:val="20"/>
                <w:szCs w:val="20"/>
                <w:color w:val="auto"/>
              </w:rPr>
            </w:pPr>
            <w:r>
              <w:rPr>
                <w:rFonts w:ascii="Arial" w:cs="Arial" w:eastAsia="Arial" w:hAnsi="Arial"/>
                <w:sz w:val="12"/>
                <w:szCs w:val="12"/>
                <w:color w:val="auto"/>
              </w:rPr>
              <w:t>1986/2006</w:t>
            </w:r>
          </w:p>
        </w:tc>
        <w:tc>
          <w:tcPr>
            <w:tcW w:w="1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2"/>
                <w:szCs w:val="12"/>
                <w:color w:val="auto"/>
              </w:rPr>
              <w:t>Midtown / Plaza District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218,796</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w w:val="93"/>
              </w:rPr>
              <w:t>76.5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13,752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85"/>
              </w:rPr>
              <w:t>26.8</w:t>
            </w:r>
          </w:p>
        </w:tc>
        <w:tc>
          <w:tcPr>
            <w:tcW w:w="900" w:type="dxa"/>
            <w:vAlign w:val="bottom"/>
            <w:gridSpan w:val="4"/>
          </w:tcPr>
          <w:p>
            <w:pPr>
              <w:jc w:val="center"/>
              <w:ind w:left="58"/>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82.67</w:t>
            </w: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2"/>
                <w:szCs w:val="12"/>
                <w:color w:val="auto"/>
              </w:rPr>
              <w:t xml:space="preserve">15 Beekman—20.00% </w:t>
            </w:r>
            <w:r>
              <w:rPr>
                <w:rFonts w:ascii="Arial" w:cs="Arial" w:eastAsia="Arial" w:hAnsi="Arial"/>
                <w:sz w:val="16"/>
                <w:szCs w:val="16"/>
                <w:color w:val="auto"/>
                <w:vertAlign w:val="superscript"/>
              </w:rPr>
              <w:t>(6)</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N/A</w:t>
            </w: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Lower Manhattan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221,884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N/A</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center"/>
              <w:ind w:right="200"/>
              <w:spacing w:after="0"/>
              <w:rPr>
                <w:sz w:val="20"/>
                <w:szCs w:val="20"/>
                <w:color w:val="auto"/>
              </w:rPr>
            </w:pPr>
            <w:r>
              <w:rPr>
                <w:rFonts w:ascii="Arial" w:cs="Arial" w:eastAsia="Arial" w:hAnsi="Arial"/>
                <w:sz w:val="12"/>
                <w:szCs w:val="12"/>
                <w:color w:val="auto"/>
              </w:rPr>
              <w:t>N/A</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N/A</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660" w:type="dxa"/>
            <w:vAlign w:val="bottom"/>
            <w:gridSpan w:val="2"/>
          </w:tcPr>
          <w:p>
            <w:pPr>
              <w:ind w:left="20"/>
              <w:spacing w:after="0" w:line="173" w:lineRule="exact"/>
              <w:rPr>
                <w:sz w:val="20"/>
                <w:szCs w:val="20"/>
                <w:color w:val="auto"/>
              </w:rPr>
            </w:pPr>
            <w:r>
              <w:rPr>
                <w:rFonts w:ascii="Arial" w:cs="Arial" w:eastAsia="Arial" w:hAnsi="Arial"/>
                <w:sz w:val="12"/>
                <w:szCs w:val="12"/>
                <w:color w:val="auto"/>
              </w:rPr>
              <w:t xml:space="preserve">One Madison Avenue—25.50% </w:t>
            </w:r>
            <w:r>
              <w:rPr>
                <w:rFonts w:ascii="Arial" w:cs="Arial" w:eastAsia="Arial" w:hAnsi="Arial"/>
                <w:sz w:val="16"/>
                <w:szCs w:val="16"/>
                <w:color w:val="auto"/>
                <w:vertAlign w:val="superscript"/>
              </w:rPr>
              <w:t>(7)</w:t>
            </w:r>
          </w:p>
        </w:tc>
        <w:tc>
          <w:tcPr>
            <w:tcW w:w="960" w:type="dxa"/>
            <w:vAlign w:val="bottom"/>
            <w:gridSpan w:val="2"/>
          </w:tcPr>
          <w:p>
            <w:pPr>
              <w:ind w:left="620"/>
              <w:spacing w:after="0"/>
              <w:rPr>
                <w:sz w:val="20"/>
                <w:szCs w:val="20"/>
                <w:color w:val="auto"/>
              </w:rPr>
            </w:pPr>
            <w:r>
              <w:rPr>
                <w:rFonts w:ascii="Arial" w:cs="Arial" w:eastAsia="Arial" w:hAnsi="Arial"/>
                <w:sz w:val="12"/>
                <w:szCs w:val="12"/>
                <w:color w:val="auto"/>
              </w:rPr>
              <w:t>N/A</w:t>
            </w:r>
          </w:p>
        </w:tc>
        <w:tc>
          <w:tcPr>
            <w:tcW w:w="1840" w:type="dxa"/>
            <w:vAlign w:val="bottom"/>
            <w:gridSpan w:val="3"/>
          </w:tcPr>
          <w:p>
            <w:pPr>
              <w:ind w:left="20"/>
              <w:spacing w:after="0"/>
              <w:rPr>
                <w:sz w:val="20"/>
                <w:szCs w:val="20"/>
                <w:color w:val="auto"/>
              </w:rPr>
            </w:pPr>
            <w:r>
              <w:rPr>
                <w:rFonts w:ascii="Arial" w:cs="Arial" w:eastAsia="Arial" w:hAnsi="Arial"/>
                <w:sz w:val="12"/>
                <w:szCs w:val="12"/>
                <w:color w:val="auto"/>
              </w:rPr>
              <w:t>Midtown South</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1,396,426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760 Madison</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1996/2012</w:t>
            </w:r>
          </w:p>
        </w:tc>
        <w:tc>
          <w:tcPr>
            <w:tcW w:w="1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Plaza District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58,574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N/A</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center"/>
              <w:ind w:right="200"/>
              <w:spacing w:after="0"/>
              <w:rPr>
                <w:sz w:val="20"/>
                <w:szCs w:val="20"/>
                <w:color w:val="auto"/>
              </w:rPr>
            </w:pPr>
            <w:r>
              <w:rPr>
                <w:rFonts w:ascii="Arial" w:cs="Arial" w:eastAsia="Arial" w:hAnsi="Arial"/>
                <w:sz w:val="12"/>
                <w:szCs w:val="12"/>
                <w:color w:val="auto"/>
              </w:rPr>
              <w:t>N/A</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N/A</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3620" w:type="dxa"/>
            <w:vAlign w:val="bottom"/>
            <w:gridSpan w:val="4"/>
          </w:tcPr>
          <w:p>
            <w:pPr>
              <w:ind w:left="20"/>
              <w:spacing w:after="0"/>
              <w:rPr>
                <w:sz w:val="20"/>
                <w:szCs w:val="20"/>
                <w:color w:val="auto"/>
              </w:rPr>
            </w:pPr>
            <w:r>
              <w:rPr>
                <w:rFonts w:ascii="Arial" w:cs="Arial" w:eastAsia="Arial" w:hAnsi="Arial"/>
                <w:sz w:val="12"/>
                <w:szCs w:val="12"/>
                <w:b w:val="1"/>
                <w:bCs w:val="1"/>
                <w:color w:val="auto"/>
                <w:w w:val="94"/>
              </w:rPr>
              <w:t>Total / Weighted Average Development/Redevelopment Properties</w:t>
            </w: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4,431,456</w:t>
            </w:r>
          </w:p>
        </w:tc>
        <w:tc>
          <w:tcPr>
            <w:tcW w:w="20" w:type="dxa"/>
            <w:vAlign w:val="bottom"/>
            <w:tcBorders>
              <w:top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26.3%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68,259</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100.0%</w:t>
            </w:r>
          </w:p>
        </w:tc>
        <w:tc>
          <w:tcPr>
            <w:tcW w:w="20" w:type="dxa"/>
            <w:vAlign w:val="bottom"/>
            <w:tcBorders>
              <w:top w:val="single" w:sz="8" w:color="auto"/>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2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1"/>
              </w:rPr>
              <w:t>Useable Sq.</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0"/>
              </w:rPr>
              <w:t>Percent</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Annualized</w:t>
            </w:r>
          </w:p>
        </w:tc>
        <w:tc>
          <w:tcPr>
            <w:tcW w:w="80" w:type="dxa"/>
            <w:vAlign w:val="bottom"/>
          </w:tcPr>
          <w:p>
            <w:pPr>
              <w:spacing w:after="0"/>
              <w:rPr>
                <w:sz w:val="12"/>
                <w:szCs w:val="12"/>
                <w:color w:val="auto"/>
              </w:rPr>
            </w:pPr>
          </w:p>
        </w:tc>
        <w:tc>
          <w:tcPr>
            <w:tcW w:w="820" w:type="dxa"/>
            <w:vAlign w:val="bottom"/>
          </w:tcPr>
          <w:p>
            <w:pPr>
              <w:jc w:val="center"/>
              <w:ind w:right="18"/>
              <w:spacing w:after="0"/>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0"/>
        </w:trPr>
        <w:tc>
          <w:tcPr>
            <w:tcW w:w="4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88"/>
              </w:rPr>
              <w:t>Cash</w:t>
            </w:r>
          </w:p>
        </w:tc>
        <w:tc>
          <w:tcPr>
            <w:tcW w:w="80" w:type="dxa"/>
            <w:vAlign w:val="bottom"/>
          </w:tcPr>
          <w:p>
            <w:pPr>
              <w:spacing w:after="0"/>
              <w:rPr>
                <w:sz w:val="10"/>
                <w:szCs w:val="10"/>
                <w:color w:val="auto"/>
              </w:rPr>
            </w:pPr>
          </w:p>
        </w:tc>
        <w:tc>
          <w:tcPr>
            <w:tcW w:w="820" w:type="dxa"/>
            <w:vAlign w:val="bottom"/>
          </w:tcPr>
          <w:p>
            <w:pPr>
              <w:jc w:val="center"/>
              <w:ind w:right="18"/>
              <w:spacing w:after="0" w:line="120" w:lineRule="exact"/>
              <w:rPr>
                <w:sz w:val="20"/>
                <w:szCs w:val="20"/>
                <w:color w:val="auto"/>
              </w:rPr>
            </w:pPr>
            <w:r>
              <w:rPr>
                <w:rFonts w:ascii="Arial" w:cs="Arial" w:eastAsia="Arial" w:hAnsi="Arial"/>
                <w:sz w:val="12"/>
                <w:szCs w:val="12"/>
                <w:b w:val="1"/>
                <w:bCs w:val="1"/>
                <w:color w:val="auto"/>
                <w:w w:val="97"/>
              </w:rPr>
              <w:t>Monthly Rent</w:t>
            </w:r>
          </w:p>
        </w:tc>
        <w:tc>
          <w:tcPr>
            <w:tcW w:w="0" w:type="dxa"/>
            <w:vAlign w:val="bottom"/>
          </w:tcPr>
          <w:p>
            <w:pPr>
              <w:spacing w:after="0"/>
              <w:rPr>
                <w:sz w:val="1"/>
                <w:szCs w:val="1"/>
                <w:color w:val="auto"/>
              </w:rPr>
            </w:pPr>
          </w:p>
        </w:tc>
      </w:tr>
      <w:tr>
        <w:trPr>
          <w:trHeight w:val="180"/>
        </w:trPr>
        <w:tc>
          <w:tcPr>
            <w:tcW w:w="4260" w:type="dxa"/>
            <w:vAlign w:val="bottom"/>
          </w:tcPr>
          <w:p>
            <w:pPr>
              <w:spacing w:after="0"/>
              <w:rPr>
                <w:sz w:val="15"/>
                <w:szCs w:val="15"/>
                <w:color w:val="auto"/>
              </w:rPr>
            </w:pPr>
          </w:p>
        </w:tc>
        <w:tc>
          <w:tcPr>
            <w:tcW w:w="1880" w:type="dxa"/>
            <w:vAlign w:val="bottom"/>
            <w:gridSpan w:val="2"/>
          </w:tcPr>
          <w:p>
            <w:pPr>
              <w:ind w:left="600"/>
              <w:spacing w:after="0"/>
              <w:rPr>
                <w:sz w:val="20"/>
                <w:szCs w:val="20"/>
                <w:color w:val="auto"/>
              </w:rPr>
            </w:pPr>
            <w:r>
              <w:rPr>
                <w:rFonts w:ascii="Arial" w:cs="Arial" w:eastAsia="Arial" w:hAnsi="Arial"/>
                <w:sz w:val="12"/>
                <w:szCs w:val="12"/>
                <w:b w:val="1"/>
                <w:bCs w:val="1"/>
                <w:color w:val="auto"/>
              </w:rPr>
              <w:t>City/ Town</w:t>
            </w: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Feet</w:t>
            </w: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 Units</w:t>
            </w: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Occupied (</w:t>
            </w:r>
            <w:r>
              <w:rPr>
                <w:rFonts w:ascii="Arial" w:cs="Arial" w:eastAsia="Arial" w:hAnsi="Arial"/>
                <w:sz w:val="10"/>
                <w:szCs w:val="10"/>
                <w:b w:val="1"/>
                <w:bCs w:val="1"/>
                <w:color w:val="auto"/>
                <w:w w:val="92"/>
              </w:rPr>
              <w:t>1</w:t>
            </w:r>
            <w:r>
              <w:rPr>
                <w:rFonts w:ascii="Arial" w:cs="Arial" w:eastAsia="Arial" w:hAnsi="Arial"/>
                <w:sz w:val="12"/>
                <w:szCs w:val="12"/>
                <w:b w:val="1"/>
                <w:bCs w:val="1"/>
                <w:color w:val="auto"/>
                <w:w w:val="92"/>
              </w:rPr>
              <w:t>)</w:t>
            </w: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Rent (</w:t>
            </w:r>
            <w:r>
              <w:rPr>
                <w:rFonts w:ascii="Arial" w:cs="Arial" w:eastAsia="Arial" w:hAnsi="Arial"/>
                <w:sz w:val="10"/>
                <w:szCs w:val="10"/>
                <w:b w:val="1"/>
                <w:bCs w:val="1"/>
                <w:color w:val="auto"/>
                <w:w w:val="96"/>
              </w:rPr>
              <w:t>2</w:t>
            </w:r>
            <w:r>
              <w:rPr>
                <w:rFonts w:ascii="Arial" w:cs="Arial" w:eastAsia="Arial" w:hAnsi="Arial"/>
                <w:sz w:val="12"/>
                <w:szCs w:val="12"/>
                <w:b w:val="1"/>
                <w:bCs w:val="1"/>
                <w:color w:val="auto"/>
                <w:w w:val="96"/>
              </w:rPr>
              <w:t>)</w:t>
            </w:r>
          </w:p>
        </w:tc>
        <w:tc>
          <w:tcPr>
            <w:tcW w:w="80" w:type="dxa"/>
            <w:vAlign w:val="bottom"/>
          </w:tcPr>
          <w:p>
            <w:pPr>
              <w:spacing w:after="0"/>
              <w:rPr>
                <w:sz w:val="15"/>
                <w:szCs w:val="15"/>
                <w:color w:val="auto"/>
              </w:rPr>
            </w:pPr>
          </w:p>
        </w:tc>
        <w:tc>
          <w:tcPr>
            <w:tcW w:w="820" w:type="dxa"/>
            <w:vAlign w:val="bottom"/>
          </w:tcPr>
          <w:p>
            <w:pPr>
              <w:jc w:val="center"/>
              <w:ind w:right="18"/>
              <w:spacing w:after="0"/>
              <w:rPr>
                <w:sz w:val="20"/>
                <w:szCs w:val="20"/>
                <w:color w:val="auto"/>
              </w:rPr>
            </w:pPr>
            <w:r>
              <w:rPr>
                <w:rFonts w:ascii="Arial" w:cs="Arial" w:eastAsia="Arial" w:hAnsi="Arial"/>
                <w:sz w:val="12"/>
                <w:szCs w:val="12"/>
                <w:b w:val="1"/>
                <w:bCs w:val="1"/>
                <w:color w:val="auto"/>
                <w:w w:val="99"/>
              </w:rPr>
              <w:t>Per Unit</w:t>
            </w:r>
          </w:p>
        </w:tc>
        <w:tc>
          <w:tcPr>
            <w:tcW w:w="0" w:type="dxa"/>
            <w:vAlign w:val="bottom"/>
          </w:tcPr>
          <w:p>
            <w:pPr>
              <w:spacing w:after="0"/>
              <w:rPr>
                <w:sz w:val="1"/>
                <w:szCs w:val="1"/>
                <w:color w:val="auto"/>
              </w:rPr>
            </w:pPr>
          </w:p>
        </w:tc>
      </w:tr>
      <w:tr>
        <w:trPr>
          <w:trHeight w:val="173"/>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RESIDENTIAL</w:t>
            </w:r>
          </w:p>
        </w:tc>
        <w:tc>
          <w:tcPr>
            <w:tcW w:w="1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260" w:type="dxa"/>
            <w:vAlign w:val="bottom"/>
          </w:tcPr>
          <w:p>
            <w:pPr>
              <w:ind w:left="20"/>
              <w:spacing w:after="0"/>
              <w:rPr>
                <w:sz w:val="20"/>
                <w:szCs w:val="20"/>
                <w:color w:val="auto"/>
              </w:rPr>
            </w:pPr>
            <w:r>
              <w:rPr>
                <w:rFonts w:ascii="Arial" w:cs="Arial" w:eastAsia="Arial" w:hAnsi="Arial"/>
                <w:sz w:val="12"/>
                <w:szCs w:val="12"/>
                <w:b w:val="1"/>
                <w:bCs w:val="1"/>
                <w:color w:val="auto"/>
              </w:rPr>
              <w:t>"Non Same Store" Residential</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7 Dey Street</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Lower Manhattan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140,382</w:t>
            </w:r>
          </w:p>
        </w:tc>
        <w:tc>
          <w:tcPr>
            <w:tcW w:w="1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89.5 %</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11,019</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4,910</w:t>
            </w:r>
          </w:p>
        </w:tc>
        <w:tc>
          <w:tcPr>
            <w:tcW w:w="0" w:type="dxa"/>
            <w:vAlign w:val="bottom"/>
          </w:tcPr>
          <w:p>
            <w:pPr>
              <w:spacing w:after="0"/>
              <w:rPr>
                <w:sz w:val="1"/>
                <w:szCs w:val="1"/>
                <w:color w:val="auto"/>
              </w:rPr>
            </w:pPr>
          </w:p>
        </w:tc>
      </w:tr>
      <w:tr>
        <w:trPr>
          <w:trHeight w:val="160"/>
        </w:trPr>
        <w:tc>
          <w:tcPr>
            <w:tcW w:w="4260" w:type="dxa"/>
            <w:vAlign w:val="bottom"/>
          </w:tcPr>
          <w:p>
            <w:pPr>
              <w:ind w:left="100"/>
              <w:spacing w:after="0"/>
              <w:rPr>
                <w:sz w:val="20"/>
                <w:szCs w:val="20"/>
                <w:color w:val="auto"/>
              </w:rPr>
            </w:pPr>
            <w:r>
              <w:rPr>
                <w:rFonts w:ascii="Arial" w:cs="Arial" w:eastAsia="Arial" w:hAnsi="Arial"/>
                <w:sz w:val="12"/>
                <w:szCs w:val="12"/>
                <w:b w:val="1"/>
                <w:bCs w:val="1"/>
                <w:color w:val="auto"/>
              </w:rPr>
              <w:t>Subtotal/Weighted Average</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140,382</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209</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89.5 %</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11,019</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4,910</w:t>
            </w:r>
          </w:p>
        </w:tc>
        <w:tc>
          <w:tcPr>
            <w:tcW w:w="0" w:type="dxa"/>
            <w:vAlign w:val="bottom"/>
          </w:tcPr>
          <w:p>
            <w:pPr>
              <w:spacing w:after="0"/>
              <w:rPr>
                <w:sz w:val="1"/>
                <w:szCs w:val="1"/>
                <w:color w:val="auto"/>
              </w:rPr>
            </w:pPr>
          </w:p>
        </w:tc>
      </w:tr>
      <w:tr>
        <w:trPr>
          <w:trHeight w:val="20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 Weighted Average Residential Properties</w:t>
            </w:r>
          </w:p>
        </w:tc>
        <w:tc>
          <w:tcPr>
            <w:tcW w:w="1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140,382</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209</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89.5 %</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11,019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4,910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Excludes leases signed but not yet commenced as of December 31, 2022.</w:t>
      </w:r>
    </w:p>
    <w:p>
      <w:pPr>
        <w:spacing w:after="0" w:line="10" w:lineRule="exact"/>
        <w:rPr>
          <w:rFonts w:ascii="Arial" w:cs="Arial" w:eastAsia="Arial" w:hAnsi="Arial"/>
          <w:sz w:val="14"/>
          <w:szCs w:val="14"/>
          <w:color w:val="auto"/>
        </w:rPr>
      </w:pPr>
    </w:p>
    <w:p>
      <w:pPr>
        <w:ind w:left="400" w:hanging="394"/>
        <w:spacing w:after="0" w:line="254" w:lineRule="auto"/>
        <w:tabs>
          <w:tab w:leader="none" w:pos="3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Annualized Cash Rent represents the monthly contractual rent under existing leases as of December 31, 2022 multiplied by 12. This amount reflects total rent before any rent abatements and includes expense reimbursements, which may be estimated as of such date.</w:t>
      </w:r>
    </w:p>
    <w:p>
      <w:pPr>
        <w:ind w:left="400" w:hanging="394"/>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our share of unconsolidated joint venture annualized cash rent.</w:t>
      </w:r>
    </w:p>
    <w:p>
      <w:pPr>
        <w:spacing w:after="0" w:line="12" w:lineRule="exact"/>
        <w:rPr>
          <w:rFonts w:ascii="Arial" w:cs="Arial" w:eastAsia="Arial" w:hAnsi="Arial"/>
          <w:sz w:val="14"/>
          <w:szCs w:val="14"/>
          <w:color w:val="auto"/>
        </w:rPr>
      </w:pPr>
    </w:p>
    <w:p>
      <w:pPr>
        <w:ind w:left="400" w:hanging="394"/>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Annualized Cash Rent Per Leased Square Foot represents Annualized Cash Rent, as described in footnote (1) above, presented on a per leased square foot basis.</w:t>
      </w:r>
    </w:p>
    <w:p>
      <w:pPr>
        <w:spacing w:after="0" w:line="12" w:lineRule="exact"/>
        <w:rPr>
          <w:rFonts w:ascii="Arial" w:cs="Arial" w:eastAsia="Arial" w:hAnsi="Arial"/>
          <w:sz w:val="14"/>
          <w:szCs w:val="14"/>
          <w:color w:val="auto"/>
        </w:rPr>
      </w:pPr>
    </w:p>
    <w:p>
      <w:pPr>
        <w:ind w:left="400" w:hanging="394"/>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owns 100% of the leasehold interest and 50% of the fee interest.</w:t>
      </w:r>
    </w:p>
    <w:p>
      <w:pPr>
        <w:spacing w:after="0" w:line="3" w:lineRule="exact"/>
        <w:rPr>
          <w:rFonts w:ascii="Arial" w:cs="Arial" w:eastAsia="Arial" w:hAnsi="Arial"/>
          <w:sz w:val="14"/>
          <w:szCs w:val="14"/>
          <w:color w:val="auto"/>
        </w:rPr>
      </w:pPr>
    </w:p>
    <w:p>
      <w:pPr>
        <w:jc w:val="both"/>
        <w:ind w:left="400" w:hanging="394"/>
        <w:spacing w:after="0" w:line="275" w:lineRule="auto"/>
        <w:tabs>
          <w:tab w:leader="none" w:pos="392"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0.2 million square foot development, which includes academic space and dormitory space and is 100% pre-leased to Pace University, has a total budget of $219.5 million. Delivery of the academic space was delivered in the fourth quarter of 2022 and delivery of the dormitory space is expected in the third quarter of 2023. As of December 31, 2022, $68.3 million of the budget remains to be spent, comprised of $30.0 million of partners' equity and $38.3 million of financing available under the project's construction facility.</w:t>
      </w:r>
    </w:p>
    <w:p>
      <w:pPr>
        <w:ind w:left="400" w:right="20" w:hanging="394"/>
        <w:spacing w:after="0" w:line="275" w:lineRule="auto"/>
        <w:tabs>
          <w:tab w:leader="none" w:pos="3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1.4 million square foot redevelopment, which is anticipated to be completed in the fourth quarter of 2023, has a total budget of $2.3 billion. As of December 31, 2022, $1.4 billion of the budget remains to be spent, comprised of $0.6 billion of partners' equity and $0.8 billion of financing available under the project's construction facility.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Occupancy</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Historically, we have consistently achieved materially higher occupancy rates in our Manhattan portfolio as compared to the overall midtown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Manhattan market, as shown over the last five years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Occupancy Rate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Occupancy Rate of</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Occupancy Rate of</w:t>
            </w:r>
          </w:p>
        </w:tc>
        <w:tc>
          <w:tcPr>
            <w:tcW w:w="19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Class A</w:t>
            </w:r>
          </w:p>
        </w:tc>
        <w:tc>
          <w:tcPr>
            <w:tcW w:w="1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Class B</w:t>
            </w:r>
          </w:p>
        </w:tc>
        <w:tc>
          <w:tcPr>
            <w:tcW w:w="0" w:type="dxa"/>
            <w:vAlign w:val="bottom"/>
          </w:tcPr>
          <w:p>
            <w:pPr>
              <w:spacing w:after="0"/>
              <w:rPr>
                <w:sz w:val="1"/>
                <w:szCs w:val="1"/>
                <w:color w:val="auto"/>
              </w:rPr>
            </w:pPr>
          </w:p>
        </w:tc>
      </w:tr>
      <w:tr>
        <w:trPr>
          <w:trHeight w:val="137"/>
        </w:trPr>
        <w:tc>
          <w:tcPr>
            <w:tcW w:w="554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920" w:type="dxa"/>
            <w:vAlign w:val="bottom"/>
            <w:gridSpan w:val="2"/>
          </w:tcPr>
          <w:p>
            <w:pPr>
              <w:jc w:val="center"/>
              <w:ind w:right="100"/>
              <w:spacing w:after="0" w:line="137" w:lineRule="exact"/>
              <w:rPr>
                <w:sz w:val="20"/>
                <w:szCs w:val="20"/>
                <w:color w:val="auto"/>
              </w:rPr>
            </w:pPr>
            <w:r>
              <w:rPr>
                <w:rFonts w:ascii="Arial" w:cs="Arial" w:eastAsia="Arial" w:hAnsi="Arial"/>
                <w:sz w:val="14"/>
                <w:szCs w:val="14"/>
                <w:b w:val="1"/>
                <w:bCs w:val="1"/>
                <w:color w:val="auto"/>
                <w:w w:val="90"/>
              </w:rPr>
              <w:t>Office Properties</w:t>
            </w:r>
          </w:p>
        </w:tc>
        <w:tc>
          <w:tcPr>
            <w:tcW w:w="180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Office Properties</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94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5"/>
              </w:rPr>
              <w:t>Manhattan Operating</w:t>
            </w:r>
          </w:p>
        </w:tc>
        <w:tc>
          <w:tcPr>
            <w:tcW w:w="192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5"/>
              </w:rPr>
              <w:t>in the Midtown Manhattan</w:t>
            </w:r>
          </w:p>
        </w:tc>
        <w:tc>
          <w:tcPr>
            <w:tcW w:w="1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5"/>
              </w:rPr>
              <w:t>in the Midtown Manhattan</w:t>
            </w:r>
          </w:p>
        </w:tc>
        <w:tc>
          <w:tcPr>
            <w:tcW w:w="0" w:type="dxa"/>
            <w:vAlign w:val="bottom"/>
          </w:tcPr>
          <w:p>
            <w:pPr>
              <w:spacing w:after="0"/>
              <w:rPr>
                <w:sz w:val="1"/>
                <w:szCs w:val="1"/>
                <w:color w:val="auto"/>
              </w:rPr>
            </w:pPr>
          </w:p>
        </w:tc>
      </w:tr>
      <w:tr>
        <w:trPr>
          <w:trHeight w:val="194"/>
        </w:trPr>
        <w:tc>
          <w:tcPr>
            <w:tcW w:w="5540" w:type="dxa"/>
            <w:vAlign w:val="bottom"/>
          </w:tcPr>
          <w:p>
            <w:pPr>
              <w:spacing w:after="0"/>
              <w:rPr>
                <w:sz w:val="16"/>
                <w:szCs w:val="16"/>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Portfolio(1)</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Markets(2)(3)</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Markets(2)(3)</w:t>
            </w: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90.7 %</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78.4 %</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76.6 %</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1840" w:type="dxa"/>
            <w:vAlign w:val="bottom"/>
          </w:tcPr>
          <w:p>
            <w:pPr>
              <w:jc w:val="right"/>
              <w:spacing w:after="0"/>
              <w:rPr>
                <w:sz w:val="20"/>
                <w:szCs w:val="20"/>
                <w:color w:val="auto"/>
              </w:rPr>
            </w:pPr>
            <w:r>
              <w:rPr>
                <w:rFonts w:ascii="Arial" w:cs="Arial" w:eastAsia="Arial" w:hAnsi="Arial"/>
                <w:sz w:val="16"/>
                <w:szCs w:val="16"/>
                <w:color w:val="auto"/>
              </w:rPr>
              <w:t>92.1 %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80.6 %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77.1 %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85.0 %</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81.1 %</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840" w:type="dxa"/>
            <w:vAlign w:val="bottom"/>
          </w:tcPr>
          <w:p>
            <w:pPr>
              <w:jc w:val="right"/>
              <w:spacing w:after="0"/>
              <w:rPr>
                <w:sz w:val="20"/>
                <w:szCs w:val="20"/>
                <w:color w:val="auto"/>
              </w:rPr>
            </w:pPr>
            <w:r>
              <w:rPr>
                <w:rFonts w:ascii="Arial" w:cs="Arial" w:eastAsia="Arial" w:hAnsi="Arial"/>
                <w:sz w:val="16"/>
                <w:szCs w:val="16"/>
                <w:color w:val="auto"/>
              </w:rPr>
              <w:t>94.5 %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88.8 %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87.4 %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2018</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91.1 %</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89.4 %</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our consolidated and unconsolidated Manhattan office properties.</w:t>
      </w:r>
    </w:p>
    <w:p>
      <w:pPr>
        <w:spacing w:after="0" w:line="19" w:lineRule="exact"/>
        <w:rPr>
          <w:rFonts w:ascii="Arial" w:cs="Arial" w:eastAsia="Arial" w:hAnsi="Arial"/>
          <w:sz w:val="14"/>
          <w:szCs w:val="14"/>
          <w:color w:val="auto"/>
        </w:rPr>
      </w:pPr>
    </w:p>
    <w:p>
      <w:pPr>
        <w:ind w:left="400" w:hanging="394"/>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vacant space available for direct lease and sublease. Source: Cushman &amp; Wakefield.</w:t>
      </w:r>
    </w:p>
    <w:p>
      <w:pPr>
        <w:spacing w:after="0" w:line="3" w:lineRule="exact"/>
        <w:rPr>
          <w:rFonts w:ascii="Arial" w:cs="Arial" w:eastAsia="Arial" w:hAnsi="Arial"/>
          <w:sz w:val="14"/>
          <w:szCs w:val="14"/>
          <w:color w:val="auto"/>
        </w:rPr>
      </w:pPr>
    </w:p>
    <w:p>
      <w:pPr>
        <w:jc w:val="both"/>
        <w:ind w:left="400" w:hanging="394"/>
        <w:spacing w:after="0" w:line="263" w:lineRule="auto"/>
        <w:tabs>
          <w:tab w:leader="none" w:pos="39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term "Class B" is generally used in the Manhattan office market to describe office properties that are more than 25 years old but that are in good physical condition, enjoy widespread acceptance by high-quality tenants and are situated in desirable locations in Manhattan. Class B office properties can be distinguished from Class A properties in that Class A properties are generally newer properties with higher finishes and frequently obtain the highest rental rates within their markets.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Expirations</w:t>
      </w:r>
    </w:p>
    <w:p>
      <w:pPr>
        <w:spacing w:after="0" w:line="112"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auto"/>
        </w:rPr>
        <w:t>Leases in our Manhattan portfolio, as at many other Manhattan office properties, typically have an initial term of seven to fifteen years, compared to typical lease terms of five to ten years in other large U.S. office markets. For the five years ending December 31, 2027, the average annual lease expirations at our Manhattan consolidated and unconsolidated operating properties is expected to be approximately 0.8 million square feet and approximately 0.6 million square feet, respectively, representing an average annual expiration rate of approximately 8.3% and approximately 4.6%, respectively, per year (assuming no tenants exercise renewal or cancellation options and there are no tenant bankruptcies or other tenant defaults).</w:t>
      </w:r>
    </w:p>
    <w:p>
      <w:pPr>
        <w:spacing w:after="0" w:line="60"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following tables set forth a schedule of the annual lease expirations at our Manhattan consolidated and unconsolidated operating properties, respectively, with respect to leases in place as of December 31, 2022 for each of the next ten years and thereafter (assuming that no tenants exercise renewal or cancellation options and that there are no tenant bankruptcies or other tenant defaults):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28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Percentage</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ind w:right="104"/>
              <w:spacing w:after="0" w:line="133" w:lineRule="exact"/>
              <w:rPr>
                <w:sz w:val="20"/>
                <w:szCs w:val="20"/>
                <w:color w:val="auto"/>
              </w:rPr>
            </w:pPr>
            <w:r>
              <w:rPr>
                <w:rFonts w:ascii="Arial" w:cs="Arial" w:eastAsia="Arial" w:hAnsi="Arial"/>
                <w:sz w:val="14"/>
                <w:szCs w:val="14"/>
                <w:b w:val="1"/>
                <w:bCs w:val="1"/>
                <w:color w:val="auto"/>
                <w:w w:val="89"/>
              </w:rPr>
              <w:t>Cash Rent</w:t>
            </w: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Square</w:t>
            </w:r>
          </w:p>
        </w:tc>
        <w:tc>
          <w:tcPr>
            <w:tcW w:w="1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Annualized</w:t>
            </w: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108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32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Annualized</w:t>
            </w:r>
          </w:p>
        </w:tc>
        <w:tc>
          <w:tcPr>
            <w:tcW w:w="280" w:type="dxa"/>
            <w:vAlign w:val="bottom"/>
          </w:tcPr>
          <w:p>
            <w:pPr>
              <w:spacing w:after="0"/>
              <w:rPr>
                <w:sz w:val="12"/>
                <w:szCs w:val="12"/>
                <w:color w:val="auto"/>
              </w:rPr>
            </w:pPr>
          </w:p>
        </w:tc>
        <w:tc>
          <w:tcPr>
            <w:tcW w:w="108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auto"/>
                <w:w w:val="86"/>
              </w:rPr>
              <w:t>Leased</w:t>
            </w:r>
          </w:p>
        </w:tc>
        <w:tc>
          <w:tcPr>
            <w:tcW w:w="0" w:type="dxa"/>
            <w:vAlign w:val="bottom"/>
          </w:tcPr>
          <w:p>
            <w:pPr>
              <w:spacing w:after="0"/>
              <w:rPr>
                <w:sz w:val="1"/>
                <w:szCs w:val="1"/>
                <w:color w:val="auto"/>
              </w:rPr>
            </w:pPr>
          </w:p>
        </w:tc>
      </w:tr>
      <w:tr>
        <w:trPr>
          <w:trHeight w:val="133"/>
        </w:trPr>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Manhattan Consolidated</w:t>
            </w:r>
          </w:p>
        </w:tc>
        <w:tc>
          <w:tcPr>
            <w:tcW w:w="1140" w:type="dxa"/>
            <w:vAlign w:val="bottom"/>
            <w:gridSpan w:val="2"/>
            <w:vMerge w:val="continue"/>
          </w:tcPr>
          <w:p>
            <w:pPr>
              <w:spacing w:after="0"/>
              <w:rPr>
                <w:sz w:val="11"/>
                <w:szCs w:val="11"/>
                <w:color w:val="auto"/>
              </w:rPr>
            </w:pPr>
          </w:p>
        </w:tc>
        <w:tc>
          <w:tcPr>
            <w:tcW w:w="13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8"/>
              </w:rPr>
              <w:t>Footage</w:t>
            </w:r>
          </w:p>
        </w:tc>
        <w:tc>
          <w:tcPr>
            <w:tcW w:w="15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1"/>
                <w:szCs w:val="11"/>
                <w:color w:val="auto"/>
              </w:rPr>
            </w:pPr>
          </w:p>
        </w:tc>
        <w:tc>
          <w:tcPr>
            <w:tcW w:w="13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9"/>
              </w:rPr>
              <w:t>Cash Rent</w:t>
            </w:r>
          </w:p>
        </w:tc>
        <w:tc>
          <w:tcPr>
            <w:tcW w:w="14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Cash Rent</w:t>
            </w:r>
          </w:p>
        </w:tc>
        <w:tc>
          <w:tcPr>
            <w:tcW w:w="280" w:type="dxa"/>
            <w:vAlign w:val="bottom"/>
          </w:tcPr>
          <w:p>
            <w:pPr>
              <w:spacing w:after="0"/>
              <w:rPr>
                <w:sz w:val="11"/>
                <w:szCs w:val="11"/>
                <w:color w:val="auto"/>
              </w:rPr>
            </w:pPr>
          </w:p>
        </w:tc>
        <w:tc>
          <w:tcPr>
            <w:tcW w:w="1080" w:type="dxa"/>
            <w:vAlign w:val="bottom"/>
          </w:tcPr>
          <w:p>
            <w:pPr>
              <w:jc w:val="center"/>
              <w:ind w:right="104"/>
              <w:spacing w:after="0" w:line="133" w:lineRule="exact"/>
              <w:rPr>
                <w:sz w:val="20"/>
                <w:szCs w:val="20"/>
                <w:color w:val="auto"/>
              </w:rPr>
            </w:pPr>
            <w:r>
              <w:rPr>
                <w:rFonts w:ascii="Arial" w:cs="Arial" w:eastAsia="Arial" w:hAnsi="Arial"/>
                <w:sz w:val="14"/>
                <w:szCs w:val="14"/>
                <w:b w:val="1"/>
                <w:bCs w:val="1"/>
                <w:color w:val="auto"/>
                <w:w w:val="88"/>
              </w:rPr>
              <w:t>Square</w:t>
            </w:r>
          </w:p>
        </w:tc>
        <w:tc>
          <w:tcPr>
            <w:tcW w:w="0" w:type="dxa"/>
            <w:vAlign w:val="bottom"/>
          </w:tcPr>
          <w:p>
            <w:pPr>
              <w:spacing w:after="0"/>
              <w:rPr>
                <w:sz w:val="1"/>
                <w:szCs w:val="1"/>
                <w:color w:val="auto"/>
              </w:rPr>
            </w:pPr>
          </w:p>
        </w:tc>
      </w:tr>
      <w:tr>
        <w:trPr>
          <w:trHeight w:val="146"/>
        </w:trPr>
        <w:tc>
          <w:tcPr>
            <w:tcW w:w="288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of</w:t>
            </w:r>
          </w:p>
        </w:tc>
        <w:tc>
          <w:tcPr>
            <w:tcW w:w="13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of</w:t>
            </w:r>
          </w:p>
        </w:tc>
        <w:tc>
          <w:tcPr>
            <w:tcW w:w="150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86"/>
              </w:rPr>
              <w:t>Leased</w:t>
            </w:r>
          </w:p>
        </w:tc>
        <w:tc>
          <w:tcPr>
            <w:tcW w:w="260" w:type="dxa"/>
            <w:vAlign w:val="bottom"/>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0"/>
              </w:rPr>
              <w:t>of</w:t>
            </w: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108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auto"/>
                <w:w w:val="88"/>
              </w:rPr>
              <w:t>Foot of</w:t>
            </w:r>
          </w:p>
        </w:tc>
        <w:tc>
          <w:tcPr>
            <w:tcW w:w="0" w:type="dxa"/>
            <w:vAlign w:val="bottom"/>
          </w:tcPr>
          <w:p>
            <w:pPr>
              <w:spacing w:after="0"/>
              <w:rPr>
                <w:sz w:val="1"/>
                <w:szCs w:val="1"/>
                <w:color w:val="auto"/>
              </w:rPr>
            </w:pPr>
          </w:p>
        </w:tc>
      </w:tr>
      <w:tr>
        <w:trPr>
          <w:trHeight w:val="146"/>
        </w:trPr>
        <w:tc>
          <w:tcPr>
            <w:tcW w:w="28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Operating Properties</w:t>
            </w:r>
          </w:p>
        </w:tc>
        <w:tc>
          <w:tcPr>
            <w:tcW w:w="11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Expiring</w:t>
            </w:r>
          </w:p>
        </w:tc>
        <w:tc>
          <w:tcPr>
            <w:tcW w:w="13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6"/>
              </w:rPr>
              <w:t>Expiring</w:t>
            </w:r>
          </w:p>
        </w:tc>
        <w:tc>
          <w:tcPr>
            <w:tcW w:w="15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Square</w:t>
            </w:r>
          </w:p>
        </w:tc>
        <w:tc>
          <w:tcPr>
            <w:tcW w:w="26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Expiring</w:t>
            </w: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Expiring</w:t>
            </w:r>
          </w:p>
        </w:tc>
        <w:tc>
          <w:tcPr>
            <w:tcW w:w="280" w:type="dxa"/>
            <w:vAlign w:val="bottom"/>
          </w:tcPr>
          <w:p>
            <w:pPr>
              <w:spacing w:after="0"/>
              <w:rPr>
                <w:sz w:val="12"/>
                <w:szCs w:val="12"/>
                <w:color w:val="auto"/>
              </w:rPr>
            </w:pPr>
          </w:p>
        </w:tc>
        <w:tc>
          <w:tcPr>
            <w:tcW w:w="108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auto"/>
                <w:w w:val="96"/>
              </w:rPr>
              <w:t>Expiring</w:t>
            </w:r>
          </w:p>
        </w:tc>
        <w:tc>
          <w:tcPr>
            <w:tcW w:w="0" w:type="dxa"/>
            <w:vAlign w:val="bottom"/>
          </w:tcPr>
          <w:p>
            <w:pPr>
              <w:spacing w:after="0"/>
              <w:rPr>
                <w:sz w:val="1"/>
                <w:szCs w:val="1"/>
                <w:color w:val="auto"/>
              </w:rPr>
            </w:pPr>
          </w:p>
        </w:tc>
      </w:tr>
      <w:tr>
        <w:trPr>
          <w:trHeight w:val="193"/>
        </w:trPr>
        <w:tc>
          <w:tcPr>
            <w:tcW w:w="28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of Lease Expiration</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Leases (1)</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Leases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Feet</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Leases (2)</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4"/>
              </w:rPr>
              <w:t>Leases</w:t>
            </w:r>
          </w:p>
        </w:tc>
        <w:tc>
          <w:tcPr>
            <w:tcW w:w="280" w:type="dxa"/>
            <w:vAlign w:val="bottom"/>
          </w:tcPr>
          <w:p>
            <w:pPr>
              <w:spacing w:after="0"/>
              <w:rPr>
                <w:sz w:val="16"/>
                <w:szCs w:val="16"/>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Leases (3)</w:t>
            </w:r>
          </w:p>
        </w:tc>
        <w:tc>
          <w:tcPr>
            <w:tcW w:w="0" w:type="dxa"/>
            <w:vAlign w:val="bottom"/>
          </w:tcPr>
          <w:p>
            <w:pPr>
              <w:spacing w:after="0"/>
              <w:rPr>
                <w:sz w:val="1"/>
                <w:szCs w:val="1"/>
                <w:color w:val="auto"/>
              </w:rPr>
            </w:pPr>
          </w:p>
        </w:tc>
      </w:tr>
      <w:tr>
        <w:trPr>
          <w:trHeight w:val="213"/>
        </w:trPr>
        <w:tc>
          <w:tcPr>
            <w:tcW w:w="268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2023</w:t>
            </w:r>
            <w:r>
              <w:rPr>
                <w:rFonts w:ascii="Arial" w:cs="Arial" w:eastAsia="Arial" w:hAnsi="Arial"/>
                <w:sz w:val="23"/>
                <w:szCs w:val="23"/>
                <w:color w:val="auto"/>
                <w:vertAlign w:val="superscript"/>
              </w:rPr>
              <w:t>(4)</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987,366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64,762,008</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65.59</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449,778</w:t>
            </w:r>
          </w:p>
        </w:tc>
        <w:tc>
          <w:tcPr>
            <w:tcW w:w="100" w:type="dxa"/>
            <w:vAlign w:val="bottom"/>
          </w:tcPr>
          <w:p>
            <w:pPr>
              <w:spacing w:after="0"/>
              <w:rPr>
                <w:sz w:val="18"/>
                <w:szCs w:val="18"/>
                <w:color w:val="auto"/>
              </w:rPr>
            </w:pP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26,549,129</w:t>
            </w:r>
          </w:p>
        </w:tc>
        <w:tc>
          <w:tcPr>
            <w:tcW w:w="120" w:type="dxa"/>
            <w:vAlign w:val="bottom"/>
          </w:tcPr>
          <w:p>
            <w:pPr>
              <w:spacing w:after="0"/>
              <w:rPr>
                <w:sz w:val="18"/>
                <w:szCs w:val="18"/>
                <w:color w:val="auto"/>
              </w:rPr>
            </w:pP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59.03</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497,644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43,715,047</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87.84</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1,068,123</w:t>
            </w:r>
          </w:p>
        </w:tc>
        <w:tc>
          <w:tcPr>
            <w:tcW w:w="100" w:type="dxa"/>
            <w:vAlign w:val="bottom"/>
          </w:tcPr>
          <w:p>
            <w:pPr>
              <w:spacing w:after="0"/>
              <w:rPr>
                <w:sz w:val="18"/>
                <w:szCs w:val="18"/>
                <w:color w:val="auto"/>
              </w:rPr>
            </w:pP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87,743,733</w:t>
            </w:r>
          </w:p>
        </w:tc>
        <w:tc>
          <w:tcPr>
            <w:tcW w:w="120" w:type="dxa"/>
            <w:vAlign w:val="bottom"/>
          </w:tcPr>
          <w:p>
            <w:pPr>
              <w:spacing w:after="0"/>
              <w:rPr>
                <w:sz w:val="18"/>
                <w:szCs w:val="18"/>
                <w:color w:val="auto"/>
              </w:rPr>
            </w:pP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13.8</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82.15</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718,866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57,264,515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9.0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79.66</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2028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661,497</w:t>
            </w:r>
          </w:p>
        </w:tc>
        <w:tc>
          <w:tcPr>
            <w:tcW w:w="100" w:type="dxa"/>
            <w:vAlign w:val="bottom"/>
          </w:tcPr>
          <w:p>
            <w:pPr>
              <w:spacing w:after="0"/>
              <w:rPr>
                <w:sz w:val="18"/>
                <w:szCs w:val="18"/>
                <w:color w:val="auto"/>
              </w:rPr>
            </w:pP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48,905,505</w:t>
            </w:r>
          </w:p>
        </w:tc>
        <w:tc>
          <w:tcPr>
            <w:tcW w:w="120" w:type="dxa"/>
            <w:vAlign w:val="bottom"/>
          </w:tcPr>
          <w:p>
            <w:pPr>
              <w:spacing w:after="0"/>
              <w:rPr>
                <w:sz w:val="18"/>
                <w:szCs w:val="18"/>
                <w:color w:val="auto"/>
              </w:rPr>
            </w:pP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7.7</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73.93</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400,505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27,172,272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67.85</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2030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801,723</w:t>
            </w:r>
          </w:p>
        </w:tc>
        <w:tc>
          <w:tcPr>
            <w:tcW w:w="100" w:type="dxa"/>
            <w:vAlign w:val="bottom"/>
          </w:tcPr>
          <w:p>
            <w:pPr>
              <w:spacing w:after="0"/>
              <w:rPr>
                <w:sz w:val="18"/>
                <w:szCs w:val="18"/>
                <w:color w:val="auto"/>
              </w:rPr>
            </w:pP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54,260,411</w:t>
            </w:r>
          </w:p>
        </w:tc>
        <w:tc>
          <w:tcPr>
            <w:tcW w:w="120" w:type="dxa"/>
            <w:vAlign w:val="bottom"/>
          </w:tcPr>
          <w:p>
            <w:pPr>
              <w:spacing w:after="0"/>
              <w:rPr>
                <w:sz w:val="18"/>
                <w:szCs w:val="18"/>
                <w:color w:val="auto"/>
              </w:rPr>
            </w:pP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67.68</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474,630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34,630,194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72.96</w:t>
            </w:r>
          </w:p>
        </w:tc>
        <w:tc>
          <w:tcPr>
            <w:tcW w:w="0" w:type="dxa"/>
            <w:vAlign w:val="bottom"/>
          </w:tcPr>
          <w:p>
            <w:pPr>
              <w:spacing w:after="0"/>
              <w:rPr>
                <w:sz w:val="1"/>
                <w:szCs w:val="1"/>
                <w:color w:val="auto"/>
              </w:rPr>
            </w:pPr>
          </w:p>
        </w:tc>
      </w:tr>
      <w:tr>
        <w:trPr>
          <w:trHeight w:val="210"/>
        </w:trPr>
        <w:tc>
          <w:tcPr>
            <w:tcW w:w="2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2032 &amp; thereafter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2,885,420</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189,149,932</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29.8</w:t>
            </w: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65.55</w:t>
            </w:r>
          </w:p>
        </w:tc>
        <w:tc>
          <w:tcPr>
            <w:tcW w:w="0" w:type="dxa"/>
            <w:vAlign w:val="bottom"/>
          </w:tcPr>
          <w:p>
            <w:pPr>
              <w:spacing w:after="0"/>
              <w:rPr>
                <w:sz w:val="1"/>
                <w:szCs w:val="1"/>
                <w:color w:val="auto"/>
              </w:rPr>
            </w:pPr>
          </w:p>
        </w:tc>
      </w:tr>
      <w:tr>
        <w:trPr>
          <w:trHeight w:val="234"/>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Total/weighted average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8,945,552</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634,152,746</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70.89</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0" w:hanging="394"/>
        <w:spacing w:after="0"/>
        <w:tabs>
          <w:tab w:leader="none" w:pos="4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Tenants may have multiple leases.</w:t>
      </w:r>
    </w:p>
    <w:p>
      <w:pPr>
        <w:spacing w:after="0" w:line="19" w:lineRule="exact"/>
        <w:rPr>
          <w:rFonts w:ascii="Arial" w:cs="Arial" w:eastAsia="Arial" w:hAnsi="Arial"/>
          <w:sz w:val="14"/>
          <w:szCs w:val="14"/>
          <w:color w:val="auto"/>
        </w:rPr>
      </w:pPr>
    </w:p>
    <w:p>
      <w:pPr>
        <w:ind w:left="400" w:hanging="394"/>
        <w:spacing w:after="0" w:line="257" w:lineRule="auto"/>
        <w:tabs>
          <w:tab w:leader="none" w:pos="39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Annualized Cash Rent of Expiring Leases represents the monthly contractual rent for December 2022 under existing leases as of December 31, 2022 multiplied by 12. This amount reflects total rent before any rent abatements and includes expense reimbursements, which may be estimated as of such date.</w:t>
      </w:r>
    </w:p>
    <w:p>
      <w:pPr>
        <w:spacing w:after="0" w:line="1" w:lineRule="exact"/>
        <w:rPr>
          <w:rFonts w:ascii="Arial" w:cs="Arial" w:eastAsia="Arial" w:hAnsi="Arial"/>
          <w:sz w:val="14"/>
          <w:szCs w:val="14"/>
          <w:color w:val="auto"/>
        </w:rPr>
      </w:pPr>
    </w:p>
    <w:p>
      <w:pPr>
        <w:ind w:left="400" w:right="20" w:hanging="394"/>
        <w:spacing w:after="0" w:line="251" w:lineRule="auto"/>
        <w:tabs>
          <w:tab w:leader="none" w:pos="39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Annualized Cash Rent Per Leased Square Foot of Expiring Leases represents Annualized Cash Rent of Expiring Leases, as described in footnote (2) above, presented on a per leased square foot basis.</w:t>
      </w:r>
    </w:p>
    <w:p>
      <w:pPr>
        <w:ind w:left="400" w:hanging="394"/>
        <w:spacing w:after="0"/>
        <w:tabs>
          <w:tab w:leader="none" w:pos="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approximately 53,301 square feet and annualized cash rent of $4.1 million occupied by month-to-month holdover tenants whose leases expired prior to December 31,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04"/>
              <w:spacing w:after="0" w:line="133" w:lineRule="exact"/>
              <w:rPr>
                <w:sz w:val="20"/>
                <w:szCs w:val="20"/>
                <w:color w:val="auto"/>
              </w:rPr>
            </w:pPr>
            <w:r>
              <w:rPr>
                <w:rFonts w:ascii="Arial" w:cs="Arial" w:eastAsia="Arial" w:hAnsi="Arial"/>
                <w:sz w:val="14"/>
                <w:szCs w:val="14"/>
                <w:b w:val="1"/>
                <w:bCs w:val="1"/>
                <w:color w:val="auto"/>
                <w:w w:val="92"/>
              </w:rPr>
              <w:t>Cash Rent</w:t>
            </w: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w:t>
            </w:r>
          </w:p>
        </w:tc>
        <w:tc>
          <w:tcPr>
            <w:tcW w:w="1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Annualized</w:t>
            </w: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34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Annualized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w w:val="86"/>
              </w:rPr>
              <w:t>Leased</w:t>
            </w:r>
          </w:p>
        </w:tc>
        <w:tc>
          <w:tcPr>
            <w:tcW w:w="0" w:type="dxa"/>
            <w:vAlign w:val="bottom"/>
          </w:tcPr>
          <w:p>
            <w:pPr>
              <w:spacing w:after="0"/>
              <w:rPr>
                <w:sz w:val="1"/>
                <w:szCs w:val="1"/>
                <w:color w:val="auto"/>
              </w:rPr>
            </w:pPr>
          </w:p>
        </w:tc>
      </w:tr>
      <w:tr>
        <w:trPr>
          <w:trHeight w:val="133"/>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Manhattan Unconsolidated</w:t>
            </w:r>
          </w:p>
        </w:tc>
        <w:tc>
          <w:tcPr>
            <w:tcW w:w="1120" w:type="dxa"/>
            <w:vAlign w:val="bottom"/>
            <w:gridSpan w:val="2"/>
            <w:vMerge w:val="continue"/>
          </w:tcPr>
          <w:p>
            <w:pPr>
              <w:spacing w:after="0"/>
              <w:rPr>
                <w:sz w:val="11"/>
                <w:szCs w:val="11"/>
                <w:color w:val="auto"/>
              </w:rPr>
            </w:pP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Footage</w:t>
            </w:r>
          </w:p>
        </w:tc>
        <w:tc>
          <w:tcPr>
            <w:tcW w:w="15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1"/>
                <w:szCs w:val="11"/>
                <w:color w:val="auto"/>
              </w:rPr>
            </w:pPr>
          </w:p>
        </w:tc>
        <w:tc>
          <w:tcPr>
            <w:tcW w:w="13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9"/>
              </w:rPr>
              <w:t>Cash Rent</w:t>
            </w:r>
          </w:p>
        </w:tc>
        <w:tc>
          <w:tcPr>
            <w:tcW w:w="14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Cash Rent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04"/>
              <w:spacing w:after="0" w:line="133" w:lineRule="exact"/>
              <w:rPr>
                <w:sz w:val="20"/>
                <w:szCs w:val="20"/>
                <w:color w:val="auto"/>
              </w:rPr>
            </w:pPr>
            <w:r>
              <w:rPr>
                <w:rFonts w:ascii="Arial" w:cs="Arial" w:eastAsia="Arial" w:hAnsi="Arial"/>
                <w:sz w:val="14"/>
                <w:szCs w:val="14"/>
                <w:b w:val="1"/>
                <w:bCs w:val="1"/>
                <w:color w:val="auto"/>
                <w:w w:val="92"/>
              </w:rPr>
              <w:t>Square</w:t>
            </w:r>
          </w:p>
        </w:tc>
        <w:tc>
          <w:tcPr>
            <w:tcW w:w="0" w:type="dxa"/>
            <w:vAlign w:val="bottom"/>
          </w:tcPr>
          <w:p>
            <w:pPr>
              <w:spacing w:after="0"/>
              <w:rPr>
                <w:sz w:val="1"/>
                <w:szCs w:val="1"/>
                <w:color w:val="auto"/>
              </w:rPr>
            </w:pPr>
          </w:p>
        </w:tc>
      </w:tr>
      <w:tr>
        <w:trPr>
          <w:trHeight w:val="146"/>
        </w:trPr>
        <w:tc>
          <w:tcPr>
            <w:tcW w:w="286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of</w:t>
            </w:r>
          </w:p>
        </w:tc>
        <w:tc>
          <w:tcPr>
            <w:tcW w:w="13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of</w:t>
            </w:r>
          </w:p>
        </w:tc>
        <w:tc>
          <w:tcPr>
            <w:tcW w:w="15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6"/>
              </w:rPr>
              <w:t>Leased</w:t>
            </w:r>
          </w:p>
        </w:tc>
        <w:tc>
          <w:tcPr>
            <w:tcW w:w="260" w:type="dxa"/>
            <w:vAlign w:val="bottom"/>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0"/>
              </w:rPr>
              <w:t>of</w:t>
            </w: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auto"/>
                <w:w w:val="92"/>
              </w:rPr>
              <w:t>Foot of</w:t>
            </w:r>
          </w:p>
        </w:tc>
        <w:tc>
          <w:tcPr>
            <w:tcW w:w="0" w:type="dxa"/>
            <w:vAlign w:val="bottom"/>
          </w:tcPr>
          <w:p>
            <w:pPr>
              <w:spacing w:after="0"/>
              <w:rPr>
                <w:sz w:val="1"/>
                <w:szCs w:val="1"/>
                <w:color w:val="auto"/>
              </w:rPr>
            </w:pPr>
          </w:p>
        </w:tc>
      </w:tr>
      <w:tr>
        <w:trPr>
          <w:trHeight w:val="146"/>
        </w:trPr>
        <w:tc>
          <w:tcPr>
            <w:tcW w:w="28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Operating Properties</w:t>
            </w:r>
          </w:p>
        </w:tc>
        <w:tc>
          <w:tcPr>
            <w:tcW w:w="11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6"/>
              </w:rPr>
              <w:t>Expiring</w:t>
            </w:r>
          </w:p>
        </w:tc>
        <w:tc>
          <w:tcPr>
            <w:tcW w:w="13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Expiring</w:t>
            </w:r>
          </w:p>
        </w:tc>
        <w:tc>
          <w:tcPr>
            <w:tcW w:w="15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Square</w:t>
            </w:r>
          </w:p>
        </w:tc>
        <w:tc>
          <w:tcPr>
            <w:tcW w:w="26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Expiring</w:t>
            </w: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Expiring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w w:val="96"/>
              </w:rPr>
              <w:t>Expiring</w:t>
            </w:r>
          </w:p>
        </w:tc>
        <w:tc>
          <w:tcPr>
            <w:tcW w:w="0" w:type="dxa"/>
            <w:vAlign w:val="bottom"/>
          </w:tcPr>
          <w:p>
            <w:pPr>
              <w:spacing w:after="0"/>
              <w:rPr>
                <w:sz w:val="1"/>
                <w:szCs w:val="1"/>
                <w:color w:val="auto"/>
              </w:rPr>
            </w:pPr>
          </w:p>
        </w:tc>
      </w:tr>
      <w:tr>
        <w:trPr>
          <w:trHeight w:val="19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of Lease Expiration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Leases(</w:t>
            </w:r>
            <w:r>
              <w:rPr>
                <w:rFonts w:ascii="Arial" w:cs="Arial" w:eastAsia="Arial" w:hAnsi="Arial"/>
                <w:sz w:val="10"/>
                <w:szCs w:val="10"/>
                <w:b w:val="1"/>
                <w:bCs w:val="1"/>
                <w:color w:val="auto"/>
                <w:w w:val="86"/>
              </w:rPr>
              <w:t>1</w:t>
            </w:r>
            <w:r>
              <w:rPr>
                <w:rFonts w:ascii="Arial" w:cs="Arial" w:eastAsia="Arial" w:hAnsi="Arial"/>
                <w:sz w:val="14"/>
                <w:szCs w:val="14"/>
                <w:b w:val="1"/>
                <w:bCs w:val="1"/>
                <w:color w:val="auto"/>
                <w:w w:val="86"/>
              </w:rPr>
              <w:t>)</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6"/>
              </w:rPr>
              <w:t>Leases(</w:t>
            </w:r>
            <w:r>
              <w:rPr>
                <w:rFonts w:ascii="Arial" w:cs="Arial" w:eastAsia="Arial" w:hAnsi="Arial"/>
                <w:sz w:val="10"/>
                <w:szCs w:val="10"/>
                <w:b w:val="1"/>
                <w:bCs w:val="1"/>
                <w:color w:val="auto"/>
                <w:w w:val="86"/>
              </w:rPr>
              <w:t>2</w:t>
            </w:r>
            <w:r>
              <w:rPr>
                <w:rFonts w:ascii="Arial" w:cs="Arial" w:eastAsia="Arial" w:hAnsi="Arial"/>
                <w:sz w:val="14"/>
                <w:szCs w:val="14"/>
                <w:b w:val="1"/>
                <w:bCs w:val="1"/>
                <w:color w:val="auto"/>
                <w:w w:val="86"/>
              </w:rPr>
              <w:t>)</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Leases(</w:t>
            </w:r>
            <w:r>
              <w:rPr>
                <w:rFonts w:ascii="Arial" w:cs="Arial" w:eastAsia="Arial" w:hAnsi="Arial"/>
                <w:sz w:val="10"/>
                <w:szCs w:val="10"/>
                <w:b w:val="1"/>
                <w:bCs w:val="1"/>
                <w:color w:val="auto"/>
                <w:w w:val="89"/>
              </w:rPr>
              <w:t>3</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2023</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724,966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63,515,977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87.61</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1,014,470</w:t>
            </w:r>
          </w:p>
        </w:tc>
        <w:tc>
          <w:tcPr>
            <w:tcW w:w="100" w:type="dxa"/>
            <w:vAlign w:val="bottom"/>
          </w:tcPr>
          <w:p>
            <w:pPr>
              <w:spacing w:after="0"/>
              <w:rPr>
                <w:sz w:val="18"/>
                <w:szCs w:val="18"/>
                <w:color w:val="auto"/>
              </w:rPr>
            </w:pP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112,022,038</w:t>
            </w:r>
          </w:p>
        </w:tc>
        <w:tc>
          <w:tcPr>
            <w:tcW w:w="100" w:type="dxa"/>
            <w:vAlign w:val="bottom"/>
          </w:tcPr>
          <w:p>
            <w:pPr>
              <w:spacing w:after="0"/>
              <w:rPr>
                <w:sz w:val="18"/>
                <w:szCs w:val="18"/>
                <w:color w:val="auto"/>
              </w:rPr>
            </w:pP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425,848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41,695,535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97.91</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587,690</w:t>
            </w:r>
          </w:p>
        </w:tc>
        <w:tc>
          <w:tcPr>
            <w:tcW w:w="100" w:type="dxa"/>
            <w:vAlign w:val="bottom"/>
          </w:tcPr>
          <w:p>
            <w:pPr>
              <w:spacing w:after="0"/>
              <w:rPr>
                <w:sz w:val="18"/>
                <w:szCs w:val="18"/>
                <w:color w:val="auto"/>
              </w:rPr>
            </w:pP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63,670,124</w:t>
            </w:r>
          </w:p>
        </w:tc>
        <w:tc>
          <w:tcPr>
            <w:tcW w:w="100" w:type="dxa"/>
            <w:vAlign w:val="bottom"/>
          </w:tcPr>
          <w:p>
            <w:pPr>
              <w:spacing w:after="0"/>
              <w:rPr>
                <w:sz w:val="18"/>
                <w:szCs w:val="18"/>
                <w:color w:val="auto"/>
              </w:rPr>
            </w:pP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108.34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283,795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38,193,157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134.58</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2028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294,902</w:t>
            </w:r>
          </w:p>
        </w:tc>
        <w:tc>
          <w:tcPr>
            <w:tcW w:w="100" w:type="dxa"/>
            <w:vAlign w:val="bottom"/>
          </w:tcPr>
          <w:p>
            <w:pPr>
              <w:spacing w:after="0"/>
              <w:rPr>
                <w:sz w:val="18"/>
                <w:szCs w:val="18"/>
                <w:color w:val="auto"/>
              </w:rPr>
            </w:pP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32,090,762</w:t>
            </w:r>
          </w:p>
        </w:tc>
        <w:tc>
          <w:tcPr>
            <w:tcW w:w="100" w:type="dxa"/>
            <w:vAlign w:val="bottom"/>
          </w:tcPr>
          <w:p>
            <w:pPr>
              <w:spacing w:after="0"/>
              <w:rPr>
                <w:sz w:val="18"/>
                <w:szCs w:val="18"/>
                <w:color w:val="auto"/>
              </w:rPr>
            </w:pP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108.82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884,966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66,377,729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75.01</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2030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455,760</w:t>
            </w:r>
          </w:p>
        </w:tc>
        <w:tc>
          <w:tcPr>
            <w:tcW w:w="100" w:type="dxa"/>
            <w:vAlign w:val="bottom"/>
          </w:tcPr>
          <w:p>
            <w:pPr>
              <w:spacing w:after="0"/>
              <w:rPr>
                <w:sz w:val="18"/>
                <w:szCs w:val="18"/>
                <w:color w:val="auto"/>
              </w:rPr>
            </w:pP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45,619,919</w:t>
            </w:r>
          </w:p>
        </w:tc>
        <w:tc>
          <w:tcPr>
            <w:tcW w:w="100" w:type="dxa"/>
            <w:vAlign w:val="bottom"/>
          </w:tcPr>
          <w:p>
            <w:pPr>
              <w:spacing w:after="0"/>
              <w:rPr>
                <w:sz w:val="18"/>
                <w:szCs w:val="18"/>
                <w:color w:val="auto"/>
              </w:rPr>
            </w:pP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100.10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2,802,003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205,840,767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2032 &amp; thereafter</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5,869,628</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535,962,560</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91.31</w:t>
            </w:r>
          </w:p>
        </w:tc>
        <w:tc>
          <w:tcPr>
            <w:tcW w:w="0" w:type="dxa"/>
            <w:vAlign w:val="bottom"/>
          </w:tcPr>
          <w:p>
            <w:pPr>
              <w:spacing w:after="0"/>
              <w:rPr>
                <w:sz w:val="1"/>
                <w:szCs w:val="1"/>
                <w:color w:val="auto"/>
              </w:rPr>
            </w:pPr>
          </w:p>
        </w:tc>
      </w:tr>
      <w:tr>
        <w:trPr>
          <w:trHeight w:val="234"/>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Total/weighted average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13,344,028</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1,204,988,568</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0" w:hanging="394"/>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Tenants may have multiple leases.</w:t>
      </w:r>
    </w:p>
    <w:p>
      <w:pPr>
        <w:spacing w:after="0" w:line="19" w:lineRule="exact"/>
        <w:rPr>
          <w:rFonts w:ascii="Arial" w:cs="Arial" w:eastAsia="Arial" w:hAnsi="Arial"/>
          <w:sz w:val="14"/>
          <w:szCs w:val="14"/>
          <w:color w:val="auto"/>
        </w:rPr>
      </w:pPr>
    </w:p>
    <w:p>
      <w:pPr>
        <w:ind w:left="400" w:hanging="394"/>
        <w:spacing w:after="0" w:line="257" w:lineRule="auto"/>
        <w:tabs>
          <w:tab w:leader="none" w:pos="392"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Annualized Cash Rent of Expiring Leases represents the monthly contractual rent for December 2022 under existing leases as of December 31, 2022 multiplied by 12. This amount reflects total rent before any rent abatements and includes expense reimbursements, which may be estimated as of such date.</w:t>
      </w:r>
    </w:p>
    <w:p>
      <w:pPr>
        <w:spacing w:after="0" w:line="1" w:lineRule="exact"/>
        <w:rPr>
          <w:rFonts w:ascii="Arial" w:cs="Arial" w:eastAsia="Arial" w:hAnsi="Arial"/>
          <w:sz w:val="14"/>
          <w:szCs w:val="14"/>
          <w:color w:val="auto"/>
        </w:rPr>
      </w:pPr>
    </w:p>
    <w:p>
      <w:pPr>
        <w:ind w:left="400" w:right="20" w:hanging="394"/>
        <w:spacing w:after="0" w:line="251" w:lineRule="auto"/>
        <w:tabs>
          <w:tab w:leader="none" w:pos="392"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Annualized Cash Rent Per Leased Square Foot of Expiring Leases represents Annualized Cash Rent of Expiring Leases, as described in footnote (2) above, presented on a per leased square foot basis.</w:t>
      </w:r>
    </w:p>
    <w:p>
      <w:pPr>
        <w:ind w:left="400" w:hanging="394"/>
        <w:spacing w:after="0"/>
        <w:tabs>
          <w:tab w:leader="none" w:pos="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Includes approximately 53,011 square feet and annualized cash rent of $3.9 million occupied by month-to-month holdover tenants whose leases expired prior to December 31, 2022.</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Diversification</w:t>
      </w:r>
    </w:p>
    <w:p>
      <w:pPr>
        <w:spacing w:after="0" w:line="11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As of December 31, 2022, our properties were leased to 935 tenants, which are engaged in a variety of businesses, including, but not limited to, professional services, financial services, media, apparel, business services and government/non-profit. The following table sets forth information regarding the leases with respect to the 20 largest tenants in our properties, which are not intended to be representative of our tenants as a whole, based on the amount of our share of annualized cash rent as of 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Total Rentable</w:t>
            </w:r>
          </w:p>
        </w:tc>
        <w:tc>
          <w:tcPr>
            <w:tcW w:w="14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6"/>
                <w:szCs w:val="16"/>
                <w:b w:val="1"/>
                <w:bCs w:val="1"/>
                <w:color w:val="auto"/>
                <w:w w:val="93"/>
              </w:rPr>
              <w:t>Annualized</w:t>
            </w:r>
          </w:p>
        </w:tc>
        <w:tc>
          <w:tcPr>
            <w:tcW w:w="120" w:type="dxa"/>
            <w:vAlign w:val="bottom"/>
          </w:tcPr>
          <w:p>
            <w:pPr>
              <w:spacing w:after="0"/>
              <w:rPr>
                <w:sz w:val="16"/>
                <w:szCs w:val="16"/>
                <w:color w:val="auto"/>
              </w:rPr>
            </w:pPr>
          </w:p>
        </w:tc>
        <w:tc>
          <w:tcPr>
            <w:tcW w:w="1280" w:type="dxa"/>
            <w:vAlign w:val="bottom"/>
          </w:tcPr>
          <w:p>
            <w:pPr>
              <w:jc w:val="center"/>
              <w:ind w:right="28"/>
              <w:spacing w:after="0"/>
              <w:rPr>
                <w:sz w:val="20"/>
                <w:szCs w:val="20"/>
                <w:color w:val="auto"/>
              </w:rPr>
            </w:pPr>
            <w:r>
              <w:rPr>
                <w:rFonts w:ascii="Arial" w:cs="Arial" w:eastAsia="Arial" w:hAnsi="Arial"/>
                <w:sz w:val="16"/>
                <w:szCs w:val="16"/>
                <w:b w:val="1"/>
                <w:bCs w:val="1"/>
                <w:color w:val="auto"/>
                <w:w w:val="92"/>
              </w:rPr>
              <w:t>SLG Share of</w:t>
            </w:r>
          </w:p>
        </w:tc>
        <w:tc>
          <w:tcPr>
            <w:tcW w:w="1420" w:type="dxa"/>
            <w:vAlign w:val="bottom"/>
          </w:tcPr>
          <w:p>
            <w:pPr>
              <w:jc w:val="center"/>
              <w:ind w:right="48"/>
              <w:spacing w:after="0"/>
              <w:rPr>
                <w:sz w:val="20"/>
                <w:szCs w:val="20"/>
                <w:color w:val="auto"/>
              </w:rPr>
            </w:pPr>
            <w:r>
              <w:rPr>
                <w:rFonts w:ascii="Arial" w:cs="Arial" w:eastAsia="Arial" w:hAnsi="Arial"/>
                <w:sz w:val="16"/>
                <w:szCs w:val="16"/>
                <w:b w:val="1"/>
                <w:bCs w:val="1"/>
                <w:color w:val="auto"/>
                <w:w w:val="94"/>
              </w:rPr>
              <w:t>% of SLG Share</w:t>
            </w:r>
          </w:p>
        </w:tc>
        <w:tc>
          <w:tcPr>
            <w:tcW w:w="940" w:type="dxa"/>
            <w:vAlign w:val="bottom"/>
            <w:vMerge w:val="restart"/>
          </w:tcPr>
          <w:p>
            <w:pPr>
              <w:jc w:val="right"/>
              <w:ind w:right="68"/>
              <w:spacing w:after="0"/>
              <w:rPr>
                <w:sz w:val="20"/>
                <w:szCs w:val="20"/>
                <w:color w:val="auto"/>
              </w:rPr>
            </w:pPr>
            <w:r>
              <w:rPr>
                <w:rFonts w:ascii="Arial" w:cs="Arial" w:eastAsia="Arial" w:hAnsi="Arial"/>
                <w:sz w:val="16"/>
                <w:szCs w:val="16"/>
                <w:b w:val="1"/>
                <w:bCs w:val="1"/>
                <w:color w:val="auto"/>
                <w:w w:val="91"/>
              </w:rPr>
              <w:t>Annualized</w:t>
            </w:r>
          </w:p>
        </w:tc>
        <w:tc>
          <w:tcPr>
            <w:tcW w:w="0" w:type="dxa"/>
            <w:vAlign w:val="bottom"/>
          </w:tcPr>
          <w:p>
            <w:pPr>
              <w:spacing w:after="0"/>
              <w:rPr>
                <w:sz w:val="1"/>
                <w:szCs w:val="1"/>
                <w:color w:val="auto"/>
              </w:rPr>
            </w:pPr>
          </w:p>
        </w:tc>
      </w:tr>
      <w:tr>
        <w:trPr>
          <w:trHeight w:val="160"/>
        </w:trPr>
        <w:tc>
          <w:tcPr>
            <w:tcW w:w="200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Tenant Name</w:t>
            </w:r>
          </w:p>
        </w:tc>
        <w:tc>
          <w:tcPr>
            <w:tcW w:w="300" w:type="dxa"/>
            <w:vAlign w:val="bottom"/>
          </w:tcPr>
          <w:p>
            <w:pPr>
              <w:spacing w:after="0"/>
              <w:rPr>
                <w:sz w:val="13"/>
                <w:szCs w:val="13"/>
                <w:color w:val="auto"/>
              </w:rPr>
            </w:pPr>
          </w:p>
        </w:tc>
        <w:tc>
          <w:tcPr>
            <w:tcW w:w="154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Property</w:t>
            </w:r>
          </w:p>
        </w:tc>
        <w:tc>
          <w:tcPr>
            <w:tcW w:w="138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5"/>
              </w:rPr>
              <w:t>Lease Expiration</w:t>
            </w:r>
          </w:p>
        </w:tc>
        <w:tc>
          <w:tcPr>
            <w:tcW w:w="1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28"/>
              <w:spacing w:after="0" w:line="160" w:lineRule="exact"/>
              <w:rPr>
                <w:sz w:val="20"/>
                <w:szCs w:val="20"/>
                <w:color w:val="auto"/>
              </w:rPr>
            </w:pPr>
            <w:r>
              <w:rPr>
                <w:rFonts w:ascii="Arial" w:cs="Arial" w:eastAsia="Arial" w:hAnsi="Arial"/>
                <w:sz w:val="16"/>
                <w:szCs w:val="16"/>
                <w:b w:val="1"/>
                <w:bCs w:val="1"/>
                <w:color w:val="auto"/>
                <w:w w:val="91"/>
              </w:rPr>
              <w:t>Annualized Cash</w:t>
            </w:r>
          </w:p>
        </w:tc>
        <w:tc>
          <w:tcPr>
            <w:tcW w:w="1420" w:type="dxa"/>
            <w:vAlign w:val="bottom"/>
          </w:tcPr>
          <w:p>
            <w:pPr>
              <w:jc w:val="center"/>
              <w:ind w:right="48"/>
              <w:spacing w:after="0" w:line="160" w:lineRule="exact"/>
              <w:rPr>
                <w:sz w:val="20"/>
                <w:szCs w:val="20"/>
                <w:color w:val="auto"/>
              </w:rPr>
            </w:pPr>
            <w:r>
              <w:rPr>
                <w:rFonts w:ascii="Arial" w:cs="Arial" w:eastAsia="Arial" w:hAnsi="Arial"/>
                <w:sz w:val="16"/>
                <w:szCs w:val="16"/>
                <w:b w:val="1"/>
                <w:bCs w:val="1"/>
                <w:color w:val="auto"/>
                <w:w w:val="89"/>
              </w:rPr>
              <w:t>of Annualized</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rPr>
              <w:t>Square Feet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w w:val="98"/>
              </w:rPr>
              <w:t>Cash Rent</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6"/>
                <w:szCs w:val="16"/>
                <w:b w:val="1"/>
                <w:bCs w:val="1"/>
                <w:color w:val="auto"/>
                <w:w w:val="93"/>
              </w:rPr>
              <w:t>Rent ($)</w:t>
            </w:r>
          </w:p>
        </w:tc>
        <w:tc>
          <w:tcPr>
            <w:tcW w:w="1420" w:type="dxa"/>
            <w:vAlign w:val="bottom"/>
            <w:tcBorders>
              <w:bottom w:val="single" w:sz="8" w:color="auto"/>
            </w:tcBorders>
          </w:tcPr>
          <w:p>
            <w:pPr>
              <w:jc w:val="center"/>
              <w:ind w:right="48"/>
              <w:spacing w:after="0" w:line="213" w:lineRule="exact"/>
              <w:rPr>
                <w:sz w:val="20"/>
                <w:szCs w:val="20"/>
                <w:color w:val="auto"/>
              </w:rPr>
            </w:pPr>
            <w:r>
              <w:rPr>
                <w:rFonts w:ascii="Arial" w:cs="Arial" w:eastAsia="Arial" w:hAnsi="Arial"/>
                <w:sz w:val="16"/>
                <w:szCs w:val="16"/>
                <w:b w:val="1"/>
                <w:bCs w:val="1"/>
                <w:color w:val="auto"/>
                <w:w w:val="86"/>
              </w:rPr>
              <w:t xml:space="preserve">Cash Rent </w:t>
            </w:r>
            <w:r>
              <w:rPr>
                <w:rFonts w:ascii="Arial" w:cs="Arial" w:eastAsia="Arial" w:hAnsi="Arial"/>
                <w:sz w:val="20"/>
                <w:szCs w:val="20"/>
                <w:color w:val="auto"/>
                <w:w w:val="86"/>
                <w:vertAlign w:val="superscript"/>
              </w:rPr>
              <w:t>(1)</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rPr>
              <w:t>Rent PSF</w:t>
            </w:r>
          </w:p>
        </w:tc>
        <w:tc>
          <w:tcPr>
            <w:tcW w:w="0" w:type="dxa"/>
            <w:vAlign w:val="bottom"/>
          </w:tcPr>
          <w:p>
            <w:pPr>
              <w:spacing w:after="0"/>
              <w:rPr>
                <w:sz w:val="1"/>
                <w:szCs w:val="1"/>
                <w:color w:val="auto"/>
              </w:rPr>
            </w:pPr>
          </w:p>
        </w:tc>
      </w:tr>
      <w:tr>
        <w:trPr>
          <w:trHeight w:val="134"/>
        </w:trPr>
        <w:tc>
          <w:tcPr>
            <w:tcW w:w="20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Paramount Global (formerly</w:t>
            </w:r>
          </w:p>
        </w:tc>
        <w:tc>
          <w:tcPr>
            <w:tcW w:w="184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1515 Broadway</w:t>
            </w:r>
          </w:p>
        </w:tc>
        <w:tc>
          <w:tcPr>
            <w:tcW w:w="13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June 2031</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1,603,126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101,312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57,748</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4.1 %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63.20</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ViacomCBS Inc.)</w:t>
            </w:r>
          </w:p>
        </w:tc>
        <w:tc>
          <w:tcPr>
            <w:tcW w:w="1840" w:type="dxa"/>
            <w:vAlign w:val="bottom"/>
            <w:gridSpan w:val="2"/>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w w:val="85"/>
              </w:rPr>
              <w:t>555</w:t>
            </w:r>
          </w:p>
        </w:tc>
        <w:tc>
          <w:tcPr>
            <w:tcW w:w="1540" w:type="dxa"/>
            <w:vAlign w:val="bottom"/>
          </w:tcPr>
          <w:p>
            <w:pPr>
              <w:ind w:left="20"/>
              <w:spacing w:after="0"/>
              <w:rPr>
                <w:sz w:val="20"/>
                <w:szCs w:val="20"/>
                <w:color w:val="auto"/>
              </w:rPr>
            </w:pPr>
            <w:r>
              <w:rPr>
                <w:rFonts w:ascii="Arial" w:cs="Arial" w:eastAsia="Arial" w:hAnsi="Arial"/>
                <w:sz w:val="14"/>
                <w:szCs w:val="14"/>
                <w:color w:val="auto"/>
              </w:rPr>
              <w:t>West 57th Street</w:t>
            </w:r>
          </w:p>
        </w:tc>
        <w:tc>
          <w:tcPr>
            <w:tcW w:w="1380" w:type="dxa"/>
            <w:vAlign w:val="bottom"/>
          </w:tcPr>
          <w:p>
            <w:pPr>
              <w:ind w:left="80"/>
              <w:spacing w:after="0"/>
              <w:rPr>
                <w:sz w:val="20"/>
                <w:szCs w:val="20"/>
                <w:color w:val="auto"/>
              </w:rPr>
            </w:pPr>
            <w:r>
              <w:rPr>
                <w:rFonts w:ascii="Arial" w:cs="Arial" w:eastAsia="Arial" w:hAnsi="Arial"/>
                <w:sz w:val="14"/>
                <w:szCs w:val="14"/>
                <w:color w:val="auto"/>
              </w:rPr>
              <w:t>December 2023</w:t>
            </w:r>
          </w:p>
        </w:tc>
        <w:tc>
          <w:tcPr>
            <w:tcW w:w="1140" w:type="dxa"/>
            <w:vAlign w:val="bottom"/>
          </w:tcPr>
          <w:p>
            <w:pPr>
              <w:jc w:val="right"/>
              <w:spacing w:after="0"/>
              <w:rPr>
                <w:sz w:val="20"/>
                <w:szCs w:val="20"/>
                <w:color w:val="auto"/>
              </w:rPr>
            </w:pPr>
            <w:r>
              <w:rPr>
                <w:rFonts w:ascii="Arial" w:cs="Arial" w:eastAsia="Arial" w:hAnsi="Arial"/>
                <w:sz w:val="14"/>
                <w:szCs w:val="14"/>
                <w:color w:val="auto"/>
              </w:rPr>
              <w:t>317,851</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16,881</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16,880</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1.2 %</w:t>
            </w:r>
          </w:p>
        </w:tc>
        <w:tc>
          <w:tcPr>
            <w:tcW w:w="940" w:type="dxa"/>
            <w:vAlign w:val="bottom"/>
          </w:tcPr>
          <w:p>
            <w:pPr>
              <w:jc w:val="right"/>
              <w:spacing w:after="0"/>
              <w:rPr>
                <w:sz w:val="20"/>
                <w:szCs w:val="20"/>
                <w:color w:val="auto"/>
              </w:rPr>
            </w:pPr>
            <w:r>
              <w:rPr>
                <w:rFonts w:ascii="Arial" w:cs="Arial" w:eastAsia="Arial" w:hAnsi="Arial"/>
                <w:sz w:val="14"/>
                <w:szCs w:val="14"/>
                <w:color w:val="auto"/>
              </w:rPr>
              <w:t>53.11</w:t>
            </w: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1515 Broadway</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March 2028</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226.48</w:t>
            </w:r>
          </w:p>
        </w:tc>
        <w:tc>
          <w:tcPr>
            <w:tcW w:w="0" w:type="dxa"/>
            <w:vAlign w:val="bottom"/>
          </w:tcPr>
          <w:p>
            <w:pPr>
              <w:spacing w:after="0"/>
              <w:rPr>
                <w:sz w:val="1"/>
                <w:szCs w:val="1"/>
                <w:color w:val="auto"/>
              </w:rPr>
            </w:pPr>
          </w:p>
        </w:tc>
      </w:tr>
      <w:tr>
        <w:trPr>
          <w:trHeight w:val="193"/>
        </w:trPr>
        <w:tc>
          <w:tcPr>
            <w:tcW w:w="20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Worldwide Plaza</w:t>
            </w:r>
          </w:p>
        </w:tc>
        <w:tc>
          <w:tcPr>
            <w:tcW w:w="1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January 2027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32,598</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2,525</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77.46</w:t>
            </w: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1,962,681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122,780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76,434</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62.56</w:t>
            </w: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Credit Suisse Securities (USA),</w:t>
            </w:r>
          </w:p>
        </w:tc>
        <w:tc>
          <w:tcPr>
            <w:tcW w:w="184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11 Madison Avenue</w:t>
            </w:r>
          </w:p>
        </w:tc>
        <w:tc>
          <w:tcPr>
            <w:tcW w:w="13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May 2037</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1,184,762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75,380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45,228</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3.2 %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w:t>
            </w:r>
          </w:p>
        </w:tc>
        <w:tc>
          <w:tcPr>
            <w:tcW w:w="1840" w:type="dxa"/>
            <w:vAlign w:val="bottom"/>
            <w:gridSpan w:val="2"/>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Arial" w:cs="Arial" w:eastAsia="Arial" w:hAnsi="Arial"/>
                <w:sz w:val="14"/>
                <w:szCs w:val="14"/>
                <w:color w:val="auto"/>
              </w:rPr>
              <w:t>Sony Corporation</w:t>
            </w:r>
          </w:p>
        </w:tc>
        <w:tc>
          <w:tcPr>
            <w:tcW w:w="1840" w:type="dxa"/>
            <w:vAlign w:val="bottom"/>
            <w:gridSpan w:val="2"/>
          </w:tcPr>
          <w:p>
            <w:pPr>
              <w:ind w:left="80"/>
              <w:spacing w:after="0"/>
              <w:rPr>
                <w:sz w:val="20"/>
                <w:szCs w:val="20"/>
                <w:color w:val="auto"/>
              </w:rPr>
            </w:pPr>
            <w:r>
              <w:rPr>
                <w:rFonts w:ascii="Arial" w:cs="Arial" w:eastAsia="Arial" w:hAnsi="Arial"/>
                <w:sz w:val="14"/>
                <w:szCs w:val="14"/>
                <w:color w:val="auto"/>
              </w:rPr>
              <w:t>11 Madison Avenue</w:t>
            </w:r>
          </w:p>
        </w:tc>
        <w:tc>
          <w:tcPr>
            <w:tcW w:w="1380" w:type="dxa"/>
            <w:vAlign w:val="bottom"/>
          </w:tcPr>
          <w:p>
            <w:pPr>
              <w:ind w:left="80"/>
              <w:spacing w:after="0"/>
              <w:rPr>
                <w:sz w:val="20"/>
                <w:szCs w:val="20"/>
                <w:color w:val="auto"/>
              </w:rPr>
            </w:pPr>
            <w:r>
              <w:rPr>
                <w:rFonts w:ascii="Arial" w:cs="Arial" w:eastAsia="Arial" w:hAnsi="Arial"/>
                <w:sz w:val="14"/>
                <w:szCs w:val="14"/>
                <w:color w:val="auto"/>
              </w:rPr>
              <w:t>January 2031</w:t>
            </w:r>
          </w:p>
        </w:tc>
        <w:tc>
          <w:tcPr>
            <w:tcW w:w="1140" w:type="dxa"/>
            <w:vAlign w:val="bottom"/>
          </w:tcPr>
          <w:p>
            <w:pPr>
              <w:jc w:val="right"/>
              <w:spacing w:after="0"/>
              <w:rPr>
                <w:sz w:val="20"/>
                <w:szCs w:val="20"/>
                <w:color w:val="auto"/>
              </w:rPr>
            </w:pPr>
            <w:r>
              <w:rPr>
                <w:rFonts w:ascii="Arial" w:cs="Arial" w:eastAsia="Arial" w:hAnsi="Arial"/>
                <w:sz w:val="14"/>
                <w:szCs w:val="14"/>
                <w:color w:val="auto"/>
              </w:rPr>
              <w:t>578,791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50,205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30,123</w:t>
            </w:r>
          </w:p>
        </w:tc>
        <w:tc>
          <w:tcPr>
            <w:tcW w:w="1420" w:type="dxa"/>
            <w:vAlign w:val="bottom"/>
          </w:tcPr>
          <w:p>
            <w:pPr>
              <w:jc w:val="right"/>
              <w:spacing w:after="0"/>
              <w:rPr>
                <w:sz w:val="20"/>
                <w:szCs w:val="20"/>
                <w:color w:val="auto"/>
              </w:rPr>
            </w:pPr>
            <w:r>
              <w:rPr>
                <w:rFonts w:ascii="Arial" w:cs="Arial" w:eastAsia="Arial" w:hAnsi="Arial"/>
                <w:sz w:val="14"/>
                <w:szCs w:val="14"/>
                <w:color w:val="auto"/>
              </w:rPr>
              <w:t>2.1 % $</w:t>
            </w:r>
          </w:p>
        </w:tc>
        <w:tc>
          <w:tcPr>
            <w:tcW w:w="940" w:type="dxa"/>
            <w:vAlign w:val="bottom"/>
          </w:tcPr>
          <w:p>
            <w:pPr>
              <w:jc w:val="right"/>
              <w:spacing w:after="0"/>
              <w:rPr>
                <w:sz w:val="20"/>
                <w:szCs w:val="20"/>
                <w:color w:val="auto"/>
              </w:rPr>
            </w:pPr>
            <w:r>
              <w:rPr>
                <w:rFonts w:ascii="Arial" w:cs="Arial" w:eastAsia="Arial" w:hAnsi="Arial"/>
                <w:sz w:val="14"/>
                <w:szCs w:val="14"/>
                <w:color w:val="auto"/>
              </w:rPr>
              <w:t>86.74</w:t>
            </w: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Debevoise &amp; Plimpton, LLP</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w w:val="85"/>
              </w:rPr>
              <w:t>919</w:t>
            </w:r>
          </w:p>
        </w:tc>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Third Avenue</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February 2023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527,433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46,826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23,881</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88.78</w:t>
            </w: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1840" w:type="dxa"/>
            <w:vAlign w:val="bottom"/>
            <w:gridSpan w:val="2"/>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TD Bank US Holding Company</w:t>
            </w:r>
          </w:p>
        </w:tc>
        <w:tc>
          <w:tcPr>
            <w:tcW w:w="18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One Vanderbilt Avenue</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July 2041</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193,159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17,637</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128.59</w:t>
            </w: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color w:val="auto"/>
              </w:rPr>
              <w:t>One Vanderbilt Avenue</w:t>
            </w:r>
          </w:p>
        </w:tc>
        <w:tc>
          <w:tcPr>
            <w:tcW w:w="1380" w:type="dxa"/>
            <w:vAlign w:val="bottom"/>
          </w:tcPr>
          <w:p>
            <w:pPr>
              <w:ind w:left="80"/>
              <w:spacing w:after="0"/>
              <w:rPr>
                <w:sz w:val="20"/>
                <w:szCs w:val="20"/>
                <w:color w:val="auto"/>
              </w:rPr>
            </w:pPr>
            <w:r>
              <w:rPr>
                <w:rFonts w:ascii="Arial" w:cs="Arial" w:eastAsia="Arial" w:hAnsi="Arial"/>
                <w:sz w:val="14"/>
                <w:szCs w:val="14"/>
                <w:color w:val="auto"/>
              </w:rPr>
              <w:t>August 2041</w:t>
            </w:r>
          </w:p>
        </w:tc>
        <w:tc>
          <w:tcPr>
            <w:tcW w:w="1140" w:type="dxa"/>
            <w:vAlign w:val="bottom"/>
          </w:tcPr>
          <w:p>
            <w:pPr>
              <w:jc w:val="right"/>
              <w:spacing w:after="0"/>
              <w:rPr>
                <w:sz w:val="20"/>
                <w:szCs w:val="20"/>
                <w:color w:val="auto"/>
              </w:rPr>
            </w:pPr>
            <w:r>
              <w:rPr>
                <w:rFonts w:ascii="Arial" w:cs="Arial" w:eastAsia="Arial" w:hAnsi="Arial"/>
                <w:sz w:val="14"/>
                <w:szCs w:val="14"/>
                <w:color w:val="auto"/>
              </w:rPr>
              <w:t>6,843</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3,217</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2,284</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0.2 %</w:t>
            </w:r>
          </w:p>
        </w:tc>
        <w:tc>
          <w:tcPr>
            <w:tcW w:w="940" w:type="dxa"/>
            <w:vAlign w:val="bottom"/>
          </w:tcPr>
          <w:p>
            <w:pPr>
              <w:jc w:val="right"/>
              <w:spacing w:after="0"/>
              <w:rPr>
                <w:sz w:val="20"/>
                <w:szCs w:val="20"/>
                <w:color w:val="auto"/>
              </w:rPr>
            </w:pPr>
            <w:r>
              <w:rPr>
                <w:rFonts w:ascii="Arial" w:cs="Arial" w:eastAsia="Arial" w:hAnsi="Arial"/>
                <w:sz w:val="14"/>
                <w:szCs w:val="14"/>
                <w:color w:val="auto"/>
              </w:rPr>
              <w:t>470.04</w:t>
            </w: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w w:val="85"/>
              </w:rPr>
              <w:t>125</w:t>
            </w:r>
          </w:p>
        </w:tc>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Park Avenue</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October 2023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325.12</w:t>
            </w:r>
          </w:p>
        </w:tc>
        <w:tc>
          <w:tcPr>
            <w:tcW w:w="0" w:type="dxa"/>
            <w:vAlign w:val="bottom"/>
          </w:tcPr>
          <w:p>
            <w:pPr>
              <w:spacing w:after="0"/>
              <w:rPr>
                <w:sz w:val="1"/>
                <w:szCs w:val="1"/>
                <w:color w:val="auto"/>
              </w:rPr>
            </w:pPr>
          </w:p>
        </w:tc>
      </w:tr>
      <w:tr>
        <w:trPr>
          <w:trHeight w:val="193"/>
        </w:trPr>
        <w:tc>
          <w:tcPr>
            <w:tcW w:w="20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w w:val="85"/>
              </w:rPr>
              <w:t>125</w:t>
            </w:r>
          </w:p>
        </w:tc>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Park Avenue</w:t>
            </w:r>
          </w:p>
        </w:tc>
        <w:tc>
          <w:tcPr>
            <w:tcW w:w="1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October 2030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26,536</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68.72</w:t>
            </w: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232,772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23,772</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137.06</w:t>
            </w: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7"/>
              </w:rPr>
              <w:t>Carlyle Investment Management</w:t>
            </w:r>
          </w:p>
        </w:tc>
        <w:tc>
          <w:tcPr>
            <w:tcW w:w="184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One Vanderbilt Avenue</w:t>
            </w:r>
          </w:p>
        </w:tc>
        <w:tc>
          <w:tcPr>
            <w:tcW w:w="13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September 2036</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194,702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32,471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23,058</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166.77</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LLC</w:t>
            </w:r>
          </w:p>
        </w:tc>
        <w:tc>
          <w:tcPr>
            <w:tcW w:w="1840" w:type="dxa"/>
            <w:vAlign w:val="bottom"/>
            <w:gridSpan w:val="2"/>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Arial" w:cs="Arial" w:eastAsia="Arial" w:hAnsi="Arial"/>
                <w:sz w:val="14"/>
                <w:szCs w:val="14"/>
                <w:color w:val="auto"/>
              </w:rPr>
              <w:t>The City of New York</w:t>
            </w:r>
          </w:p>
        </w:tc>
        <w:tc>
          <w:tcPr>
            <w:tcW w:w="300" w:type="dxa"/>
            <w:vAlign w:val="bottom"/>
          </w:tcPr>
          <w:p>
            <w:pPr>
              <w:ind w:left="80"/>
              <w:spacing w:after="0"/>
              <w:rPr>
                <w:sz w:val="20"/>
                <w:szCs w:val="20"/>
                <w:color w:val="auto"/>
              </w:rPr>
            </w:pPr>
            <w:r>
              <w:rPr>
                <w:rFonts w:ascii="Arial" w:cs="Arial" w:eastAsia="Arial" w:hAnsi="Arial"/>
                <w:sz w:val="14"/>
                <w:szCs w:val="14"/>
                <w:color w:val="auto"/>
                <w:w w:val="85"/>
              </w:rPr>
              <w:t>100</w:t>
            </w:r>
          </w:p>
        </w:tc>
        <w:tc>
          <w:tcPr>
            <w:tcW w:w="1540" w:type="dxa"/>
            <w:vAlign w:val="bottom"/>
          </w:tcPr>
          <w:p>
            <w:pPr>
              <w:ind w:left="20"/>
              <w:spacing w:after="0"/>
              <w:rPr>
                <w:sz w:val="20"/>
                <w:szCs w:val="20"/>
                <w:color w:val="auto"/>
              </w:rPr>
            </w:pPr>
            <w:r>
              <w:rPr>
                <w:rFonts w:ascii="Arial" w:cs="Arial" w:eastAsia="Arial" w:hAnsi="Arial"/>
                <w:sz w:val="14"/>
                <w:szCs w:val="14"/>
                <w:color w:val="auto"/>
              </w:rPr>
              <w:t>Church Street</w:t>
            </w:r>
          </w:p>
        </w:tc>
        <w:tc>
          <w:tcPr>
            <w:tcW w:w="1380" w:type="dxa"/>
            <w:vAlign w:val="bottom"/>
          </w:tcPr>
          <w:p>
            <w:pPr>
              <w:ind w:left="80"/>
              <w:spacing w:after="0"/>
              <w:rPr>
                <w:sz w:val="20"/>
                <w:szCs w:val="20"/>
                <w:color w:val="auto"/>
              </w:rPr>
            </w:pPr>
            <w:r>
              <w:rPr>
                <w:rFonts w:ascii="Arial" w:cs="Arial" w:eastAsia="Arial" w:hAnsi="Arial"/>
                <w:sz w:val="14"/>
                <w:szCs w:val="14"/>
                <w:color w:val="auto"/>
              </w:rPr>
              <w:t>March 2034</w:t>
            </w:r>
          </w:p>
        </w:tc>
        <w:tc>
          <w:tcPr>
            <w:tcW w:w="1140" w:type="dxa"/>
            <w:vAlign w:val="bottom"/>
          </w:tcPr>
          <w:p>
            <w:pPr>
              <w:jc w:val="right"/>
              <w:spacing w:after="0"/>
              <w:rPr>
                <w:sz w:val="20"/>
                <w:szCs w:val="20"/>
                <w:color w:val="auto"/>
              </w:rPr>
            </w:pPr>
            <w:r>
              <w:rPr>
                <w:rFonts w:ascii="Arial" w:cs="Arial" w:eastAsia="Arial" w:hAnsi="Arial"/>
                <w:sz w:val="14"/>
                <w:szCs w:val="14"/>
                <w:color w:val="auto"/>
              </w:rPr>
              <w:t>510,007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20,622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20,622</w:t>
            </w:r>
          </w:p>
        </w:tc>
        <w:tc>
          <w:tcPr>
            <w:tcW w:w="1420" w:type="dxa"/>
            <w:vAlign w:val="bottom"/>
          </w:tcPr>
          <w:p>
            <w:pPr>
              <w:jc w:val="right"/>
              <w:spacing w:after="0"/>
              <w:rPr>
                <w:sz w:val="20"/>
                <w:szCs w:val="20"/>
                <w:color w:val="auto"/>
              </w:rPr>
            </w:pPr>
            <w:r>
              <w:rPr>
                <w:rFonts w:ascii="Arial" w:cs="Arial" w:eastAsia="Arial" w:hAnsi="Arial"/>
                <w:sz w:val="14"/>
                <w:szCs w:val="14"/>
                <w:color w:val="auto"/>
              </w:rPr>
              <w:t>1.5 % $</w:t>
            </w:r>
          </w:p>
        </w:tc>
        <w:tc>
          <w:tcPr>
            <w:tcW w:w="940" w:type="dxa"/>
            <w:vAlign w:val="bottom"/>
          </w:tcPr>
          <w:p>
            <w:pPr>
              <w:jc w:val="right"/>
              <w:spacing w:after="0"/>
              <w:rPr>
                <w:sz w:val="20"/>
                <w:szCs w:val="20"/>
                <w:color w:val="auto"/>
              </w:rPr>
            </w:pPr>
            <w:r>
              <w:rPr>
                <w:rFonts w:ascii="Arial" w:cs="Arial" w:eastAsia="Arial" w:hAnsi="Arial"/>
                <w:sz w:val="14"/>
                <w:szCs w:val="14"/>
                <w:color w:val="auto"/>
              </w:rPr>
              <w:t>40.43</w:t>
            </w: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King &amp; Spalding</w:t>
            </w:r>
          </w:p>
        </w:tc>
        <w:tc>
          <w:tcPr>
            <w:tcW w:w="18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4"/>
              </w:rPr>
              <w:t>1185 Avenue of the Americas</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October 2025</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20,573</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94.25</w:t>
            </w: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8"/>
              </w:rPr>
              <w:t>Metro-North Commuter Railroad</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420</w:t>
            </w:r>
          </w:p>
        </w:tc>
        <w:tc>
          <w:tcPr>
            <w:tcW w:w="15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Lexington Avenue</w:t>
            </w:r>
          </w:p>
        </w:tc>
        <w:tc>
          <w:tcPr>
            <w:tcW w:w="13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November 2034</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344,873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20,058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20,058</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58.16</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300" w:type="dxa"/>
            <w:vAlign w:val="bottom"/>
            <w:vMerge w:val="continue"/>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w w:val="85"/>
              </w:rPr>
              <w:t>420</w:t>
            </w:r>
          </w:p>
        </w:tc>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Lexington Avenue</w:t>
            </w:r>
          </w:p>
        </w:tc>
        <w:tc>
          <w:tcPr>
            <w:tcW w:w="1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January 2027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7,537</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58.89</w:t>
            </w: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352,410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20,502</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960" w:type="dxa"/>
            <w:vAlign w:val="bottom"/>
          </w:tcPr>
          <w:p>
            <w:pPr>
              <w:spacing w:after="0"/>
              <w:rPr>
                <w:sz w:val="20"/>
                <w:szCs w:val="20"/>
                <w:color w:val="auto"/>
              </w:rPr>
            </w:pPr>
            <w:r>
              <w:rPr>
                <w:rFonts w:ascii="Arial" w:cs="Arial" w:eastAsia="Arial" w:hAnsi="Arial"/>
                <w:sz w:val="14"/>
                <w:szCs w:val="14"/>
                <w:color w:val="auto"/>
              </w:rPr>
              <w:t>WME IMG, LLC</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304 Park Avenue</w:t>
            </w:r>
          </w:p>
        </w:tc>
        <w:tc>
          <w:tcPr>
            <w:tcW w:w="1200" w:type="dxa"/>
            <w:vAlign w:val="bottom"/>
          </w:tcPr>
          <w:p>
            <w:pPr>
              <w:ind w:left="260"/>
              <w:spacing w:after="0"/>
              <w:rPr>
                <w:sz w:val="20"/>
                <w:szCs w:val="20"/>
                <w:color w:val="auto"/>
              </w:rPr>
            </w:pPr>
            <w:r>
              <w:rPr>
                <w:rFonts w:ascii="Arial" w:cs="Arial" w:eastAsia="Arial" w:hAnsi="Arial"/>
                <w:sz w:val="14"/>
                <w:szCs w:val="14"/>
                <w:color w:val="auto"/>
              </w:rPr>
              <w:t>April 2028</w:t>
            </w:r>
          </w:p>
        </w:tc>
      </w:tr>
      <w:tr>
        <w:trPr>
          <w:trHeight w:val="200"/>
        </w:trPr>
        <w:tc>
          <w:tcPr>
            <w:tcW w:w="196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11 Madison Avenue</w:t>
            </w:r>
          </w:p>
        </w:tc>
        <w:tc>
          <w:tcPr>
            <w:tcW w:w="1200" w:type="dxa"/>
            <w:vAlign w:val="bottom"/>
          </w:tcPr>
          <w:p>
            <w:pPr>
              <w:ind w:left="260"/>
              <w:spacing w:after="0"/>
              <w:rPr>
                <w:sz w:val="20"/>
                <w:szCs w:val="20"/>
                <w:color w:val="auto"/>
              </w:rPr>
            </w:pPr>
            <w:r>
              <w:rPr>
                <w:rFonts w:ascii="Arial" w:cs="Arial" w:eastAsia="Arial" w:hAnsi="Arial"/>
                <w:sz w:val="14"/>
                <w:szCs w:val="14"/>
                <w:color w:val="auto"/>
                <w:w w:val="88"/>
              </w:rPr>
              <w:t>September 2030</w:t>
            </w:r>
          </w:p>
        </w:tc>
      </w:tr>
      <w:tr>
        <w:trPr>
          <w:trHeight w:val="559"/>
        </w:trPr>
        <w:tc>
          <w:tcPr>
            <w:tcW w:w="1960" w:type="dxa"/>
            <w:vAlign w:val="bottom"/>
          </w:tcPr>
          <w:p>
            <w:pPr>
              <w:spacing w:after="0"/>
              <w:rPr>
                <w:sz w:val="20"/>
                <w:szCs w:val="20"/>
                <w:color w:val="auto"/>
              </w:rPr>
            </w:pPr>
            <w:r>
              <w:rPr>
                <w:rFonts w:ascii="Arial" w:cs="Arial" w:eastAsia="Arial" w:hAnsi="Arial"/>
                <w:sz w:val="14"/>
                <w:szCs w:val="14"/>
                <w:color w:val="auto"/>
              </w:rPr>
              <w:t>Nike Retail Services, Inc.</w:t>
            </w:r>
          </w:p>
        </w:tc>
        <w:tc>
          <w:tcPr>
            <w:tcW w:w="320" w:type="dxa"/>
            <w:vAlign w:val="bottom"/>
          </w:tcPr>
          <w:p>
            <w:pPr>
              <w:ind w:left="100"/>
              <w:spacing w:after="0"/>
              <w:rPr>
                <w:sz w:val="20"/>
                <w:szCs w:val="20"/>
                <w:color w:val="auto"/>
              </w:rPr>
            </w:pPr>
            <w:r>
              <w:rPr>
                <w:rFonts w:ascii="Arial" w:cs="Arial" w:eastAsia="Arial" w:hAnsi="Arial"/>
                <w:sz w:val="14"/>
                <w:szCs w:val="14"/>
                <w:color w:val="auto"/>
                <w:w w:val="85"/>
              </w:rPr>
              <w:t>650</w:t>
            </w:r>
          </w:p>
        </w:tc>
        <w:tc>
          <w:tcPr>
            <w:tcW w:w="1360" w:type="dxa"/>
            <w:vAlign w:val="bottom"/>
          </w:tcPr>
          <w:p>
            <w:pPr>
              <w:ind w:left="20"/>
              <w:spacing w:after="0"/>
              <w:rPr>
                <w:sz w:val="20"/>
                <w:szCs w:val="20"/>
                <w:color w:val="auto"/>
              </w:rPr>
            </w:pPr>
            <w:r>
              <w:rPr>
                <w:rFonts w:ascii="Arial" w:cs="Arial" w:eastAsia="Arial" w:hAnsi="Arial"/>
                <w:sz w:val="14"/>
                <w:szCs w:val="14"/>
                <w:color w:val="auto"/>
              </w:rPr>
              <w:t>Fifth Avenue</w:t>
            </w:r>
          </w:p>
        </w:tc>
        <w:tc>
          <w:tcPr>
            <w:tcW w:w="1200" w:type="dxa"/>
            <w:vAlign w:val="bottom"/>
          </w:tcPr>
          <w:p>
            <w:pPr>
              <w:ind w:left="260"/>
              <w:spacing w:after="0"/>
              <w:rPr>
                <w:sz w:val="20"/>
                <w:szCs w:val="20"/>
                <w:color w:val="auto"/>
              </w:rPr>
            </w:pPr>
            <w:r>
              <w:rPr>
                <w:rFonts w:ascii="Arial" w:cs="Arial" w:eastAsia="Arial" w:hAnsi="Arial"/>
                <w:sz w:val="14"/>
                <w:szCs w:val="14"/>
                <w:color w:val="auto"/>
              </w:rPr>
              <w:t>January 2033</w:t>
            </w:r>
          </w:p>
        </w:tc>
      </w:tr>
      <w:tr>
        <w:trPr>
          <w:trHeight w:val="200"/>
        </w:trPr>
        <w:tc>
          <w:tcPr>
            <w:tcW w:w="1960" w:type="dxa"/>
            <w:vAlign w:val="bottom"/>
          </w:tcPr>
          <w:p>
            <w:pPr>
              <w:spacing w:after="0"/>
              <w:rPr>
                <w:sz w:val="20"/>
                <w:szCs w:val="20"/>
                <w:color w:val="auto"/>
              </w:rPr>
            </w:pPr>
            <w:r>
              <w:rPr>
                <w:rFonts w:ascii="Arial" w:cs="Arial" w:eastAsia="Arial" w:hAnsi="Arial"/>
                <w:sz w:val="14"/>
                <w:szCs w:val="14"/>
                <w:color w:val="auto"/>
              </w:rPr>
              <w:t>Bloomberg L.P.</w:t>
            </w:r>
          </w:p>
        </w:tc>
        <w:tc>
          <w:tcPr>
            <w:tcW w:w="320" w:type="dxa"/>
            <w:vAlign w:val="bottom"/>
          </w:tcPr>
          <w:p>
            <w:pPr>
              <w:ind w:left="100"/>
              <w:spacing w:after="0"/>
              <w:rPr>
                <w:sz w:val="20"/>
                <w:szCs w:val="20"/>
                <w:color w:val="auto"/>
              </w:rPr>
            </w:pPr>
            <w:r>
              <w:rPr>
                <w:rFonts w:ascii="Arial" w:cs="Arial" w:eastAsia="Arial" w:hAnsi="Arial"/>
                <w:sz w:val="14"/>
                <w:szCs w:val="14"/>
                <w:color w:val="auto"/>
                <w:w w:val="85"/>
              </w:rPr>
              <w:t>919</w:t>
            </w:r>
          </w:p>
        </w:tc>
        <w:tc>
          <w:tcPr>
            <w:tcW w:w="1360" w:type="dxa"/>
            <w:vAlign w:val="bottom"/>
          </w:tcPr>
          <w:p>
            <w:pPr>
              <w:ind w:left="20"/>
              <w:spacing w:after="0"/>
              <w:rPr>
                <w:sz w:val="20"/>
                <w:szCs w:val="20"/>
                <w:color w:val="auto"/>
              </w:rPr>
            </w:pPr>
            <w:r>
              <w:rPr>
                <w:rFonts w:ascii="Arial" w:cs="Arial" w:eastAsia="Arial" w:hAnsi="Arial"/>
                <w:sz w:val="14"/>
                <w:szCs w:val="14"/>
                <w:color w:val="auto"/>
              </w:rPr>
              <w:t>Third Avenue</w:t>
            </w:r>
          </w:p>
        </w:tc>
        <w:tc>
          <w:tcPr>
            <w:tcW w:w="1200" w:type="dxa"/>
            <w:vAlign w:val="bottom"/>
          </w:tcPr>
          <w:p>
            <w:pPr>
              <w:ind w:left="260"/>
              <w:spacing w:after="0"/>
              <w:rPr>
                <w:sz w:val="20"/>
                <w:szCs w:val="20"/>
                <w:color w:val="auto"/>
              </w:rPr>
            </w:pPr>
            <w:r>
              <w:rPr>
                <w:rFonts w:ascii="Arial" w:cs="Arial" w:eastAsia="Arial" w:hAnsi="Arial"/>
                <w:sz w:val="14"/>
                <w:szCs w:val="14"/>
                <w:color w:val="auto"/>
              </w:rPr>
              <w:t>February 2029</w:t>
            </w:r>
          </w:p>
        </w:tc>
      </w:tr>
      <w:tr>
        <w:trPr>
          <w:trHeight w:val="200"/>
        </w:trPr>
        <w:tc>
          <w:tcPr>
            <w:tcW w:w="1960" w:type="dxa"/>
            <w:vAlign w:val="bottom"/>
          </w:tcPr>
          <w:p>
            <w:pPr>
              <w:spacing w:after="0"/>
              <w:rPr>
                <w:sz w:val="20"/>
                <w:szCs w:val="20"/>
                <w:color w:val="auto"/>
              </w:rPr>
            </w:pPr>
            <w:r>
              <w:rPr>
                <w:rFonts w:ascii="Arial" w:cs="Arial" w:eastAsia="Arial" w:hAnsi="Arial"/>
                <w:sz w:val="14"/>
                <w:szCs w:val="14"/>
                <w:color w:val="auto"/>
              </w:rPr>
              <w:t>Ares Management LLC</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245 Park Avenue</w:t>
            </w:r>
          </w:p>
        </w:tc>
        <w:tc>
          <w:tcPr>
            <w:tcW w:w="1200" w:type="dxa"/>
            <w:vAlign w:val="bottom"/>
          </w:tcPr>
          <w:p>
            <w:pPr>
              <w:ind w:left="260"/>
              <w:spacing w:after="0"/>
              <w:rPr>
                <w:sz w:val="20"/>
                <w:szCs w:val="20"/>
                <w:color w:val="auto"/>
              </w:rPr>
            </w:pPr>
            <w:r>
              <w:rPr>
                <w:rFonts w:ascii="Arial" w:cs="Arial" w:eastAsia="Arial" w:hAnsi="Arial"/>
                <w:sz w:val="14"/>
                <w:szCs w:val="14"/>
                <w:color w:val="auto"/>
              </w:rPr>
              <w:t>May 2026</w:t>
            </w:r>
          </w:p>
        </w:tc>
      </w:tr>
      <w:tr>
        <w:trPr>
          <w:trHeight w:val="200"/>
        </w:trPr>
        <w:tc>
          <w:tcPr>
            <w:tcW w:w="1960" w:type="dxa"/>
            <w:vAlign w:val="bottom"/>
          </w:tcPr>
          <w:p>
            <w:pPr>
              <w:spacing w:after="0"/>
              <w:rPr>
                <w:sz w:val="20"/>
                <w:szCs w:val="20"/>
                <w:color w:val="auto"/>
              </w:rPr>
            </w:pPr>
            <w:r>
              <w:rPr>
                <w:rFonts w:ascii="Arial" w:cs="Arial" w:eastAsia="Arial" w:hAnsi="Arial"/>
                <w:sz w:val="14"/>
                <w:szCs w:val="14"/>
                <w:color w:val="auto"/>
              </w:rPr>
              <w:t>Cravath, Swaine &amp; Moore LLP</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Worldwide Plaza</w:t>
            </w:r>
          </w:p>
        </w:tc>
        <w:tc>
          <w:tcPr>
            <w:tcW w:w="1200" w:type="dxa"/>
            <w:vAlign w:val="bottom"/>
          </w:tcPr>
          <w:p>
            <w:pPr>
              <w:ind w:left="260"/>
              <w:spacing w:after="0"/>
              <w:rPr>
                <w:sz w:val="20"/>
                <w:szCs w:val="20"/>
                <w:color w:val="auto"/>
              </w:rPr>
            </w:pPr>
            <w:r>
              <w:rPr>
                <w:rFonts w:ascii="Arial" w:cs="Arial" w:eastAsia="Arial" w:hAnsi="Arial"/>
                <w:sz w:val="14"/>
                <w:szCs w:val="14"/>
                <w:color w:val="auto"/>
              </w:rPr>
              <w:t>August 2024</w:t>
            </w:r>
          </w:p>
        </w:tc>
      </w:tr>
      <w:tr>
        <w:trPr>
          <w:trHeight w:val="200"/>
        </w:trPr>
        <w:tc>
          <w:tcPr>
            <w:tcW w:w="1960" w:type="dxa"/>
            <w:vAlign w:val="bottom"/>
          </w:tcPr>
          <w:p>
            <w:pPr>
              <w:spacing w:after="0"/>
              <w:rPr>
                <w:sz w:val="20"/>
                <w:szCs w:val="20"/>
                <w:color w:val="auto"/>
              </w:rPr>
            </w:pPr>
            <w:r>
              <w:rPr>
                <w:rFonts w:ascii="Arial" w:cs="Arial" w:eastAsia="Arial" w:hAnsi="Arial"/>
                <w:sz w:val="14"/>
                <w:szCs w:val="14"/>
                <w:color w:val="auto"/>
              </w:rPr>
              <w:t>Cooperatieve Rabobank UA</w:t>
            </w:r>
          </w:p>
        </w:tc>
        <w:tc>
          <w:tcPr>
            <w:tcW w:w="320" w:type="dxa"/>
            <w:vAlign w:val="bottom"/>
          </w:tcPr>
          <w:p>
            <w:pPr>
              <w:ind w:left="100"/>
              <w:spacing w:after="0"/>
              <w:rPr>
                <w:sz w:val="20"/>
                <w:szCs w:val="20"/>
                <w:color w:val="auto"/>
              </w:rPr>
            </w:pPr>
            <w:r>
              <w:rPr>
                <w:rFonts w:ascii="Arial" w:cs="Arial" w:eastAsia="Arial" w:hAnsi="Arial"/>
                <w:sz w:val="14"/>
                <w:szCs w:val="14"/>
                <w:color w:val="auto"/>
                <w:w w:val="85"/>
              </w:rPr>
              <w:t>245</w:t>
            </w:r>
          </w:p>
        </w:tc>
        <w:tc>
          <w:tcPr>
            <w:tcW w:w="1360" w:type="dxa"/>
            <w:vAlign w:val="bottom"/>
          </w:tcPr>
          <w:p>
            <w:pPr>
              <w:ind w:left="20"/>
              <w:spacing w:after="0"/>
              <w:rPr>
                <w:sz w:val="20"/>
                <w:szCs w:val="20"/>
                <w:color w:val="auto"/>
              </w:rPr>
            </w:pPr>
            <w:r>
              <w:rPr>
                <w:rFonts w:ascii="Arial" w:cs="Arial" w:eastAsia="Arial" w:hAnsi="Arial"/>
                <w:sz w:val="14"/>
                <w:szCs w:val="14"/>
                <w:color w:val="auto"/>
              </w:rPr>
              <w:t>Park Avenue</w:t>
            </w:r>
          </w:p>
        </w:tc>
        <w:tc>
          <w:tcPr>
            <w:tcW w:w="1200" w:type="dxa"/>
            <w:vAlign w:val="bottom"/>
          </w:tcPr>
          <w:p>
            <w:pPr>
              <w:ind w:left="260"/>
              <w:spacing w:after="0"/>
              <w:rPr>
                <w:sz w:val="20"/>
                <w:szCs w:val="20"/>
                <w:color w:val="auto"/>
              </w:rPr>
            </w:pPr>
            <w:r>
              <w:rPr>
                <w:rFonts w:ascii="Arial" w:cs="Arial" w:eastAsia="Arial" w:hAnsi="Arial"/>
                <w:sz w:val="14"/>
                <w:szCs w:val="14"/>
                <w:color w:val="auto"/>
                <w:w w:val="88"/>
              </w:rPr>
              <w:t>September 2026</w:t>
            </w:r>
          </w:p>
        </w:tc>
      </w:tr>
      <w:tr>
        <w:trPr>
          <w:trHeight w:val="346"/>
        </w:trPr>
        <w:tc>
          <w:tcPr>
            <w:tcW w:w="1960" w:type="dxa"/>
            <w:vAlign w:val="bottom"/>
          </w:tcPr>
          <w:p>
            <w:pPr>
              <w:spacing w:after="0"/>
              <w:rPr>
                <w:sz w:val="20"/>
                <w:szCs w:val="20"/>
                <w:color w:val="auto"/>
              </w:rPr>
            </w:pPr>
            <w:r>
              <w:rPr>
                <w:rFonts w:ascii="Arial" w:cs="Arial" w:eastAsia="Arial" w:hAnsi="Arial"/>
                <w:sz w:val="14"/>
                <w:szCs w:val="14"/>
                <w:color w:val="auto"/>
              </w:rPr>
              <w:t>McDermott Will &amp; Emery LLP</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One Vanderbilt Avenue</w:t>
            </w:r>
          </w:p>
        </w:tc>
        <w:tc>
          <w:tcPr>
            <w:tcW w:w="1200" w:type="dxa"/>
            <w:vAlign w:val="bottom"/>
          </w:tcPr>
          <w:p>
            <w:pPr>
              <w:ind w:left="260"/>
              <w:spacing w:after="0"/>
              <w:rPr>
                <w:sz w:val="20"/>
                <w:szCs w:val="20"/>
                <w:color w:val="auto"/>
              </w:rPr>
            </w:pPr>
            <w:r>
              <w:rPr>
                <w:rFonts w:ascii="Arial" w:cs="Arial" w:eastAsia="Arial" w:hAnsi="Arial"/>
                <w:sz w:val="14"/>
                <w:szCs w:val="14"/>
                <w:color w:val="auto"/>
              </w:rPr>
              <w:t>March 2042</w:t>
            </w:r>
          </w:p>
        </w:tc>
      </w:tr>
      <w:tr>
        <w:trPr>
          <w:trHeight w:val="200"/>
        </w:trPr>
        <w:tc>
          <w:tcPr>
            <w:tcW w:w="196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w w:val="85"/>
              </w:rPr>
              <w:t>420</w:t>
            </w:r>
          </w:p>
        </w:tc>
        <w:tc>
          <w:tcPr>
            <w:tcW w:w="1360" w:type="dxa"/>
            <w:vAlign w:val="bottom"/>
          </w:tcPr>
          <w:p>
            <w:pPr>
              <w:ind w:left="20"/>
              <w:spacing w:after="0"/>
              <w:rPr>
                <w:sz w:val="20"/>
                <w:szCs w:val="20"/>
                <w:color w:val="auto"/>
              </w:rPr>
            </w:pPr>
            <w:r>
              <w:rPr>
                <w:rFonts w:ascii="Arial" w:cs="Arial" w:eastAsia="Arial" w:hAnsi="Arial"/>
                <w:sz w:val="14"/>
                <w:szCs w:val="14"/>
                <w:color w:val="auto"/>
              </w:rPr>
              <w:t>Lexington Avenue</w:t>
            </w:r>
          </w:p>
        </w:tc>
        <w:tc>
          <w:tcPr>
            <w:tcW w:w="1200" w:type="dxa"/>
            <w:vAlign w:val="bottom"/>
          </w:tcPr>
          <w:p>
            <w:pPr>
              <w:ind w:left="260"/>
              <w:spacing w:after="0"/>
              <w:rPr>
                <w:sz w:val="20"/>
                <w:szCs w:val="20"/>
                <w:color w:val="auto"/>
              </w:rPr>
            </w:pPr>
            <w:r>
              <w:rPr>
                <w:rFonts w:ascii="Arial" w:cs="Arial" w:eastAsia="Arial" w:hAnsi="Arial"/>
                <w:sz w:val="14"/>
                <w:szCs w:val="14"/>
                <w:color w:val="auto"/>
              </w:rPr>
              <w:t>October 2041</w:t>
            </w:r>
          </w:p>
        </w:tc>
      </w:tr>
      <w:tr>
        <w:trPr>
          <w:trHeight w:val="559"/>
        </w:trPr>
        <w:tc>
          <w:tcPr>
            <w:tcW w:w="1960" w:type="dxa"/>
            <w:vAlign w:val="bottom"/>
          </w:tcPr>
          <w:p>
            <w:pPr>
              <w:spacing w:after="0"/>
              <w:rPr>
                <w:sz w:val="20"/>
                <w:szCs w:val="20"/>
                <w:color w:val="auto"/>
              </w:rPr>
            </w:pPr>
            <w:r>
              <w:rPr>
                <w:rFonts w:ascii="Arial" w:cs="Arial" w:eastAsia="Arial" w:hAnsi="Arial"/>
                <w:sz w:val="14"/>
                <w:szCs w:val="14"/>
                <w:color w:val="auto"/>
              </w:rPr>
              <w:t>Toronto Dominion Bank</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One Vanderbilt Avenue</w:t>
            </w:r>
          </w:p>
        </w:tc>
        <w:tc>
          <w:tcPr>
            <w:tcW w:w="1200" w:type="dxa"/>
            <w:vAlign w:val="bottom"/>
          </w:tcPr>
          <w:p>
            <w:pPr>
              <w:ind w:left="260"/>
              <w:spacing w:after="0"/>
              <w:rPr>
                <w:sz w:val="20"/>
                <w:szCs w:val="20"/>
                <w:color w:val="auto"/>
              </w:rPr>
            </w:pPr>
            <w:r>
              <w:rPr>
                <w:rFonts w:ascii="Arial" w:cs="Arial" w:eastAsia="Arial" w:hAnsi="Arial"/>
                <w:sz w:val="14"/>
                <w:szCs w:val="14"/>
                <w:color w:val="auto"/>
                <w:w w:val="92"/>
              </w:rPr>
              <w:t>December 2042</w:t>
            </w:r>
          </w:p>
        </w:tc>
      </w:tr>
      <w:tr>
        <w:trPr>
          <w:trHeight w:val="200"/>
        </w:trPr>
        <w:tc>
          <w:tcPr>
            <w:tcW w:w="196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w w:val="85"/>
              </w:rPr>
              <w:t>125</w:t>
            </w:r>
          </w:p>
        </w:tc>
        <w:tc>
          <w:tcPr>
            <w:tcW w:w="1360" w:type="dxa"/>
            <w:vAlign w:val="bottom"/>
          </w:tcPr>
          <w:p>
            <w:pPr>
              <w:ind w:left="20"/>
              <w:spacing w:after="0"/>
              <w:rPr>
                <w:sz w:val="20"/>
                <w:szCs w:val="20"/>
                <w:color w:val="auto"/>
              </w:rPr>
            </w:pPr>
            <w:r>
              <w:rPr>
                <w:rFonts w:ascii="Arial" w:cs="Arial" w:eastAsia="Arial" w:hAnsi="Arial"/>
                <w:sz w:val="14"/>
                <w:szCs w:val="14"/>
                <w:color w:val="auto"/>
              </w:rPr>
              <w:t>Park Avenue</w:t>
            </w:r>
          </w:p>
        </w:tc>
        <w:tc>
          <w:tcPr>
            <w:tcW w:w="1200" w:type="dxa"/>
            <w:vAlign w:val="bottom"/>
          </w:tcPr>
          <w:p>
            <w:pPr>
              <w:ind w:left="260"/>
              <w:spacing w:after="0"/>
              <w:rPr>
                <w:sz w:val="20"/>
                <w:szCs w:val="20"/>
                <w:color w:val="auto"/>
              </w:rPr>
            </w:pPr>
            <w:r>
              <w:rPr>
                <w:rFonts w:ascii="Arial" w:cs="Arial" w:eastAsia="Arial" w:hAnsi="Arial"/>
                <w:sz w:val="14"/>
                <w:szCs w:val="14"/>
                <w:color w:val="auto"/>
              </w:rPr>
              <w:t>October 2041</w:t>
            </w:r>
          </w:p>
        </w:tc>
      </w:tr>
      <w:tr>
        <w:trPr>
          <w:trHeight w:val="559"/>
        </w:trPr>
        <w:tc>
          <w:tcPr>
            <w:tcW w:w="1960" w:type="dxa"/>
            <w:vAlign w:val="bottom"/>
          </w:tcPr>
          <w:p>
            <w:pPr>
              <w:spacing w:after="0"/>
              <w:rPr>
                <w:sz w:val="20"/>
                <w:szCs w:val="20"/>
                <w:color w:val="auto"/>
              </w:rPr>
            </w:pPr>
            <w:r>
              <w:rPr>
                <w:rFonts w:ascii="Arial" w:cs="Arial" w:eastAsia="Arial" w:hAnsi="Arial"/>
                <w:sz w:val="14"/>
                <w:szCs w:val="14"/>
                <w:color w:val="auto"/>
                <w:w w:val="97"/>
              </w:rPr>
              <w:t>Stone Ridge Holdings Group LP</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One Vanderbilt Avenue</w:t>
            </w:r>
          </w:p>
        </w:tc>
        <w:tc>
          <w:tcPr>
            <w:tcW w:w="1200" w:type="dxa"/>
            <w:vAlign w:val="bottom"/>
          </w:tcPr>
          <w:p>
            <w:pPr>
              <w:ind w:left="260"/>
              <w:spacing w:after="0"/>
              <w:rPr>
                <w:sz w:val="20"/>
                <w:szCs w:val="20"/>
                <w:color w:val="auto"/>
              </w:rPr>
            </w:pPr>
            <w:r>
              <w:rPr>
                <w:rFonts w:ascii="Arial" w:cs="Arial" w:eastAsia="Arial" w:hAnsi="Arial"/>
                <w:sz w:val="14"/>
                <w:szCs w:val="14"/>
                <w:color w:val="auto"/>
                <w:w w:val="92"/>
              </w:rPr>
              <w:t>December 2037</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120" w:type="dxa"/>
            <w:vAlign w:val="bottom"/>
          </w:tcPr>
          <w:p>
            <w:pPr>
              <w:jc w:val="right"/>
              <w:spacing w:after="0"/>
              <w:rPr>
                <w:sz w:val="20"/>
                <w:szCs w:val="20"/>
                <w:color w:val="auto"/>
              </w:rPr>
            </w:pPr>
            <w:r>
              <w:rPr>
                <w:rFonts w:ascii="Arial" w:cs="Arial" w:eastAsia="Arial" w:hAnsi="Arial"/>
                <w:sz w:val="14"/>
                <w:szCs w:val="14"/>
                <w:color w:val="auto"/>
              </w:rPr>
              <w:t>174,069</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13,477</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13,477</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1.0 % $</w:t>
            </w:r>
          </w:p>
        </w:tc>
        <w:tc>
          <w:tcPr>
            <w:tcW w:w="700" w:type="dxa"/>
            <w:vAlign w:val="bottom"/>
          </w:tcPr>
          <w:p>
            <w:pPr>
              <w:jc w:val="right"/>
              <w:spacing w:after="0"/>
              <w:rPr>
                <w:sz w:val="20"/>
                <w:szCs w:val="20"/>
                <w:color w:val="auto"/>
              </w:rPr>
            </w:pPr>
            <w:r>
              <w:rPr>
                <w:rFonts w:ascii="Arial" w:cs="Arial" w:eastAsia="Arial" w:hAnsi="Arial"/>
                <w:sz w:val="14"/>
                <w:szCs w:val="14"/>
                <w:color w:val="auto"/>
              </w:rPr>
              <w:t>77.42</w:t>
            </w:r>
          </w:p>
        </w:tc>
      </w:tr>
      <w:tr>
        <w:trPr>
          <w:trHeight w:val="200"/>
        </w:trPr>
        <w:tc>
          <w:tcPr>
            <w:tcW w:w="1120" w:type="dxa"/>
            <w:vAlign w:val="bottom"/>
          </w:tcPr>
          <w:p>
            <w:pPr>
              <w:jc w:val="right"/>
              <w:spacing w:after="0"/>
              <w:rPr>
                <w:sz w:val="20"/>
                <w:szCs w:val="20"/>
                <w:color w:val="auto"/>
              </w:rPr>
            </w:pPr>
            <w:r>
              <w:rPr>
                <w:rFonts w:ascii="Arial" w:cs="Arial" w:eastAsia="Arial" w:hAnsi="Arial"/>
                <w:sz w:val="14"/>
                <w:szCs w:val="14"/>
                <w:color w:val="auto"/>
              </w:rPr>
              <w:t>104,618</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10,358</w:t>
            </w:r>
          </w:p>
        </w:tc>
        <w:tc>
          <w:tcPr>
            <w:tcW w:w="520" w:type="dxa"/>
            <w:vAlign w:val="bottom"/>
          </w:tcPr>
          <w:p>
            <w:pPr>
              <w:spacing w:after="0"/>
              <w:rPr>
                <w:sz w:val="17"/>
                <w:szCs w:val="17"/>
                <w:color w:val="auto"/>
              </w:rPr>
            </w:pP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6,215</w:t>
            </w:r>
          </w:p>
        </w:tc>
        <w:tc>
          <w:tcPr>
            <w:tcW w:w="1220" w:type="dxa"/>
            <w:vAlign w:val="bottom"/>
          </w:tcPr>
          <w:p>
            <w:pPr>
              <w:jc w:val="right"/>
              <w:ind w:right="289"/>
              <w:spacing w:after="0"/>
              <w:rPr>
                <w:sz w:val="20"/>
                <w:szCs w:val="20"/>
                <w:color w:val="auto"/>
              </w:rPr>
            </w:pPr>
            <w:r>
              <w:rPr>
                <w:rFonts w:ascii="Arial" w:cs="Arial" w:eastAsia="Arial" w:hAnsi="Arial"/>
                <w:sz w:val="14"/>
                <w:szCs w:val="14"/>
                <w:color w:val="auto"/>
              </w:rPr>
              <w:t>0.4 %</w:t>
            </w:r>
          </w:p>
        </w:tc>
        <w:tc>
          <w:tcPr>
            <w:tcW w:w="700" w:type="dxa"/>
            <w:vAlign w:val="bottom"/>
          </w:tcPr>
          <w:p>
            <w:pPr>
              <w:jc w:val="right"/>
              <w:spacing w:after="0"/>
              <w:rPr>
                <w:sz w:val="20"/>
                <w:szCs w:val="20"/>
                <w:color w:val="auto"/>
              </w:rPr>
            </w:pPr>
            <w:r>
              <w:rPr>
                <w:rFonts w:ascii="Arial" w:cs="Arial" w:eastAsia="Arial" w:hAnsi="Arial"/>
                <w:sz w:val="14"/>
                <w:szCs w:val="14"/>
                <w:color w:val="auto"/>
              </w:rPr>
              <w:t>99.01</w:t>
            </w:r>
          </w:p>
        </w:tc>
      </w:tr>
      <w:tr>
        <w:trPr>
          <w:trHeight w:val="25"/>
        </w:trPr>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4"/>
        </w:trPr>
        <w:tc>
          <w:tcPr>
            <w:tcW w:w="1120" w:type="dxa"/>
            <w:vAlign w:val="bottom"/>
          </w:tcPr>
          <w:p>
            <w:pPr>
              <w:jc w:val="right"/>
              <w:spacing w:after="0"/>
              <w:rPr>
                <w:sz w:val="20"/>
                <w:szCs w:val="20"/>
                <w:color w:val="auto"/>
              </w:rPr>
            </w:pPr>
            <w:r>
              <w:rPr>
                <w:rFonts w:ascii="Arial" w:cs="Arial" w:eastAsia="Arial" w:hAnsi="Arial"/>
                <w:sz w:val="14"/>
                <w:szCs w:val="14"/>
                <w:color w:val="auto"/>
              </w:rPr>
              <w:t>278,687</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23,835</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19,692</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1.4 % $</w:t>
            </w:r>
          </w:p>
        </w:tc>
        <w:tc>
          <w:tcPr>
            <w:tcW w:w="700" w:type="dxa"/>
            <w:vAlign w:val="bottom"/>
          </w:tcPr>
          <w:p>
            <w:pPr>
              <w:jc w:val="right"/>
              <w:spacing w:after="0"/>
              <w:rPr>
                <w:sz w:val="20"/>
                <w:szCs w:val="20"/>
                <w:color w:val="auto"/>
              </w:rPr>
            </w:pPr>
            <w:r>
              <w:rPr>
                <w:rFonts w:ascii="Arial" w:cs="Arial" w:eastAsia="Arial" w:hAnsi="Arial"/>
                <w:sz w:val="14"/>
                <w:szCs w:val="14"/>
                <w:color w:val="auto"/>
              </w:rPr>
              <w:t>85.52</w:t>
            </w:r>
          </w:p>
        </w:tc>
      </w:tr>
      <w:tr>
        <w:trPr>
          <w:trHeight w:val="341"/>
        </w:trPr>
        <w:tc>
          <w:tcPr>
            <w:tcW w:w="1120" w:type="dxa"/>
            <w:vAlign w:val="bottom"/>
          </w:tcPr>
          <w:p>
            <w:pPr>
              <w:jc w:val="right"/>
              <w:spacing w:after="0"/>
              <w:rPr>
                <w:sz w:val="20"/>
                <w:szCs w:val="20"/>
                <w:color w:val="auto"/>
              </w:rPr>
            </w:pPr>
            <w:r>
              <w:rPr>
                <w:rFonts w:ascii="Arial" w:cs="Arial" w:eastAsia="Arial" w:hAnsi="Arial"/>
                <w:sz w:val="14"/>
                <w:szCs w:val="14"/>
                <w:color w:val="auto"/>
              </w:rPr>
              <w:t>69,214</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38,256</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19,128</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1.4 % $</w:t>
            </w:r>
          </w:p>
        </w:tc>
        <w:tc>
          <w:tcPr>
            <w:tcW w:w="700" w:type="dxa"/>
            <w:vAlign w:val="bottom"/>
          </w:tcPr>
          <w:p>
            <w:pPr>
              <w:jc w:val="right"/>
              <w:spacing w:after="0"/>
              <w:rPr>
                <w:sz w:val="20"/>
                <w:szCs w:val="20"/>
                <w:color w:val="auto"/>
              </w:rPr>
            </w:pPr>
            <w:r>
              <w:rPr>
                <w:rFonts w:ascii="Arial" w:cs="Arial" w:eastAsia="Arial" w:hAnsi="Arial"/>
                <w:sz w:val="14"/>
                <w:szCs w:val="14"/>
                <w:color w:val="auto"/>
              </w:rPr>
              <w:t>552.72</w:t>
            </w:r>
          </w:p>
        </w:tc>
      </w:tr>
      <w:tr>
        <w:trPr>
          <w:trHeight w:val="200"/>
        </w:trPr>
        <w:tc>
          <w:tcPr>
            <w:tcW w:w="1120" w:type="dxa"/>
            <w:vAlign w:val="bottom"/>
          </w:tcPr>
          <w:p>
            <w:pPr>
              <w:jc w:val="right"/>
              <w:spacing w:after="0"/>
              <w:rPr>
                <w:sz w:val="20"/>
                <w:szCs w:val="20"/>
                <w:color w:val="auto"/>
              </w:rPr>
            </w:pPr>
            <w:r>
              <w:rPr>
                <w:rFonts w:ascii="Arial" w:cs="Arial" w:eastAsia="Arial" w:hAnsi="Arial"/>
                <w:sz w:val="14"/>
                <w:szCs w:val="14"/>
                <w:color w:val="auto"/>
              </w:rPr>
              <w:t>557,208</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35,903</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18,311</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1.3 % $</w:t>
            </w:r>
          </w:p>
        </w:tc>
        <w:tc>
          <w:tcPr>
            <w:tcW w:w="700" w:type="dxa"/>
            <w:vAlign w:val="bottom"/>
          </w:tcPr>
          <w:p>
            <w:pPr>
              <w:jc w:val="right"/>
              <w:spacing w:after="0"/>
              <w:rPr>
                <w:sz w:val="20"/>
                <w:szCs w:val="20"/>
                <w:color w:val="auto"/>
              </w:rPr>
            </w:pPr>
            <w:r>
              <w:rPr>
                <w:rFonts w:ascii="Arial" w:cs="Arial" w:eastAsia="Arial" w:hAnsi="Arial"/>
                <w:sz w:val="14"/>
                <w:szCs w:val="14"/>
                <w:color w:val="auto"/>
              </w:rPr>
              <w:t>64.43</w:t>
            </w:r>
          </w:p>
        </w:tc>
      </w:tr>
      <w:tr>
        <w:trPr>
          <w:trHeight w:val="200"/>
        </w:trPr>
        <w:tc>
          <w:tcPr>
            <w:tcW w:w="1120" w:type="dxa"/>
            <w:vAlign w:val="bottom"/>
          </w:tcPr>
          <w:p>
            <w:pPr>
              <w:jc w:val="right"/>
              <w:spacing w:after="0"/>
              <w:rPr>
                <w:sz w:val="20"/>
                <w:szCs w:val="20"/>
                <w:color w:val="auto"/>
              </w:rPr>
            </w:pPr>
            <w:r>
              <w:rPr>
                <w:rFonts w:ascii="Arial" w:cs="Arial" w:eastAsia="Arial" w:hAnsi="Arial"/>
                <w:sz w:val="14"/>
                <w:szCs w:val="14"/>
                <w:color w:val="auto"/>
              </w:rPr>
              <w:t>175,042</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17,777</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17,777</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1.3 % $</w:t>
            </w:r>
          </w:p>
        </w:tc>
        <w:tc>
          <w:tcPr>
            <w:tcW w:w="700" w:type="dxa"/>
            <w:vAlign w:val="bottom"/>
          </w:tcPr>
          <w:p>
            <w:pPr>
              <w:jc w:val="right"/>
              <w:spacing w:after="0"/>
              <w:rPr>
                <w:sz w:val="20"/>
                <w:szCs w:val="20"/>
                <w:color w:val="auto"/>
              </w:rPr>
            </w:pPr>
            <w:r>
              <w:rPr>
                <w:rFonts w:ascii="Arial" w:cs="Arial" w:eastAsia="Arial" w:hAnsi="Arial"/>
                <w:sz w:val="14"/>
                <w:szCs w:val="14"/>
                <w:color w:val="auto"/>
              </w:rPr>
              <w:t>101.56</w:t>
            </w:r>
          </w:p>
        </w:tc>
      </w:tr>
      <w:tr>
        <w:trPr>
          <w:trHeight w:val="200"/>
        </w:trPr>
        <w:tc>
          <w:tcPr>
            <w:tcW w:w="1120" w:type="dxa"/>
            <w:vAlign w:val="bottom"/>
          </w:tcPr>
          <w:p>
            <w:pPr>
              <w:jc w:val="right"/>
              <w:spacing w:after="0"/>
              <w:rPr>
                <w:sz w:val="20"/>
                <w:szCs w:val="20"/>
                <w:color w:val="auto"/>
              </w:rPr>
            </w:pPr>
            <w:r>
              <w:rPr>
                <w:rFonts w:ascii="Arial" w:cs="Arial" w:eastAsia="Arial" w:hAnsi="Arial"/>
                <w:sz w:val="14"/>
                <w:szCs w:val="14"/>
                <w:color w:val="auto"/>
              </w:rPr>
              <w:t>617,135</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70,102</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17,490</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1.2 % $</w:t>
            </w:r>
          </w:p>
        </w:tc>
        <w:tc>
          <w:tcPr>
            <w:tcW w:w="700" w:type="dxa"/>
            <w:vAlign w:val="bottom"/>
          </w:tcPr>
          <w:p>
            <w:pPr>
              <w:jc w:val="right"/>
              <w:spacing w:after="0"/>
              <w:rPr>
                <w:sz w:val="20"/>
                <w:szCs w:val="20"/>
                <w:color w:val="auto"/>
              </w:rPr>
            </w:pPr>
            <w:r>
              <w:rPr>
                <w:rFonts w:ascii="Arial" w:cs="Arial" w:eastAsia="Arial" w:hAnsi="Arial"/>
                <w:sz w:val="14"/>
                <w:szCs w:val="14"/>
                <w:color w:val="auto"/>
              </w:rPr>
              <w:t>113.59</w:t>
            </w:r>
          </w:p>
        </w:tc>
      </w:tr>
      <w:tr>
        <w:trPr>
          <w:trHeight w:val="200"/>
        </w:trPr>
        <w:tc>
          <w:tcPr>
            <w:tcW w:w="1120" w:type="dxa"/>
            <w:vAlign w:val="bottom"/>
          </w:tcPr>
          <w:p>
            <w:pPr>
              <w:jc w:val="right"/>
              <w:spacing w:after="0"/>
              <w:rPr>
                <w:sz w:val="20"/>
                <w:szCs w:val="20"/>
                <w:color w:val="auto"/>
              </w:rPr>
            </w:pPr>
            <w:r>
              <w:rPr>
                <w:rFonts w:ascii="Arial" w:cs="Arial" w:eastAsia="Arial" w:hAnsi="Arial"/>
                <w:sz w:val="14"/>
                <w:szCs w:val="14"/>
                <w:color w:val="auto"/>
              </w:rPr>
              <w:t>109,657</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16,844</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16,844</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1.2 % $</w:t>
            </w:r>
          </w:p>
        </w:tc>
        <w:tc>
          <w:tcPr>
            <w:tcW w:w="700" w:type="dxa"/>
            <w:vAlign w:val="bottom"/>
          </w:tcPr>
          <w:p>
            <w:pPr>
              <w:jc w:val="right"/>
              <w:spacing w:after="0"/>
              <w:rPr>
                <w:sz w:val="20"/>
                <w:szCs w:val="20"/>
                <w:color w:val="auto"/>
              </w:rPr>
            </w:pPr>
            <w:r>
              <w:rPr>
                <w:rFonts w:ascii="Arial" w:cs="Arial" w:eastAsia="Arial" w:hAnsi="Arial"/>
                <w:sz w:val="14"/>
                <w:szCs w:val="14"/>
                <w:color w:val="auto"/>
              </w:rPr>
              <w:t>153.61</w:t>
            </w:r>
          </w:p>
        </w:tc>
      </w:tr>
      <w:tr>
        <w:trPr>
          <w:trHeight w:val="346"/>
        </w:trPr>
        <w:tc>
          <w:tcPr>
            <w:tcW w:w="1120" w:type="dxa"/>
            <w:vAlign w:val="bottom"/>
          </w:tcPr>
          <w:p>
            <w:pPr>
              <w:jc w:val="right"/>
              <w:spacing w:after="0"/>
              <w:rPr>
                <w:sz w:val="20"/>
                <w:szCs w:val="20"/>
                <w:color w:val="auto"/>
              </w:rPr>
            </w:pPr>
            <w:r>
              <w:rPr>
                <w:rFonts w:ascii="Arial" w:cs="Arial" w:eastAsia="Arial" w:hAnsi="Arial"/>
                <w:sz w:val="14"/>
                <w:szCs w:val="14"/>
                <w:color w:val="auto"/>
              </w:rPr>
              <w:t>146,642</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23,309</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16,551</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1.2 % $</w:t>
            </w:r>
          </w:p>
        </w:tc>
        <w:tc>
          <w:tcPr>
            <w:tcW w:w="700" w:type="dxa"/>
            <w:vAlign w:val="bottom"/>
          </w:tcPr>
          <w:p>
            <w:pPr>
              <w:jc w:val="right"/>
              <w:spacing w:after="0"/>
              <w:rPr>
                <w:sz w:val="20"/>
                <w:szCs w:val="20"/>
                <w:color w:val="auto"/>
              </w:rPr>
            </w:pPr>
            <w:r>
              <w:rPr>
                <w:rFonts w:ascii="Arial" w:cs="Arial" w:eastAsia="Arial" w:hAnsi="Arial"/>
                <w:sz w:val="14"/>
                <w:szCs w:val="14"/>
                <w:color w:val="auto"/>
              </w:rPr>
              <w:t>158.95</w:t>
            </w:r>
          </w:p>
        </w:tc>
      </w:tr>
      <w:tr>
        <w:trPr>
          <w:trHeight w:val="200"/>
        </w:trPr>
        <w:tc>
          <w:tcPr>
            <w:tcW w:w="1120" w:type="dxa"/>
            <w:vAlign w:val="bottom"/>
          </w:tcPr>
          <w:p>
            <w:pPr>
              <w:jc w:val="right"/>
              <w:spacing w:after="0"/>
              <w:rPr>
                <w:sz w:val="20"/>
                <w:szCs w:val="20"/>
                <w:color w:val="auto"/>
              </w:rPr>
            </w:pPr>
            <w:r>
              <w:rPr>
                <w:rFonts w:ascii="Arial" w:cs="Arial" w:eastAsia="Arial" w:hAnsi="Arial"/>
                <w:sz w:val="14"/>
                <w:szCs w:val="14"/>
                <w:color w:val="auto"/>
              </w:rPr>
              <w:t>10,043</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615</w:t>
            </w:r>
          </w:p>
        </w:tc>
        <w:tc>
          <w:tcPr>
            <w:tcW w:w="520" w:type="dxa"/>
            <w:vAlign w:val="bottom"/>
          </w:tcPr>
          <w:p>
            <w:pPr>
              <w:spacing w:after="0"/>
              <w:rPr>
                <w:sz w:val="17"/>
                <w:szCs w:val="17"/>
                <w:color w:val="auto"/>
              </w:rPr>
            </w:pP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615</w:t>
            </w:r>
          </w:p>
        </w:tc>
        <w:tc>
          <w:tcPr>
            <w:tcW w:w="1220" w:type="dxa"/>
            <w:vAlign w:val="bottom"/>
          </w:tcPr>
          <w:p>
            <w:pPr>
              <w:jc w:val="right"/>
              <w:ind w:right="289"/>
              <w:spacing w:after="0"/>
              <w:rPr>
                <w:sz w:val="20"/>
                <w:szCs w:val="20"/>
                <w:color w:val="auto"/>
              </w:rPr>
            </w:pPr>
            <w:r>
              <w:rPr>
                <w:rFonts w:ascii="Arial" w:cs="Arial" w:eastAsia="Arial" w:hAnsi="Arial"/>
                <w:sz w:val="14"/>
                <w:szCs w:val="14"/>
                <w:color w:val="auto"/>
              </w:rPr>
              <w:t>— %</w:t>
            </w:r>
          </w:p>
        </w:tc>
        <w:tc>
          <w:tcPr>
            <w:tcW w:w="700" w:type="dxa"/>
            <w:vAlign w:val="bottom"/>
          </w:tcPr>
          <w:p>
            <w:pPr>
              <w:jc w:val="right"/>
              <w:spacing w:after="0"/>
              <w:rPr>
                <w:sz w:val="20"/>
                <w:szCs w:val="20"/>
                <w:color w:val="auto"/>
              </w:rPr>
            </w:pPr>
            <w:r>
              <w:rPr>
                <w:rFonts w:ascii="Arial" w:cs="Arial" w:eastAsia="Arial" w:hAnsi="Arial"/>
                <w:sz w:val="14"/>
                <w:szCs w:val="14"/>
                <w:color w:val="auto"/>
              </w:rPr>
              <w:t>61.25</w:t>
            </w:r>
          </w:p>
        </w:tc>
      </w:tr>
      <w:tr>
        <w:trPr>
          <w:trHeight w:val="25"/>
        </w:trPr>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4"/>
        </w:trPr>
        <w:tc>
          <w:tcPr>
            <w:tcW w:w="1120" w:type="dxa"/>
            <w:vAlign w:val="bottom"/>
          </w:tcPr>
          <w:p>
            <w:pPr>
              <w:jc w:val="right"/>
              <w:spacing w:after="0"/>
              <w:rPr>
                <w:sz w:val="20"/>
                <w:szCs w:val="20"/>
                <w:color w:val="auto"/>
              </w:rPr>
            </w:pPr>
            <w:r>
              <w:rPr>
                <w:rFonts w:ascii="Arial" w:cs="Arial" w:eastAsia="Arial" w:hAnsi="Arial"/>
                <w:sz w:val="14"/>
                <w:szCs w:val="14"/>
                <w:color w:val="auto"/>
              </w:rPr>
              <w:t>156,685</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23,924</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17,166</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1.2 % $</w:t>
            </w:r>
          </w:p>
        </w:tc>
        <w:tc>
          <w:tcPr>
            <w:tcW w:w="700" w:type="dxa"/>
            <w:vAlign w:val="bottom"/>
          </w:tcPr>
          <w:p>
            <w:pPr>
              <w:jc w:val="right"/>
              <w:spacing w:after="0"/>
              <w:rPr>
                <w:sz w:val="20"/>
                <w:szCs w:val="20"/>
                <w:color w:val="auto"/>
              </w:rPr>
            </w:pPr>
            <w:r>
              <w:rPr>
                <w:rFonts w:ascii="Arial" w:cs="Arial" w:eastAsia="Arial" w:hAnsi="Arial"/>
                <w:sz w:val="14"/>
                <w:szCs w:val="14"/>
                <w:color w:val="auto"/>
              </w:rPr>
              <w:t>152.69</w:t>
            </w:r>
          </w:p>
        </w:tc>
      </w:tr>
      <w:tr>
        <w:trPr>
          <w:trHeight w:val="341"/>
        </w:trPr>
        <w:tc>
          <w:tcPr>
            <w:tcW w:w="1120" w:type="dxa"/>
            <w:vAlign w:val="bottom"/>
          </w:tcPr>
          <w:p>
            <w:pPr>
              <w:jc w:val="right"/>
              <w:spacing w:after="0"/>
              <w:rPr>
                <w:sz w:val="20"/>
                <w:szCs w:val="20"/>
                <w:color w:val="auto"/>
              </w:rPr>
            </w:pPr>
            <w:r>
              <w:rPr>
                <w:rFonts w:ascii="Arial" w:cs="Arial" w:eastAsia="Arial" w:hAnsi="Arial"/>
                <w:sz w:val="14"/>
                <w:szCs w:val="14"/>
                <w:color w:val="auto"/>
              </w:rPr>
              <w:t>142,892</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18,757</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13,320</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0.9 % $</w:t>
            </w:r>
          </w:p>
        </w:tc>
        <w:tc>
          <w:tcPr>
            <w:tcW w:w="700" w:type="dxa"/>
            <w:vAlign w:val="bottom"/>
          </w:tcPr>
          <w:p>
            <w:pPr>
              <w:jc w:val="right"/>
              <w:spacing w:after="0"/>
              <w:rPr>
                <w:sz w:val="20"/>
                <w:szCs w:val="20"/>
                <w:color w:val="auto"/>
              </w:rPr>
            </w:pPr>
            <w:r>
              <w:rPr>
                <w:rFonts w:ascii="Arial" w:cs="Arial" w:eastAsia="Arial" w:hAnsi="Arial"/>
                <w:sz w:val="14"/>
                <w:szCs w:val="14"/>
                <w:color w:val="auto"/>
              </w:rPr>
              <w:t>131.27</w:t>
            </w:r>
          </w:p>
        </w:tc>
      </w:tr>
      <w:tr>
        <w:trPr>
          <w:trHeight w:val="200"/>
        </w:trPr>
        <w:tc>
          <w:tcPr>
            <w:tcW w:w="1120" w:type="dxa"/>
            <w:vAlign w:val="bottom"/>
          </w:tcPr>
          <w:p>
            <w:pPr>
              <w:jc w:val="right"/>
              <w:spacing w:after="0"/>
              <w:rPr>
                <w:sz w:val="20"/>
                <w:szCs w:val="20"/>
                <w:color w:val="auto"/>
              </w:rPr>
            </w:pPr>
            <w:r>
              <w:rPr>
                <w:rFonts w:ascii="Arial" w:cs="Arial" w:eastAsia="Arial" w:hAnsi="Arial"/>
                <w:sz w:val="14"/>
                <w:szCs w:val="14"/>
                <w:color w:val="auto"/>
              </w:rPr>
              <w:t>52,450</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3,476</w:t>
            </w:r>
          </w:p>
        </w:tc>
        <w:tc>
          <w:tcPr>
            <w:tcW w:w="520" w:type="dxa"/>
            <w:vAlign w:val="bottom"/>
          </w:tcPr>
          <w:p>
            <w:pPr>
              <w:spacing w:after="0"/>
              <w:rPr>
                <w:sz w:val="17"/>
                <w:szCs w:val="17"/>
                <w:color w:val="auto"/>
              </w:rPr>
            </w:pP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3,476</w:t>
            </w:r>
          </w:p>
        </w:tc>
        <w:tc>
          <w:tcPr>
            <w:tcW w:w="1220" w:type="dxa"/>
            <w:vAlign w:val="bottom"/>
          </w:tcPr>
          <w:p>
            <w:pPr>
              <w:jc w:val="right"/>
              <w:ind w:right="289"/>
              <w:spacing w:after="0"/>
              <w:rPr>
                <w:sz w:val="20"/>
                <w:szCs w:val="20"/>
                <w:color w:val="auto"/>
              </w:rPr>
            </w:pPr>
            <w:r>
              <w:rPr>
                <w:rFonts w:ascii="Arial" w:cs="Arial" w:eastAsia="Arial" w:hAnsi="Arial"/>
                <w:sz w:val="14"/>
                <w:szCs w:val="14"/>
                <w:color w:val="auto"/>
              </w:rPr>
              <w:t>0.3 %</w:t>
            </w:r>
          </w:p>
        </w:tc>
        <w:tc>
          <w:tcPr>
            <w:tcW w:w="700" w:type="dxa"/>
            <w:vAlign w:val="bottom"/>
          </w:tcPr>
          <w:p>
            <w:pPr>
              <w:jc w:val="right"/>
              <w:spacing w:after="0"/>
              <w:rPr>
                <w:sz w:val="20"/>
                <w:szCs w:val="20"/>
                <w:color w:val="auto"/>
              </w:rPr>
            </w:pPr>
            <w:r>
              <w:rPr>
                <w:rFonts w:ascii="Arial" w:cs="Arial" w:eastAsia="Arial" w:hAnsi="Arial"/>
                <w:sz w:val="14"/>
                <w:szCs w:val="14"/>
                <w:color w:val="auto"/>
              </w:rPr>
              <w:t>66.27</w:t>
            </w:r>
          </w:p>
        </w:tc>
      </w:tr>
      <w:tr>
        <w:trPr>
          <w:trHeight w:val="25"/>
        </w:trPr>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4"/>
        </w:trPr>
        <w:tc>
          <w:tcPr>
            <w:tcW w:w="1120" w:type="dxa"/>
            <w:vAlign w:val="bottom"/>
          </w:tcPr>
          <w:p>
            <w:pPr>
              <w:jc w:val="right"/>
              <w:spacing w:after="0"/>
              <w:rPr>
                <w:sz w:val="20"/>
                <w:szCs w:val="20"/>
                <w:color w:val="auto"/>
              </w:rPr>
            </w:pPr>
            <w:r>
              <w:rPr>
                <w:rFonts w:ascii="Arial" w:cs="Arial" w:eastAsia="Arial" w:hAnsi="Arial"/>
                <w:sz w:val="14"/>
                <w:szCs w:val="14"/>
                <w:color w:val="auto"/>
              </w:rPr>
              <w:t>195,342</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22,233</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16,796</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1.2 % $</w:t>
            </w:r>
          </w:p>
        </w:tc>
        <w:tc>
          <w:tcPr>
            <w:tcW w:w="700" w:type="dxa"/>
            <w:vAlign w:val="bottom"/>
          </w:tcPr>
          <w:p>
            <w:pPr>
              <w:jc w:val="right"/>
              <w:spacing w:after="0"/>
              <w:rPr>
                <w:sz w:val="20"/>
                <w:szCs w:val="20"/>
                <w:color w:val="auto"/>
              </w:rPr>
            </w:pPr>
            <w:r>
              <w:rPr>
                <w:rFonts w:ascii="Arial" w:cs="Arial" w:eastAsia="Arial" w:hAnsi="Arial"/>
                <w:sz w:val="14"/>
                <w:szCs w:val="14"/>
                <w:color w:val="auto"/>
              </w:rPr>
              <w:t>111.04</w:t>
            </w:r>
          </w:p>
        </w:tc>
      </w:tr>
      <w:tr>
        <w:trPr>
          <w:trHeight w:val="341"/>
        </w:trPr>
        <w:tc>
          <w:tcPr>
            <w:tcW w:w="1120" w:type="dxa"/>
            <w:vAlign w:val="bottom"/>
          </w:tcPr>
          <w:p>
            <w:pPr>
              <w:jc w:val="right"/>
              <w:spacing w:after="0"/>
              <w:rPr>
                <w:sz w:val="20"/>
                <w:szCs w:val="20"/>
                <w:color w:val="auto"/>
              </w:rPr>
            </w:pPr>
            <w:r>
              <w:rPr>
                <w:rFonts w:ascii="Arial" w:cs="Arial" w:eastAsia="Arial" w:hAnsi="Arial"/>
                <w:sz w:val="14"/>
                <w:szCs w:val="14"/>
                <w:color w:val="auto"/>
              </w:rPr>
              <w:t>97,652</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21,428</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9"/>
              <w:spacing w:after="0"/>
              <w:rPr>
                <w:sz w:val="20"/>
                <w:szCs w:val="20"/>
                <w:color w:val="auto"/>
              </w:rPr>
            </w:pPr>
            <w:r>
              <w:rPr>
                <w:rFonts w:ascii="Arial" w:cs="Arial" w:eastAsia="Arial" w:hAnsi="Arial"/>
                <w:sz w:val="14"/>
                <w:szCs w:val="14"/>
                <w:color w:val="auto"/>
              </w:rPr>
              <w:t>15,216</w:t>
            </w:r>
          </w:p>
        </w:tc>
        <w:tc>
          <w:tcPr>
            <w:tcW w:w="1220" w:type="dxa"/>
            <w:vAlign w:val="bottom"/>
          </w:tcPr>
          <w:p>
            <w:pPr>
              <w:jc w:val="right"/>
              <w:ind w:right="189"/>
              <w:spacing w:after="0"/>
              <w:rPr>
                <w:sz w:val="20"/>
                <w:szCs w:val="20"/>
                <w:color w:val="auto"/>
              </w:rPr>
            </w:pPr>
            <w:r>
              <w:rPr>
                <w:rFonts w:ascii="Arial" w:cs="Arial" w:eastAsia="Arial" w:hAnsi="Arial"/>
                <w:sz w:val="14"/>
                <w:szCs w:val="14"/>
                <w:color w:val="auto"/>
              </w:rPr>
              <w:t>1.1 % $</w:t>
            </w:r>
          </w:p>
        </w:tc>
        <w:tc>
          <w:tcPr>
            <w:tcW w:w="700" w:type="dxa"/>
            <w:vAlign w:val="bottom"/>
          </w:tcPr>
          <w:p>
            <w:pPr>
              <w:jc w:val="right"/>
              <w:spacing w:after="0"/>
              <w:rPr>
                <w:sz w:val="20"/>
                <w:szCs w:val="20"/>
                <w:color w:val="auto"/>
              </w:rPr>
            </w:pPr>
            <w:r>
              <w:rPr>
                <w:rFonts w:ascii="Arial" w:cs="Arial" w:eastAsia="Arial" w:hAnsi="Arial"/>
                <w:sz w:val="14"/>
                <w:szCs w:val="14"/>
                <w:color w:val="auto"/>
              </w:rPr>
              <w:t>219.43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-2282825</wp:posOffset>
            </wp:positionV>
            <wp:extent cx="7134225" cy="127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-2029460</wp:posOffset>
            </wp:positionV>
            <wp:extent cx="7134225" cy="13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-1800860</wp:posOffset>
            </wp:positionV>
            <wp:extent cx="7134225" cy="127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-1547495</wp:posOffset>
            </wp:positionV>
            <wp:extent cx="7134225" cy="127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-1294130</wp:posOffset>
            </wp:positionV>
            <wp:extent cx="7134225" cy="1270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-1074420</wp:posOffset>
            </wp:positionV>
            <wp:extent cx="7134225" cy="127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-820420</wp:posOffset>
            </wp:positionV>
            <wp:extent cx="7134225" cy="135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-592455</wp:posOffset>
            </wp:positionV>
            <wp:extent cx="7134225" cy="127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-339090</wp:posOffset>
            </wp:positionV>
            <wp:extent cx="7134225" cy="135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-110490</wp:posOffset>
            </wp:positionV>
            <wp:extent cx="7134225" cy="127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27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360"/>
            <w:col w:w="6020"/>
          </w:cols>
          <w:pgMar w:left="320" w:top="127"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60" w:type="dxa"/>
            <w:vAlign w:val="bottom"/>
          </w:tcPr>
          <w:p>
            <w:pPr>
              <w:ind w:left="20"/>
              <w:spacing w:after="0"/>
              <w:rPr>
                <w:sz w:val="20"/>
                <w:szCs w:val="20"/>
                <w:color w:val="auto"/>
              </w:rPr>
            </w:pPr>
            <w:r>
              <w:rPr>
                <w:rFonts w:ascii="Arial" w:cs="Arial" w:eastAsia="Arial" w:hAnsi="Arial"/>
                <w:sz w:val="14"/>
                <w:szCs w:val="14"/>
                <w:color w:val="auto"/>
              </w:rPr>
              <w:t>Hess Corp</w:t>
            </w:r>
          </w:p>
        </w:tc>
        <w:tc>
          <w:tcPr>
            <w:tcW w:w="2080" w:type="dxa"/>
            <w:vAlign w:val="bottom"/>
          </w:tcPr>
          <w:p>
            <w:pPr>
              <w:ind w:left="320"/>
              <w:spacing w:after="0"/>
              <w:rPr>
                <w:sz w:val="20"/>
                <w:szCs w:val="20"/>
                <w:color w:val="auto"/>
              </w:rPr>
            </w:pPr>
            <w:r>
              <w:rPr>
                <w:rFonts w:ascii="Arial" w:cs="Arial" w:eastAsia="Arial" w:hAnsi="Arial"/>
                <w:sz w:val="14"/>
                <w:szCs w:val="14"/>
                <w:color w:val="auto"/>
                <w:w w:val="94"/>
              </w:rPr>
              <w:t>1185 Avenue of the Americas</w:t>
            </w:r>
          </w:p>
        </w:tc>
        <w:tc>
          <w:tcPr>
            <w:tcW w:w="1380" w:type="dxa"/>
            <w:vAlign w:val="bottom"/>
          </w:tcPr>
          <w:p>
            <w:pPr>
              <w:ind w:left="80"/>
              <w:spacing w:after="0"/>
              <w:rPr>
                <w:sz w:val="20"/>
                <w:szCs w:val="20"/>
                <w:color w:val="auto"/>
              </w:rPr>
            </w:pPr>
            <w:r>
              <w:rPr>
                <w:rFonts w:ascii="Arial" w:cs="Arial" w:eastAsia="Arial" w:hAnsi="Arial"/>
                <w:sz w:val="14"/>
                <w:szCs w:val="14"/>
                <w:color w:val="auto"/>
              </w:rPr>
              <w:t>December 2027</w:t>
            </w:r>
          </w:p>
        </w:tc>
        <w:tc>
          <w:tcPr>
            <w:tcW w:w="1140" w:type="dxa"/>
            <w:vAlign w:val="bottom"/>
          </w:tcPr>
          <w:p>
            <w:pPr>
              <w:jc w:val="right"/>
              <w:spacing w:after="0"/>
              <w:rPr>
                <w:sz w:val="20"/>
                <w:szCs w:val="20"/>
                <w:color w:val="auto"/>
              </w:rPr>
            </w:pPr>
            <w:r>
              <w:rPr>
                <w:rFonts w:ascii="Arial" w:cs="Arial" w:eastAsia="Arial" w:hAnsi="Arial"/>
                <w:sz w:val="14"/>
                <w:szCs w:val="14"/>
                <w:color w:val="auto"/>
              </w:rPr>
              <w:t>167,169</w:t>
            </w:r>
          </w:p>
        </w:tc>
        <w:tc>
          <w:tcPr>
            <w:tcW w:w="3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15,101</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89"/>
              <w:spacing w:after="0"/>
              <w:rPr>
                <w:sz w:val="20"/>
                <w:szCs w:val="20"/>
                <w:color w:val="auto"/>
              </w:rPr>
            </w:pPr>
            <w:r>
              <w:rPr>
                <w:rFonts w:ascii="Arial" w:cs="Arial" w:eastAsia="Arial" w:hAnsi="Arial"/>
                <w:sz w:val="14"/>
                <w:szCs w:val="14"/>
                <w:color w:val="auto"/>
              </w:rPr>
              <w:t>15,101</w:t>
            </w: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540" w:type="dxa"/>
            <w:vAlign w:val="bottom"/>
          </w:tcPr>
          <w:p>
            <w:pPr>
              <w:jc w:val="right"/>
              <w:ind w:right="209"/>
              <w:spacing w:after="0"/>
              <w:rPr>
                <w:sz w:val="20"/>
                <w:szCs w:val="20"/>
                <w:color w:val="auto"/>
              </w:rPr>
            </w:pPr>
            <w:r>
              <w:rPr>
                <w:rFonts w:ascii="Arial" w:cs="Arial" w:eastAsia="Arial" w:hAnsi="Arial"/>
                <w:sz w:val="14"/>
                <w:szCs w:val="14"/>
                <w:color w:val="auto"/>
                <w:w w:val="99"/>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90.34</w:t>
            </w:r>
          </w:p>
        </w:tc>
      </w:tr>
      <w:tr>
        <w:trPr>
          <w:trHeight w:val="25"/>
        </w:trPr>
        <w:tc>
          <w:tcPr>
            <w:tcW w:w="17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0"/>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BMW of Manhattan, Inc.</w:t>
            </w:r>
          </w:p>
        </w:tc>
        <w:tc>
          <w:tcPr>
            <w:tcW w:w="2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555 West 57th Street</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July 2032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226,556</w:t>
            </w:r>
          </w:p>
        </w:tc>
        <w:tc>
          <w:tcPr>
            <w:tcW w:w="3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12,737</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12,737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5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99"/>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56.22</w:t>
            </w:r>
          </w:p>
        </w:tc>
      </w:tr>
      <w:tr>
        <w:trPr>
          <w:trHeight w:val="213"/>
        </w:trPr>
        <w:tc>
          <w:tcPr>
            <w:tcW w:w="176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186"/>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8,412,180</w:t>
            </w:r>
          </w:p>
        </w:tc>
        <w:tc>
          <w:tcPr>
            <w:tcW w:w="3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719,404</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b w:val="1"/>
                <w:bCs w:val="1"/>
                <w:color w:val="auto"/>
              </w:rPr>
              <w:t>470,451</w:t>
            </w:r>
          </w:p>
        </w:tc>
        <w:tc>
          <w:tcPr>
            <w:tcW w:w="1280" w:type="dxa"/>
            <w:vAlign w:val="bottom"/>
            <w:tcBorders>
              <w:bottom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33.5 %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85.52</w:t>
            </w:r>
          </w:p>
        </w:tc>
      </w:tr>
    </w:tbl>
    <w:p>
      <w:pPr>
        <w:spacing w:after="0" w:line="168" w:lineRule="exact"/>
        <w:rPr>
          <w:sz w:val="20"/>
          <w:szCs w:val="20"/>
          <w:color w:val="auto"/>
        </w:rPr>
      </w:pPr>
    </w:p>
    <w:p>
      <w:pPr>
        <w:ind w:left="400" w:hanging="394"/>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SLG Share of Annualized Cash Rent includes Manhattan, Suburban, Retail, Residential, and Development / Redevelopment properties.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8"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auto"/>
        </w:rPr>
        <w:t>Phase I environmental site assessments have been prepared on the properties in our portfolio, in order to assess existing environmental conditions. All of the Phase I assessments met the American Society for Testing and Materials (ASTM) Standard. Under the ASTM Standard, a Phase I environmental site assessment consists of a site visit, an historical record review, a review of regulatory agency data bases and records, and interviews with on-site personnel, with the purpose of identifying potential environmental concerns associated with real estate. These environmental site assessments did not reveal any known environmental liability that we believe will have a material adverse effect on our results of operations or financial condition.</w:t>
      </w:r>
    </w:p>
    <w:p>
      <w:pPr>
        <w:spacing w:after="0" w:line="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18" w:lineRule="exact"/>
        <w:rPr>
          <w:sz w:val="20"/>
          <w:szCs w:val="20"/>
          <w:color w:val="auto"/>
        </w:rPr>
      </w:pPr>
    </w:p>
    <w:p>
      <w:pPr>
        <w:jc w:val="both"/>
        <w:ind w:firstLine="439"/>
        <w:spacing w:after="0" w:line="330" w:lineRule="auto"/>
        <w:rPr>
          <w:sz w:val="20"/>
          <w:szCs w:val="20"/>
          <w:color w:val="auto"/>
        </w:rPr>
      </w:pPr>
      <w:r>
        <w:rPr>
          <w:rFonts w:ascii="Arial" w:cs="Arial" w:eastAsia="Arial" w:hAnsi="Arial"/>
          <w:sz w:val="16"/>
          <w:szCs w:val="16"/>
          <w:color w:val="auto"/>
        </w:rPr>
        <w:t>As of December 31, 2022,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9"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118" w:lineRule="exact"/>
        <w:rPr>
          <w:sz w:val="20"/>
          <w:szCs w:val="20"/>
          <w:color w:val="auto"/>
        </w:rPr>
      </w:pPr>
    </w:p>
    <w:p>
      <w:pPr>
        <w:jc w:val="both"/>
        <w:ind w:right="20" w:firstLine="439"/>
        <w:spacing w:after="0" w:line="266" w:lineRule="auto"/>
        <w:rPr>
          <w:sz w:val="20"/>
          <w:szCs w:val="20"/>
          <w:color w:val="auto"/>
        </w:rPr>
      </w:pPr>
      <w:r>
        <w:rPr>
          <w:rFonts w:ascii="Arial" w:cs="Arial" w:eastAsia="Arial" w:hAnsi="Arial"/>
          <w:sz w:val="18"/>
          <w:szCs w:val="18"/>
          <w:color w:val="auto"/>
        </w:rPr>
        <w:t>Our common stock trades on the New York Stock Exchange, or the NYSE, under the symbol "SLG." On February 15, 2023, the reported closing sale price per share of common stock on the NYSE was $40.14 and there were 475 holders of record of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OPERATING PARTNERSHIP, L.P.</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of December 31, 2022, there were 3,670,343 units of limited partnership interest of the Operating Partnership outstanding and held by persons other than the Company, which received distributions per unit of the same amount and in the same manner as dividends per share were distributed to common stockholders.</w:t>
      </w:r>
    </w:p>
    <w:p>
      <w:pPr>
        <w:spacing w:after="0" w:line="83"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There is no established public trading market for the common units of the Operating Partnership. On February 15, 2023, there were 54 holders of record and 68,563,622 common units outstanding, 64,365,509 of which were held by SL Green.</w:t>
      </w:r>
    </w:p>
    <w:p>
      <w:pPr>
        <w:spacing w:after="0" w:line="127"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In order for SL Green to maintain its qualification as a REIT, it must make annual distributions to its stockholders of at least 90% of its taxable income (not including net capital gains). SL Green has adopted a policy of paying regular dividends on its common stock, and the Operating Partnership has adopted a policy of paying regular distributions to its common units in the same amount as dividends paid by SL Green. Cash distributions have been paid on the common stock of SL Green and the common units of the Operating Partnership since the initial public offering of SL Green. Distributions are declared at the discretion of the Board of Directors of SL Green and depend on actual and anticipated cash from operations, financial condition, capital requirements, the annual distribution requirements under the REIT provisions of the Internal Revenue Code and other factors SL Green’s Board of Directors may consider relevant.</w:t>
      </w:r>
    </w:p>
    <w:p>
      <w:pPr>
        <w:spacing w:after="0" w:line="141" w:lineRule="exact"/>
        <w:rPr>
          <w:sz w:val="20"/>
          <w:szCs w:val="20"/>
          <w:color w:val="auto"/>
        </w:rPr>
      </w:pPr>
    </w:p>
    <w:p>
      <w:pPr>
        <w:jc w:val="both"/>
        <w:ind w:firstLine="399"/>
        <w:spacing w:after="0" w:line="279" w:lineRule="auto"/>
        <w:rPr>
          <w:sz w:val="20"/>
          <w:szCs w:val="20"/>
          <w:color w:val="auto"/>
        </w:rPr>
      </w:pPr>
      <w:r>
        <w:rPr>
          <w:rFonts w:ascii="Arial" w:cs="Arial" w:eastAsia="Arial" w:hAnsi="Arial"/>
          <w:sz w:val="17"/>
          <w:szCs w:val="17"/>
          <w:color w:val="auto"/>
        </w:rPr>
        <w:t>Each time SL Green issues shares of stock (other than in exchange for common units of limited partnership interest of the Operating Partnership, or OP Units, when such OP Units are presented for redemption), it contributes the proceeds of such issuance to the Operating Partnership in return for an equivalent number of units of limited partnership interest with rights and preferences analogous to the shares issued.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8"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In August 2016, our Board of Directors approved a share repurchase program under which we could buy up to$1.0 billion of shares of our common stock. The Board of Directors has since authorized five separate $500.0 million increases to the size of the share repurchase program in the fourth quarter of 2017, second quarter of 2018, fourth quarter of 2018, fourth quarter of 2019, and fourth quarter of 2020 bringing the total program size to $3.5 billion.</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2022, share repurchases, excluding the redemption of OP Units, executed under the program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89"/>
              </w:rPr>
              <w:t>Cumulative number of shares</w:t>
            </w:r>
          </w:p>
        </w:tc>
        <w:tc>
          <w:tcPr>
            <w:tcW w:w="0" w:type="dxa"/>
            <w:vAlign w:val="bottom"/>
          </w:tcPr>
          <w:p>
            <w:pPr>
              <w:spacing w:after="0"/>
              <w:rPr>
                <w:sz w:val="1"/>
                <w:szCs w:val="1"/>
                <w:color w:val="auto"/>
              </w:rPr>
            </w:pPr>
          </w:p>
        </w:tc>
      </w:tr>
      <w:tr>
        <w:trPr>
          <w:trHeight w:val="160"/>
        </w:trPr>
        <w:tc>
          <w:tcPr>
            <w:tcW w:w="4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7"/>
              </w:rPr>
              <w:t>Shares repurchased</w:t>
            </w:r>
          </w:p>
        </w:tc>
        <w:tc>
          <w:tcPr>
            <w:tcW w:w="22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w w:val="97"/>
              </w:rPr>
              <w:t>Average price paid per share</w:t>
            </w:r>
          </w:p>
        </w:tc>
        <w:tc>
          <w:tcPr>
            <w:tcW w:w="21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repurchased as part of the</w:t>
            </w:r>
          </w:p>
        </w:tc>
        <w:tc>
          <w:tcPr>
            <w:tcW w:w="0" w:type="dxa"/>
            <w:vAlign w:val="bottom"/>
          </w:tcPr>
          <w:p>
            <w:pPr>
              <w:spacing w:after="0"/>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 plan or programs</w:t>
            </w:r>
          </w:p>
        </w:tc>
        <w:tc>
          <w:tcPr>
            <w:tcW w:w="0" w:type="dxa"/>
            <w:vAlign w:val="bottom"/>
          </w:tcPr>
          <w:p>
            <w:pPr>
              <w:spacing w:after="0"/>
              <w:rPr>
                <w:sz w:val="1"/>
                <w:szCs w:val="1"/>
                <w:color w:val="auto"/>
              </w:rPr>
            </w:pPr>
          </w:p>
        </w:tc>
      </w:tr>
      <w:tr>
        <w:trPr>
          <w:trHeight w:val="85"/>
        </w:trPr>
        <w:tc>
          <w:tcPr>
            <w:tcW w:w="45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2017</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7,865,206</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$107.81</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7,865,206</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Year ended 2018</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9,187,480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$102.06</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87"/>
              </w:rPr>
              <w:t>17,052,686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2019</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4,333,260</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$88.69</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21,385,946</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Year ended 2020</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8,276,032</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$64.30</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87"/>
              </w:rPr>
              <w:t>29,661,978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2021</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4,474,649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$75.44</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34,136,627</w:t>
            </w:r>
          </w:p>
        </w:tc>
        <w:tc>
          <w:tcPr>
            <w:tcW w:w="0" w:type="dxa"/>
            <w:vAlign w:val="bottom"/>
          </w:tcPr>
          <w:p>
            <w:pPr>
              <w:spacing w:after="0"/>
              <w:rPr>
                <w:sz w:val="1"/>
                <w:szCs w:val="1"/>
                <w:color w:val="auto"/>
              </w:rPr>
            </w:pPr>
          </w:p>
        </w:tc>
      </w:tr>
      <w:tr>
        <w:trPr>
          <w:trHeight w:val="208"/>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Year ended 2022</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1,971,092</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$76.69</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87"/>
              </w:rPr>
              <w:t>36,107,719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AND REGISTERED SECURITIES; USE OF PROCEEDS FROM REGISTERED SECURITIES</w:t>
      </w:r>
    </w:p>
    <w:p>
      <w:pPr>
        <w:spacing w:after="0" w:line="118"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7"/>
          <w:szCs w:val="17"/>
          <w:color w:val="auto"/>
        </w:rPr>
        <w:t>During the years ended December 31, 2022 and 2021, we did not issue any shares of our common stock to holders of units of limited partnership interest in the Operating Partnership upon the redemption of such units pursuant to the partnership agreement of the Operating Partnership. During the year ended December 31, 2020, we issued 95,094 shares of our common stock to holders of units of limited partnership interest in the Operating Partnership upon the redemption of such units pursuant to the partnership agreement of the Operating Partnership. The issuance of such shares was exempt from registration under the Securities Act, pursuant to the exemption contemplated by Section 4(a)(2) thereof for transactions not involving a public offering. The units were exchanged for an equal number of shares of our common stock.</w:t>
      </w:r>
    </w:p>
    <w:p>
      <w:pPr>
        <w:spacing w:after="0" w:line="75"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following table summarizes information, as of December 31, 2022, relating to our equity compensation plans pursuant to which shares of our common stock or other equity securities may be granted from time to time.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2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Number of securities</w:t>
            </w:r>
          </w:p>
        </w:tc>
        <w:tc>
          <w:tcPr>
            <w:tcW w:w="280" w:type="dxa"/>
            <w:vAlign w:val="bottom"/>
          </w:tcPr>
          <w:p>
            <w:pPr>
              <w:spacing w:after="0"/>
              <w:rPr>
                <w:sz w:val="12"/>
                <w:szCs w:val="12"/>
                <w:color w:val="auto"/>
              </w:rPr>
            </w:pPr>
          </w:p>
        </w:tc>
        <w:tc>
          <w:tcPr>
            <w:tcW w:w="1860" w:type="dxa"/>
            <w:vAlign w:val="bottom"/>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w w:val="90"/>
              </w:rPr>
              <w:t>average</w:t>
            </w:r>
          </w:p>
        </w:tc>
        <w:tc>
          <w:tcPr>
            <w:tcW w:w="21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gridSpan w:val="2"/>
          </w:tcPr>
          <w:p>
            <w:pPr>
              <w:jc w:val="center"/>
              <w:ind w:right="660"/>
              <w:spacing w:after="0" w:line="137" w:lineRule="exact"/>
              <w:rPr>
                <w:sz w:val="20"/>
                <w:szCs w:val="20"/>
                <w:color w:val="auto"/>
              </w:rPr>
            </w:pPr>
            <w:r>
              <w:rPr>
                <w:rFonts w:ascii="Arial" w:cs="Arial" w:eastAsia="Arial" w:hAnsi="Arial"/>
                <w:sz w:val="14"/>
                <w:szCs w:val="14"/>
                <w:b w:val="1"/>
                <w:bCs w:val="1"/>
                <w:color w:val="auto"/>
                <w:w w:val="85"/>
              </w:rPr>
              <w:t>exercise</w:t>
            </w:r>
          </w:p>
        </w:tc>
        <w:tc>
          <w:tcPr>
            <w:tcW w:w="2140" w:type="dxa"/>
            <w:vAlign w:val="bottom"/>
            <w:gridSpan w:val="2"/>
          </w:tcPr>
          <w:p>
            <w:pPr>
              <w:jc w:val="center"/>
              <w:ind w:right="380"/>
              <w:spacing w:after="0" w:line="137"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4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5"/>
              </w:rPr>
              <w:t>to be issued</w:t>
            </w:r>
          </w:p>
        </w:tc>
        <w:tc>
          <w:tcPr>
            <w:tcW w:w="280" w:type="dxa"/>
            <w:vAlign w:val="bottom"/>
          </w:tcPr>
          <w:p>
            <w:pPr>
              <w:spacing w:after="0"/>
              <w:rPr>
                <w:sz w:val="12"/>
                <w:szCs w:val="12"/>
                <w:color w:val="auto"/>
              </w:rPr>
            </w:pPr>
          </w:p>
        </w:tc>
        <w:tc>
          <w:tcPr>
            <w:tcW w:w="1860" w:type="dxa"/>
            <w:vAlign w:val="bottom"/>
            <w:gridSpan w:val="2"/>
          </w:tcPr>
          <w:p>
            <w:pPr>
              <w:jc w:val="center"/>
              <w:ind w:right="680"/>
              <w:spacing w:after="0" w:line="143" w:lineRule="exact"/>
              <w:rPr>
                <w:sz w:val="20"/>
                <w:szCs w:val="20"/>
                <w:color w:val="auto"/>
              </w:rPr>
            </w:pPr>
            <w:r>
              <w:rPr>
                <w:rFonts w:ascii="Arial" w:cs="Arial" w:eastAsia="Arial" w:hAnsi="Arial"/>
                <w:sz w:val="14"/>
                <w:szCs w:val="14"/>
                <w:b w:val="1"/>
                <w:bCs w:val="1"/>
                <w:color w:val="auto"/>
                <w:w w:val="90"/>
              </w:rPr>
              <w:t>price of</w:t>
            </w:r>
          </w:p>
        </w:tc>
        <w:tc>
          <w:tcPr>
            <w:tcW w:w="214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7"/>
              </w:rPr>
              <w:t>issuance under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7"/>
              </w:rPr>
              <w:t>upon exercise</w:t>
            </w:r>
          </w:p>
        </w:tc>
        <w:tc>
          <w:tcPr>
            <w:tcW w:w="280" w:type="dxa"/>
            <w:vAlign w:val="bottom"/>
          </w:tcPr>
          <w:p>
            <w:pPr>
              <w:spacing w:after="0"/>
              <w:rPr>
                <w:sz w:val="12"/>
                <w:szCs w:val="12"/>
                <w:color w:val="auto"/>
              </w:rPr>
            </w:pPr>
          </w:p>
        </w:tc>
        <w:tc>
          <w:tcPr>
            <w:tcW w:w="186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89"/>
              </w:rPr>
              <w:t>outstanding</w:t>
            </w:r>
          </w:p>
        </w:tc>
        <w:tc>
          <w:tcPr>
            <w:tcW w:w="21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8"/>
              </w:rPr>
              <w:t>equity compensation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140" w:type="dxa"/>
            <w:vAlign w:val="bottom"/>
            <w:gridSpan w:val="2"/>
          </w:tcPr>
          <w:p>
            <w:pPr>
              <w:jc w:val="center"/>
              <w:ind w:right="400"/>
              <w:spacing w:after="0" w:line="137" w:lineRule="exact"/>
              <w:rPr>
                <w:sz w:val="20"/>
                <w:szCs w:val="20"/>
                <w:color w:val="auto"/>
              </w:rPr>
            </w:pPr>
            <w:r>
              <w:rPr>
                <w:rFonts w:ascii="Arial" w:cs="Arial" w:eastAsia="Arial" w:hAnsi="Arial"/>
                <w:sz w:val="14"/>
                <w:szCs w:val="14"/>
                <w:b w:val="1"/>
                <w:bCs w:val="1"/>
                <w:color w:val="auto"/>
                <w:w w:val="88"/>
              </w:rPr>
              <w:t>of outstanding</w:t>
            </w:r>
          </w:p>
        </w:tc>
        <w:tc>
          <w:tcPr>
            <w:tcW w:w="280" w:type="dxa"/>
            <w:vAlign w:val="bottom"/>
          </w:tcPr>
          <w:p>
            <w:pPr>
              <w:spacing w:after="0"/>
              <w:rPr>
                <w:sz w:val="11"/>
                <w:szCs w:val="11"/>
                <w:color w:val="auto"/>
              </w:rPr>
            </w:pPr>
          </w:p>
        </w:tc>
        <w:tc>
          <w:tcPr>
            <w:tcW w:w="1860" w:type="dxa"/>
            <w:vAlign w:val="bottom"/>
            <w:gridSpan w:val="2"/>
          </w:tcPr>
          <w:p>
            <w:pPr>
              <w:jc w:val="center"/>
              <w:ind w:right="660"/>
              <w:spacing w:after="0" w:line="137" w:lineRule="exact"/>
              <w:rPr>
                <w:sz w:val="20"/>
                <w:szCs w:val="20"/>
                <w:color w:val="auto"/>
              </w:rPr>
            </w:pPr>
            <w:r>
              <w:rPr>
                <w:rFonts w:ascii="Arial" w:cs="Arial" w:eastAsia="Arial" w:hAnsi="Arial"/>
                <w:sz w:val="14"/>
                <w:szCs w:val="14"/>
                <w:b w:val="1"/>
                <w:bCs w:val="1"/>
                <w:color w:val="auto"/>
                <w:w w:val="88"/>
              </w:rPr>
              <w:t>options,</w:t>
            </w:r>
          </w:p>
        </w:tc>
        <w:tc>
          <w:tcPr>
            <w:tcW w:w="2140" w:type="dxa"/>
            <w:vAlign w:val="bottom"/>
            <w:gridSpan w:val="2"/>
          </w:tcPr>
          <w:p>
            <w:pPr>
              <w:jc w:val="center"/>
              <w:ind w:right="380"/>
              <w:spacing w:after="0" w:line="137"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4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0"/>
              </w:rPr>
              <w:t>options, warrants</w:t>
            </w:r>
          </w:p>
        </w:tc>
        <w:tc>
          <w:tcPr>
            <w:tcW w:w="280" w:type="dxa"/>
            <w:vAlign w:val="bottom"/>
          </w:tcPr>
          <w:p>
            <w:pPr>
              <w:spacing w:after="0"/>
              <w:rPr>
                <w:sz w:val="12"/>
                <w:szCs w:val="12"/>
                <w:color w:val="auto"/>
              </w:rPr>
            </w:pPr>
          </w:p>
        </w:tc>
        <w:tc>
          <w:tcPr>
            <w:tcW w:w="1860" w:type="dxa"/>
            <w:vAlign w:val="bottom"/>
            <w:gridSpan w:val="2"/>
          </w:tcPr>
          <w:p>
            <w:pPr>
              <w:jc w:val="center"/>
              <w:ind w:right="680"/>
              <w:spacing w:after="0" w:line="143" w:lineRule="exact"/>
              <w:rPr>
                <w:sz w:val="20"/>
                <w:szCs w:val="20"/>
                <w:color w:val="auto"/>
              </w:rPr>
            </w:pPr>
            <w:r>
              <w:rPr>
                <w:rFonts w:ascii="Arial" w:cs="Arial" w:eastAsia="Arial" w:hAnsi="Arial"/>
                <w:sz w:val="14"/>
                <w:szCs w:val="14"/>
                <w:b w:val="1"/>
                <w:bCs w:val="1"/>
                <w:color w:val="auto"/>
                <w:w w:val="94"/>
              </w:rPr>
              <w:t>warrants and</w:t>
            </w:r>
          </w:p>
        </w:tc>
        <w:tc>
          <w:tcPr>
            <w:tcW w:w="21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7"/>
              </w:rPr>
              <w:t>securities reflected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and rights</w:t>
            </w:r>
          </w:p>
        </w:tc>
        <w:tc>
          <w:tcPr>
            <w:tcW w:w="280" w:type="dxa"/>
            <w:vAlign w:val="bottom"/>
          </w:tcPr>
          <w:p>
            <w:pPr>
              <w:spacing w:after="0"/>
              <w:rPr>
                <w:sz w:val="16"/>
                <w:szCs w:val="16"/>
                <w:color w:val="auto"/>
              </w:rPr>
            </w:pPr>
          </w:p>
        </w:tc>
        <w:tc>
          <w:tcPr>
            <w:tcW w:w="18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rights</w:t>
            </w:r>
          </w:p>
        </w:tc>
        <w:tc>
          <w:tcPr>
            <w:tcW w:w="2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column (a))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Plan category</w:t>
            </w:r>
          </w:p>
        </w:tc>
        <w:tc>
          <w:tcPr>
            <w:tcW w:w="17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(a)</w:t>
            </w:r>
          </w:p>
        </w:tc>
        <w:tc>
          <w:tcPr>
            <w:tcW w:w="4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ind w:right="227"/>
              <w:spacing w:after="0" w:line="147" w:lineRule="exact"/>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2"/>
                <w:szCs w:val="12"/>
                <w:color w:val="auto"/>
              </w:rPr>
            </w:pPr>
          </w:p>
        </w:tc>
        <w:tc>
          <w:tcPr>
            <w:tcW w:w="17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3"/>
              </w:rPr>
              <w:t>(c)</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line="207" w:lineRule="exact"/>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0"/>
                <w:szCs w:val="20"/>
                <w:color w:val="auto"/>
                <w:vertAlign w:val="superscript"/>
              </w:rPr>
              <w:t>(1)</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4,031,855 </w:t>
            </w:r>
            <w:r>
              <w:rPr>
                <w:rFonts w:ascii="Arial" w:cs="Arial" w:eastAsia="Arial" w:hAnsi="Arial"/>
                <w:sz w:val="14"/>
                <w:szCs w:val="14"/>
                <w:color w:val="auto"/>
              </w:rPr>
              <w:t>(2)</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97.59 </w:t>
            </w:r>
            <w:r>
              <w:rPr>
                <w:rFonts w:ascii="Arial" w:cs="Arial" w:eastAsia="Arial" w:hAnsi="Arial"/>
                <w:sz w:val="14"/>
                <w:szCs w:val="14"/>
                <w:color w:val="auto"/>
              </w:rPr>
              <w:t>(3)</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6,570,148 </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800" w:type="dxa"/>
            <w:vAlign w:val="bottom"/>
            <w:gridSpan w:val="2"/>
            <w:vMerge w:val="continue"/>
          </w:tcPr>
          <w:p>
            <w:pPr>
              <w:spacing w:after="0"/>
              <w:rPr>
                <w:sz w:val="15"/>
                <w:szCs w:val="15"/>
                <w:color w:val="auto"/>
              </w:rPr>
            </w:pPr>
          </w:p>
        </w:tc>
        <w:tc>
          <w:tcPr>
            <w:tcW w:w="21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1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8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4,031,855</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97.59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6,570,148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our Fifth Amended and Restated 2005 Stock Option and Incentive Plan, Amended 1997 Stock Option and Incentive Plan, as amended, and 2008 Employee Stock Purchase Plan.</w:t>
      </w:r>
    </w:p>
    <w:p>
      <w:pPr>
        <w:spacing w:after="0" w:line="22" w:lineRule="exact"/>
        <w:rPr>
          <w:rFonts w:ascii="Arial" w:cs="Arial" w:eastAsia="Arial" w:hAnsi="Arial"/>
          <w:sz w:val="13"/>
          <w:szCs w:val="13"/>
          <w:color w:val="auto"/>
        </w:rPr>
      </w:pPr>
    </w:p>
    <w:p>
      <w:pPr>
        <w:jc w:val="both"/>
        <w:ind w:left="400" w:right="20" w:hanging="394"/>
        <w:spacing w:after="0" w:line="255" w:lineRule="auto"/>
        <w:tabs>
          <w:tab w:leader="none" w:pos="39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 313,480 shares of common stock issuable upon the exercise of outstanding options (313,480 of which are vested and exercisable), (ii) 192,638 phantom stock units that may be settled in shares of common stock (192,638 of which are vested), (iii) 2,705,720 LTIP units that, upon the satisfaction of certain conditions, are convertible into common units, which may be presented to us for redemption and acquired by us for shares of our common stock (1,419,640 of which are vested).</w:t>
      </w:r>
    </w:p>
    <w:p>
      <w:pPr>
        <w:spacing w:after="0" w:line="1" w:lineRule="exact"/>
        <w:rPr>
          <w:rFonts w:ascii="Arial" w:cs="Arial" w:eastAsia="Arial" w:hAnsi="Arial"/>
          <w:sz w:val="14"/>
          <w:szCs w:val="14"/>
          <w:color w:val="auto"/>
        </w:rPr>
      </w:pPr>
    </w:p>
    <w:p>
      <w:pPr>
        <w:ind w:left="400" w:hanging="394"/>
        <w:spacing w:after="0"/>
        <w:tabs>
          <w:tab w:leader="none" w:pos="4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Because there is no exercise price associated with restricted stock units, phantom stock units or LTIP units, these awards are not included in the weighted-average exercise price calculation.</w:t>
      </w:r>
    </w:p>
    <w:p>
      <w:pPr>
        <w:spacing w:after="0" w:line="35" w:lineRule="exact"/>
        <w:rPr>
          <w:rFonts w:ascii="Arial" w:cs="Arial" w:eastAsia="Arial" w:hAnsi="Arial"/>
          <w:sz w:val="12"/>
          <w:szCs w:val="12"/>
          <w:color w:val="auto"/>
        </w:rPr>
      </w:pPr>
    </w:p>
    <w:p>
      <w:pPr>
        <w:jc w:val="both"/>
        <w:ind w:left="400" w:hanging="394"/>
        <w:spacing w:after="0" w:line="257" w:lineRule="auto"/>
        <w:tabs>
          <w:tab w:leader="none" w:pos="392"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Balance is after reserving for shares underlying outstanding restricted stock units, phantom stock units granted pursuant to our Non-Employee Directors' Deferral Program and LTIP Units. The number of securities remaining available consists of shares remaining available for issuance under our 2008 Employee Stock Purchase Plan and Fifth Amended and Restated 2005 Stock Option and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right="1240"/>
        <w:spacing w:after="0" w:line="37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SL Green Realty Corp., which is referred to as SL Green or the Company,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Company is a self-managed real estate investment trust, or REIT, engaged in the acquisition, development, redevelopment, repositioning, ownership, management and operation of commercial real estate properties, principally office properties, located in the New York metropolitan area, principally Manhattan. Unless the context requires otherwise, all references to "we," "our" and "us" means the Company and all entities owned or controlled by the Company, including the Operating Partnership.</w:t>
      </w:r>
    </w:p>
    <w:p>
      <w:pPr>
        <w:spacing w:after="0" w:line="60" w:lineRule="exact"/>
        <w:rPr>
          <w:sz w:val="20"/>
          <w:szCs w:val="20"/>
          <w:color w:val="auto"/>
        </w:rPr>
      </w:pPr>
    </w:p>
    <w:p>
      <w:pPr>
        <w:jc w:val="both"/>
        <w:ind w:firstLine="439"/>
        <w:spacing w:after="0"/>
        <w:rPr>
          <w:sz w:val="20"/>
          <w:szCs w:val="20"/>
          <w:color w:val="auto"/>
        </w:rPr>
      </w:pPr>
      <w:r>
        <w:rPr>
          <w:rFonts w:ascii="Arial" w:cs="Arial" w:eastAsia="Arial" w:hAnsi="Arial"/>
          <w:sz w:val="18"/>
          <w:szCs w:val="18"/>
          <w:color w:val="auto"/>
        </w:rPr>
        <w:t>The following discussion related to our consolidated financial statements should be read in conjunction with the financial statements appearing in Item 8 of this Annual Report on Form 10-K. A discussion of our results of operations for the year ended December 31, 2021 compared to the year ended December 31, 2020 is included in Part II, Item 7 Management's Discussion and Analysis of Financial Condition and Results of Operations of our Annual Report on Form 10-K for the year ended December 31, 2021, filed with the SEC on February 18, 2022, and is incorporated by reference into this Annual Report on Form 10-K.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Leasing and Operating</w:t>
      </w:r>
    </w:p>
    <w:p>
      <w:pPr>
        <w:spacing w:after="0" w:line="172"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of December 31, 2022, our same-store Manhattan office property occupancy inclusive of leases signed but not commenced, was 91.2% compared to 93.0% as of December 31, 2021. We signed office leases in Manhattan encompassing approximately 2.1 million square feet, of which approximately 0.8 million square feet represented office leases that replaced previously occupied space.</w:t>
      </w:r>
    </w:p>
    <w:p>
      <w:pPr>
        <w:spacing w:after="0" w:line="83"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According to Cushman &amp; Wakefield, leasing activity in Manhattan improved significantly in 2022 totaling approximately 24.3 million square feet. Of the total 2022 leasing activity in Manhattan, the Midtown submarket accounted for approximately 16.5 million square feet, or approximately 67.9%. Manhattan's overall office vacancy went from 20.4% as of December 31, 2021 to 22.2% as of December 31, 2022. Overall average asking rents in Manhattan increased in 2022 by 2.8% from $69.67 per square foot as of December 31, 2021 to $71.62 per square foot as of December 31, 2022, while Manhattan Class A asking rents increased to $78.72 per square foot, up 3.2% from $76.29 as of December 31,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Disposition Activity</w:t>
      </w:r>
    </w:p>
    <w:p>
      <w:pPr>
        <w:spacing w:after="0" w:line="118"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Overall Manhattan sales volume increased by 10.2% in 2022 to $23.0 billion as compared to $20.9 billion in 2021. In 2022, we continued to dispose of properties that were considered non-core or had a more limited growth trajectory, raising efficiently priced capital that was used primarily for debt reduction. During the year, we closed on the sales of all or a portion of our interests in 707 Eleventh Avenue, 1080 Amsterdam Avenue, the Stonehenge Portfolio, 1591-1597 Broadway, 609 Fifth Avenue and 885 Third Avenue - Office Condominium Units for total gross valuations of $660.6 million, generating net proceeds to the Company of $582.5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Preferred Equity</w:t>
      </w:r>
    </w:p>
    <w:p>
      <w:pPr>
        <w:spacing w:after="0" w:line="118"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In 2021 and 2022, in our debt and preferred equity portfolio we continued to focus on underwriting financings for owners, acquirers or developers of properties in New York City. At the same time, we selectively sold certain investments, some investments were repaid, and we converted some investments into equity ownership, the proceeds of which were utilized to repurchase shares of common stock or for debt repayment. Our investment strategy provides us with the opportunity to fill a need for additional debt financing, while achieving attractive risk adjusted returns to us on the investments and receiving a significant amount of additional information on the New York City real estate market. During 2022, our debt and preferred equity activities included funding of $100.5 million, inclusive of advances under future funding obligations, discount and fee amortization, and paid-in-kind interest, net of premium amortization, and $565.9 million of sales, redemptions and participations.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For descriptions of significant activities in 2022, refer to "Part I, Item 1. Business - Highlights from 2022."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7"/>
          <w:szCs w:val="17"/>
          <w:color w:val="auto"/>
        </w:rPr>
        <w:t>Our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and contingencies as of the date of the financial statements and the reported amounts of revenues and expenses during the reporting periods. We evaluate our assumptions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 following critical accounting policies affect our more significant judgments and estimates used in the preparation of our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Commercial Real Estate Properties</w:t>
      </w:r>
    </w:p>
    <w:p>
      <w:pPr>
        <w:spacing w:after="0" w:line="112"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Real estate properties are presented at cost less accumulated depreciation and amortization. Costs directly related to the development or redevelopment of properties are capitalized. Ordinary repairs and maintenance are expensed as incurred; major investments, which improve or extend the life of the asset, are capitalized and depreciated over their estimated useful lives.</w:t>
      </w:r>
    </w:p>
    <w:p>
      <w:pPr>
        <w:spacing w:after="0" w:line="83"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We recognize the assets acquired, liabilities assumed (including contingencies) and any noncontrolling interests in an acquired entity by allocating the purchase price, including transaction costs, at their respective fair values on the acquisition date.</w:t>
      </w:r>
    </w:p>
    <w:p>
      <w:pPr>
        <w:spacing w:after="0" w:line="74"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We allocate the purchase price of real estate to land and building (inclusive of tenant improvements) and, if determined to be material, intangibles, such as the value of above- and below-market leases and origination costs associated with the in-place leases.</w:t>
      </w:r>
    </w:p>
    <w:p>
      <w:pPr>
        <w:spacing w:after="0" w:line="74"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The allocation of the purchase price to the tangible and intangible assets acquired and liabilities assumed involves subjectivity as the allocations are based on an analysis of the respective fair values. In determining the fair value of the real estate acquired, the Company will use a third-party valuation which primarily utilizes cash flow projections that apply, among other things, estimated revenue and expense growth rates, discount rates and capitalization rates, as well as sales comparison approach, which utilizes comparable sales, listings and sales contracts. We assess fair value of the acquired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The determined and allocated fair values to the real estate acquired will affect the amount of depreciation and amortization we record over the respective estimated useful lives or term of the lease.</w:t>
      </w:r>
    </w:p>
    <w:p>
      <w:pPr>
        <w:spacing w:after="0" w:line="92"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The Company classifies those leases under which the Company is the lessee at lease commencement as finance or operating leases. Leases qualify as finance leases if i) the lease transfers ownership of the asset at the end of the lease term, ii) the lease grants an option to purchase the asset that we are reasonably certain to exercise, iii) the lease term is for a major part of the remaining economic life of the asset, or iv) the present value of the lease payments exceeds substantially all of the fair value of the asset. Leases that do not qualify as finance leases are deemed to be operating leases. On the consolidated statements of operations, operating leases are expensed through operating lease rent while financing leases are expensed through amortization and interest expense.</w:t>
      </w:r>
    </w:p>
    <w:p>
      <w:pPr>
        <w:spacing w:after="0" w:line="91"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We incur a variety of costs in the development and leasing of our properties. After the determination is made to capitalize a cost, it is allocated to the specific component of a project that is benefited. Determination of when a development project is substantially complete and capitalization must cease involves a degree of judgment. The costs of land and building under development include specifically identifiable costs. The capitalized costs include, but are not limited to, pre-construction costs essential to the development of the property, development costs, construction costs, interest costs, real estate taxes, salaries and related costs and other costs incurred during the period of development. We consider a construction project as substantially completed and held available for occupancy upon the completion of tenant improvements, but no later than one year after major construction activity ceases. We cease capitalization on the portions substantially completed and occupied or held available for occupancy and capitalize only those costs associated with the portions under construction.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439"/>
        <w:spacing w:after="0" w:line="266" w:lineRule="auto"/>
        <w:rPr>
          <w:sz w:val="20"/>
          <w:szCs w:val="20"/>
          <w:color w:val="auto"/>
        </w:rPr>
      </w:pPr>
      <w:r>
        <w:rPr>
          <w:rFonts w:ascii="Arial" w:cs="Arial" w:eastAsia="Arial" w:hAnsi="Arial"/>
          <w:sz w:val="17"/>
          <w:szCs w:val="17"/>
          <w:color w:val="auto"/>
        </w:rPr>
        <w:t>On a periodic basis, we assess whether there are any indications that the value of our real estate properties may be impaired or that their carrying value may not be recoverable. A property's value is considered impaired if management's estimate of the aggregate future cash flows (undiscounted) to be generated by the property is less than the carrying value of the property. To the extent impairment has occurred, the loss will be measured as the excess of the carrying amount of the property over the fair value of the property as calculated in accordance with ASC 820. We assess for impairment indicators based on factors such as, among other things, market conditions, occupancy rates, rental payment collections, and operating performance of the asset. If indicators of impairment are present, we evaluate real estate investments for potential impairment primarily utilizing cash flow projections that apply, among other things, estimated revenue and expense growth rates, discount rates and capitalization rates, as well as sales comparison approach, which utilizes comparable sales, listings and sales contracts.</w:t>
      </w:r>
    </w:p>
    <w:p>
      <w:pPr>
        <w:spacing w:after="0" w:line="77" w:lineRule="exact"/>
        <w:rPr>
          <w:sz w:val="20"/>
          <w:szCs w:val="20"/>
          <w:color w:val="auto"/>
        </w:rPr>
      </w:pPr>
    </w:p>
    <w:p>
      <w:pPr>
        <w:jc w:val="both"/>
        <w:ind w:right="20" w:firstLine="439"/>
        <w:spacing w:after="0" w:line="256" w:lineRule="auto"/>
        <w:rPr>
          <w:sz w:val="20"/>
          <w:szCs w:val="20"/>
          <w:color w:val="auto"/>
        </w:rPr>
      </w:pPr>
      <w:r>
        <w:rPr>
          <w:rFonts w:ascii="Arial" w:cs="Arial" w:eastAsia="Arial" w:hAnsi="Arial"/>
          <w:sz w:val="18"/>
          <w:szCs w:val="18"/>
          <w:color w:val="auto"/>
        </w:rPr>
        <w:t>We also evaluate our real estate properties for impairment when a property has been classified as held for sale. Real estate assets held for sale are valued at the lower of their carrying value or fair value less costs to sell and depreciation expense is no longer recorded. See Note 4, "Properties Held for Sale and Dispositions."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Joint Ventures</w:t>
      </w:r>
    </w:p>
    <w:p>
      <w:pPr>
        <w:spacing w:after="0" w:line="112"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6"/>
          <w:szCs w:val="16"/>
          <w:color w:val="auto"/>
        </w:rPr>
        <w:t>We account for our investments in unconsolidated joint ventures under the equity method of accounting in cases where we exercise significant influence over, but do not control, these entities and are not considered to be the primary beneficiary. We consolidate those joint ventures that we control or which are variable interest entities (each, a "VIE") and where we are considered to be the primary beneficiary. In all these joint ventures, the rights of the joint venture partner are both protective as well as participating. Unless we are determined to be the primary beneficiary in a VIE, these participating rights preclude us from consolidating these VIE entities. Determining control of the entities can be subjective in assessing which activities of the joint venture most significantly impact the economic performance and whether the rights of the joint venture partner are protective or participating. In making this determination, any new or amended joint venture agreement is assessed by the Company for the activities that most significantly impact the joint venture’s economic performance based on the business purpose and design of the venture. We assess the rights that are conveyed to us in the agreement and evaluate whether we are provided with participating or protective rights over the activities that most significantly impact the entity’s economic performance. We also assess the rights of our joint venture partner. Such participating rights include, among other things, the right to approve/amend the annual budget, leasing of the property to a significant tenant, and approval of tax returns and auditors. If our joint venture partner has substantive participating rights and we are determined not to be the primary beneficiary, we do not consolidate the entity.</w:t>
      </w:r>
    </w:p>
    <w:p>
      <w:pPr>
        <w:spacing w:after="0" w:line="68" w:lineRule="exact"/>
        <w:rPr>
          <w:sz w:val="20"/>
          <w:szCs w:val="20"/>
          <w:color w:val="auto"/>
        </w:rPr>
      </w:pPr>
    </w:p>
    <w:p>
      <w:pPr>
        <w:jc w:val="both"/>
        <w:ind w:firstLine="439"/>
        <w:spacing w:after="0" w:line="284" w:lineRule="auto"/>
        <w:rPr>
          <w:sz w:val="20"/>
          <w:szCs w:val="20"/>
          <w:color w:val="auto"/>
        </w:rPr>
      </w:pPr>
      <w:r>
        <w:rPr>
          <w:rFonts w:ascii="Arial" w:cs="Arial" w:eastAsia="Arial" w:hAnsi="Arial"/>
          <w:sz w:val="16"/>
          <w:szCs w:val="16"/>
          <w:color w:val="auto"/>
        </w:rPr>
        <w:t>These investments are recorded initially at cost, as investments in unconsolidated joint ventures, and subsequently adjusted for equity in net income (loss) and cash contributions and distributions. Equity in net income (loss) from unconsolidated joint ventures is allocated based on our ownership or economic interest in each joint venture and includes adjustments related to basis differences in accounting for the investment. When a capital event (as defined in each joint venture agreement) such as a refinancing occurs, if return thresholds are met, future equity income will be allocated at our increased economic interest. We recognize incentive income from unconsolidated real estate joint ventures as income to the extent it is earned and not subject to a clawback feature. Distributions we receive from unconsolidated real estate joint ventures in excess of our basis in the investment are recorded as offsets to our investment balance if we remain liable for future obligations of the joint venture or may otherwise be committed to provide future additional financial support. We generally finance our joint ventures with non-recourse debt. In certain cases we may provide guarantees or master leases for tenant space, which terminate upon the satisfaction of specified circumstances or repayment of the underlying loans.</w:t>
      </w:r>
    </w:p>
    <w:p>
      <w:pPr>
        <w:spacing w:after="0" w:line="64"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We do not believe that the values of any of our equity investments were impaired as of December 31, 2022.</w:t>
      </w:r>
    </w:p>
    <w:p>
      <w:pPr>
        <w:spacing w:after="0" w:line="64"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We may originate loans for real estate acquisition, development and construction ("ADC loans") where we expect to receive some of the residual profit from such projects. When the risk and rewards of these arrangements are essentially the same as an investor or joint venture partner, we account for these arrangements as real estate investments under the equity method of accounting for investments. Otherwise, we account for these arrangements consistent with the accounting for our debt and preferred equity investments.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Classification</w:t>
      </w:r>
    </w:p>
    <w:p>
      <w:pPr>
        <w:spacing w:after="0" w:line="112"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jc w:val="both"/>
        <w:ind w:firstLine="439"/>
        <w:spacing w:after="0" w:line="285" w:lineRule="auto"/>
        <w:rPr>
          <w:sz w:val="20"/>
          <w:szCs w:val="20"/>
          <w:color w:val="auto"/>
        </w:rPr>
      </w:pPr>
      <w:r>
        <w:rPr>
          <w:rFonts w:ascii="Arial" w:cs="Arial" w:eastAsia="Arial" w:hAnsi="Arial"/>
          <w:sz w:val="16"/>
          <w:szCs w:val="16"/>
          <w:color w:val="auto"/>
        </w:rPr>
        <w:t>Rental revenue for operating leases is recognized on a straight-line basis over the term of the lease and we have determined that the collectability of substantially all of the lease payments are probable. If collectability of substantially all of the lease payments is assessed as not probably, rental revenue is recognized only upon actual receipt. The Company assesses the probability of collecting substantially all payments under its leases based on multiple factors, including, among other things, payment history of the lessee, the credit rating of the lessee, historical operations and trends within the lessee’s industry, current and future economic conditions.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63"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auto"/>
        </w:rPr>
        <w:t>Rental revenue recognition commences when the leased space is available for its intended use by the lessee. To determine whether the leased space is available for its intended use by the lessee, management evaluates whether we are the owner of tenant improvements for accounting purposes or the tenant is.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w:t>
      </w:r>
    </w:p>
    <w:p>
      <w:pPr>
        <w:spacing w:after="0" w:line="60"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excess of rents recognized over amounts contractually due pursuant to the underlying leases are included in deferred rents receivable on the consolidated balance sheets.</w:t>
      </w:r>
    </w:p>
    <w:p>
      <w:pPr>
        <w:spacing w:after="0" w:line="74"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In addition to base rent, our tenants also generally will pay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67"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89"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842.</w:t>
      </w:r>
    </w:p>
    <w:p>
      <w:pPr>
        <w:spacing w:after="0" w:line="83" w:lineRule="exact"/>
        <w:rPr>
          <w:sz w:val="20"/>
          <w:szCs w:val="20"/>
          <w:color w:val="auto"/>
        </w:rPr>
      </w:pPr>
    </w:p>
    <w:p>
      <w:pPr>
        <w:jc w:val="both"/>
        <w:ind w:right="20" w:firstLine="439"/>
        <w:spacing w:after="0" w:line="266" w:lineRule="auto"/>
        <w:rPr>
          <w:sz w:val="20"/>
          <w:szCs w:val="20"/>
          <w:color w:val="auto"/>
        </w:rPr>
      </w:pPr>
      <w:r>
        <w:rPr>
          <w:rFonts w:ascii="Arial" w:cs="Arial" w:eastAsia="Arial" w:hAnsi="Arial"/>
          <w:sz w:val="18"/>
          <w:szCs w:val="18"/>
          <w:color w:val="auto"/>
        </w:rPr>
        <w:t>We record a gain or loss on sale of real estate assets when we no longer have a controlling financial interest in the entity owning the real estate, a contract exists with a third party and that third party has control of the assets acquired.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spacing w:after="0" w:line="86"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auto"/>
        </w:rPr>
        <w:t>The Company assesses the probability of a borrower’s ability to repay the debt and preferred equity investment similar to the factors noted above. 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spacing w:after="0" w:line="60"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spacing w:after="0" w:line="81"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We consider a debt and preferred equity investment to be past due when amounts contractually due have not been paid. Debt and preferred equity investments are placed on a non-accrual status when, in the opinion of management, a full recovery of interest income becomes doubtful. Interest income recognition is resumed on any debt or preferred equity investment when the performance of such non-accrual debt or preferred equity investment is demonstrated to be resumed.</w:t>
      </w:r>
    </w:p>
    <w:p>
      <w:pPr>
        <w:spacing w:after="0" w:line="86"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management fees are recognized on a straight-line basis over the term of the asset management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Preferred Equity Investments</w:t>
      </w:r>
    </w:p>
    <w:p>
      <w:pPr>
        <w:spacing w:after="0" w:line="112"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spacing w:after="0" w:line="89"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w:t>
      </w:r>
    </w:p>
    <w:p>
      <w:pPr>
        <w:spacing w:after="0" w:line="91"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3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spacing w:after="0" w:line="89"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expected amount to be collected.</w:t>
      </w:r>
    </w:p>
    <w:p>
      <w:pPr>
        <w:spacing w:after="0" w:line="86"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Other financing receivables that are included in balance sheet line items other than the Debt and preferred equity investments line are also measured at the net amount expected to the be collected.</w:t>
      </w:r>
    </w:p>
    <w:p>
      <w:pPr>
        <w:spacing w:after="0" w:line="7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Accrued interest receivable amounts related to these debt and preferred equity investment and other financing receivables are recorded at the net amount expected to be collected within Other assets in the consolidated balance sheets. Write offs of accrued interest receivables are recognized as an expense for loan loss and other investment reserves.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2022 to the year ended December 31, 2021</w:t>
      </w:r>
    </w:p>
    <w:p>
      <w:pPr>
        <w:spacing w:after="0" w:line="112"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The following comparison for the year ended December 31, 2022, or 2022, to the year ended December 31, 2021, or 2021, makes reference to the effect of the following:</w:t>
      </w:r>
    </w:p>
    <w:p>
      <w:pPr>
        <w:spacing w:after="0" w:line="207" w:lineRule="exact"/>
        <w:rPr>
          <w:sz w:val="20"/>
          <w:szCs w:val="20"/>
          <w:color w:val="auto"/>
        </w:rPr>
      </w:pPr>
    </w:p>
    <w:p>
      <w:pPr>
        <w:ind w:left="640" w:hanging="234"/>
        <w:spacing w:after="0" w:line="253" w:lineRule="auto"/>
        <w:tabs>
          <w:tab w:leader="none" w:pos="6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2021 and still owned by us in the same manner as of December 31, 2022 (Same-Store Properties totaled 20 of our 28 consolidated operating properties),</w:t>
      </w:r>
    </w:p>
    <w:p>
      <w:pPr>
        <w:ind w:left="640" w:hanging="234"/>
        <w:spacing w:after="0" w:line="246" w:lineRule="auto"/>
        <w:tabs>
          <w:tab w:leader="none" w:pos="6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2022 and 2021 and all non-Same-Store Properties, including properties that are under development or redevelopment,</w:t>
      </w:r>
    </w:p>
    <w:p>
      <w:pPr>
        <w:spacing w:after="0" w:line="1" w:lineRule="exact"/>
        <w:rPr>
          <w:rFonts w:ascii="Arial" w:cs="Arial" w:eastAsia="Arial" w:hAnsi="Arial"/>
          <w:sz w:val="18"/>
          <w:szCs w:val="18"/>
          <w:color w:val="auto"/>
        </w:rPr>
      </w:pPr>
    </w:p>
    <w:p>
      <w:pPr>
        <w:ind w:left="640" w:hanging="234"/>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or interests in properties sold in 2022 and 2021, and</w:t>
      </w:r>
    </w:p>
    <w:p>
      <w:pPr>
        <w:spacing w:after="0" w:line="6" w:lineRule="exact"/>
        <w:rPr>
          <w:rFonts w:ascii="Arial" w:cs="Arial" w:eastAsia="Arial" w:hAnsi="Arial"/>
          <w:sz w:val="18"/>
          <w:szCs w:val="18"/>
          <w:color w:val="auto"/>
        </w:rPr>
      </w:pPr>
    </w:p>
    <w:p>
      <w:pPr>
        <w:ind w:left="640" w:hanging="234"/>
        <w:spacing w:after="0" w:line="253" w:lineRule="auto"/>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which represents properties where we sold an interest resulting in deconsolidation and corporate level items not allocable to specific properties, as well as the Service Corporation and eEmerge Inc.</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 millions)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Rental revenue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Investment income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income</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Total revenues</w:t>
      </w:r>
    </w:p>
    <w:p>
      <w:pPr>
        <w:spacing w:after="0" w:line="168" w:lineRule="exact"/>
        <w:rPr>
          <w:sz w:val="20"/>
          <w:szCs w:val="20"/>
          <w:color w:val="auto"/>
        </w:rPr>
      </w:pPr>
    </w:p>
    <w:p>
      <w:pPr>
        <w:ind w:left="20" w:right="220"/>
        <w:spacing w:after="0" w:line="353" w:lineRule="auto"/>
        <w:rPr>
          <w:sz w:val="20"/>
          <w:szCs w:val="20"/>
          <w:color w:val="auto"/>
        </w:rPr>
      </w:pPr>
      <w:r>
        <w:rPr>
          <w:rFonts w:ascii="Arial" w:cs="Arial" w:eastAsia="Arial" w:hAnsi="Arial"/>
          <w:sz w:val="11"/>
          <w:szCs w:val="11"/>
          <w:color w:val="auto"/>
        </w:rPr>
        <w:t>Property operating expenses Transaction related costs</w:t>
      </w:r>
    </w:p>
    <w:p>
      <w:pPr>
        <w:spacing w:after="0" w:line="1" w:lineRule="exact"/>
        <w:rPr>
          <w:sz w:val="20"/>
          <w:szCs w:val="20"/>
          <w:color w:val="auto"/>
        </w:rPr>
      </w:pPr>
    </w:p>
    <w:p>
      <w:pPr>
        <w:ind w:left="20" w:right="480"/>
        <w:spacing w:after="0"/>
        <w:rPr>
          <w:sz w:val="20"/>
          <w:szCs w:val="20"/>
          <w:color w:val="auto"/>
        </w:rPr>
      </w:pPr>
      <w:r>
        <w:rPr>
          <w:rFonts w:ascii="Arial" w:cs="Arial" w:eastAsia="Arial" w:hAnsi="Arial"/>
          <w:sz w:val="12"/>
          <w:szCs w:val="12"/>
          <w:color w:val="auto"/>
        </w:rPr>
        <w:t>Marketing, general and administrative</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income (expenses):</w:t>
      </w:r>
    </w:p>
    <w:p>
      <w:pPr>
        <w:spacing w:after="0" w:line="35" w:lineRule="exact"/>
        <w:rPr>
          <w:sz w:val="20"/>
          <w:szCs w:val="20"/>
          <w:color w:val="auto"/>
        </w:rPr>
      </w:pPr>
    </w:p>
    <w:p>
      <w:pPr>
        <w:ind w:left="20" w:right="420"/>
        <w:spacing w:after="0" w:line="249" w:lineRule="auto"/>
        <w:rPr>
          <w:sz w:val="20"/>
          <w:szCs w:val="20"/>
          <w:color w:val="auto"/>
        </w:rPr>
      </w:pPr>
      <w:r>
        <w:rPr>
          <w:rFonts w:ascii="Arial" w:cs="Arial" w:eastAsia="Arial" w:hAnsi="Arial"/>
          <w:sz w:val="11"/>
          <w:szCs w:val="11"/>
          <w:color w:val="auto"/>
        </w:rPr>
        <w:t>Interest expense and amortization of deferred</w:t>
      </w:r>
    </w:p>
    <w:p>
      <w:pPr>
        <w:ind w:left="20" w:right="140"/>
        <w:spacing w:after="0" w:line="231" w:lineRule="auto"/>
        <w:rPr>
          <w:sz w:val="20"/>
          <w:szCs w:val="20"/>
          <w:color w:val="auto"/>
        </w:rPr>
      </w:pPr>
      <w:r>
        <w:rPr>
          <w:rFonts w:ascii="Arial" w:cs="Arial" w:eastAsia="Arial" w:hAnsi="Arial"/>
          <w:sz w:val="12"/>
          <w:szCs w:val="12"/>
          <w:color w:val="auto"/>
        </w:rPr>
        <w:t>financing costs, net of interest income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Depreciation and amortization</w:t>
      </w:r>
    </w:p>
    <w:p>
      <w:pPr>
        <w:spacing w:after="0" w:line="35" w:lineRule="exact"/>
        <w:rPr>
          <w:sz w:val="20"/>
          <w:szCs w:val="20"/>
          <w:color w:val="auto"/>
        </w:rPr>
      </w:pPr>
    </w:p>
    <w:p>
      <w:pPr>
        <w:ind w:left="20" w:right="180"/>
        <w:spacing w:after="0" w:line="284" w:lineRule="auto"/>
        <w:rPr>
          <w:sz w:val="20"/>
          <w:szCs w:val="20"/>
          <w:color w:val="auto"/>
        </w:rPr>
      </w:pPr>
      <w:r>
        <w:rPr>
          <w:rFonts w:ascii="Arial" w:cs="Arial" w:eastAsia="Arial" w:hAnsi="Arial"/>
          <w:sz w:val="11"/>
          <w:szCs w:val="11"/>
          <w:color w:val="auto"/>
        </w:rPr>
        <w:t>Equity in net loss from unconsolidated joint ventures</w:t>
      </w:r>
    </w:p>
    <w:p>
      <w:pPr>
        <w:spacing w:after="0" w:line="7" w:lineRule="exact"/>
        <w:rPr>
          <w:sz w:val="20"/>
          <w:szCs w:val="20"/>
          <w:color w:val="auto"/>
        </w:rPr>
      </w:pPr>
    </w:p>
    <w:p>
      <w:pPr>
        <w:ind w:left="20" w:right="100"/>
        <w:spacing w:after="0" w:line="249" w:lineRule="auto"/>
        <w:rPr>
          <w:sz w:val="20"/>
          <w:szCs w:val="20"/>
          <w:color w:val="auto"/>
        </w:rPr>
      </w:pPr>
      <w:r>
        <w:rPr>
          <w:rFonts w:ascii="Arial" w:cs="Arial" w:eastAsia="Arial" w:hAnsi="Arial"/>
          <w:sz w:val="11"/>
          <w:szCs w:val="11"/>
          <w:color w:val="auto"/>
        </w:rPr>
        <w:t>Equity in net loss on sale of interest in unconsolidated joint</w:t>
      </w:r>
    </w:p>
    <w:p>
      <w:pPr>
        <w:ind w:left="20"/>
        <w:spacing w:after="0"/>
        <w:rPr>
          <w:sz w:val="20"/>
          <w:szCs w:val="20"/>
          <w:color w:val="auto"/>
        </w:rPr>
      </w:pPr>
      <w:r>
        <w:rPr>
          <w:rFonts w:ascii="Arial" w:cs="Arial" w:eastAsia="Arial" w:hAnsi="Arial"/>
          <w:sz w:val="12"/>
          <w:szCs w:val="12"/>
          <w:color w:val="auto"/>
        </w:rPr>
        <w:t>venture/real estate</w:t>
      </w:r>
    </w:p>
    <w:p>
      <w:pPr>
        <w:spacing w:after="0" w:line="25" w:lineRule="exact"/>
        <w:rPr>
          <w:sz w:val="20"/>
          <w:szCs w:val="20"/>
          <w:color w:val="auto"/>
        </w:rPr>
      </w:pPr>
    </w:p>
    <w:p>
      <w:pPr>
        <w:ind w:left="20" w:right="200"/>
        <w:spacing w:after="0"/>
        <w:rPr>
          <w:sz w:val="20"/>
          <w:szCs w:val="20"/>
          <w:color w:val="auto"/>
        </w:rPr>
      </w:pPr>
      <w:r>
        <w:rPr>
          <w:rFonts w:ascii="Arial" w:cs="Arial" w:eastAsia="Arial" w:hAnsi="Arial"/>
          <w:sz w:val="12"/>
          <w:szCs w:val="12"/>
          <w:color w:val="auto"/>
        </w:rPr>
        <w:t>Purchase price and other fair value adjustments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(Loss) gain on sale of real estate, net</w:t>
      </w:r>
    </w:p>
    <w:p>
      <w:pPr>
        <w:spacing w:after="0" w:line="30" w:lineRule="exact"/>
        <w:rPr>
          <w:sz w:val="20"/>
          <w:szCs w:val="20"/>
          <w:color w:val="auto"/>
        </w:rPr>
      </w:pPr>
    </w:p>
    <w:p>
      <w:pPr>
        <w:ind w:left="20" w:right="60"/>
        <w:spacing w:after="0"/>
        <w:rPr>
          <w:sz w:val="20"/>
          <w:szCs w:val="20"/>
          <w:color w:val="auto"/>
        </w:rPr>
      </w:pPr>
      <w:r>
        <w:rPr>
          <w:rFonts w:ascii="Arial" w:cs="Arial" w:eastAsia="Arial" w:hAnsi="Arial"/>
          <w:sz w:val="12"/>
          <w:szCs w:val="12"/>
          <w:color w:val="auto"/>
        </w:rPr>
        <w:t>Depreciable real estate reserves and impairments</w:t>
      </w:r>
    </w:p>
    <w:p>
      <w:pPr>
        <w:spacing w:after="0" w:line="30" w:lineRule="exact"/>
        <w:rPr>
          <w:sz w:val="20"/>
          <w:szCs w:val="20"/>
          <w:color w:val="auto"/>
        </w:rPr>
      </w:pPr>
    </w:p>
    <w:p>
      <w:pPr>
        <w:ind w:left="20" w:right="40"/>
        <w:spacing w:after="0"/>
        <w:rPr>
          <w:sz w:val="20"/>
          <w:szCs w:val="20"/>
          <w:color w:val="auto"/>
        </w:rPr>
      </w:pPr>
      <w:r>
        <w:rPr>
          <w:rFonts w:ascii="Arial" w:cs="Arial" w:eastAsia="Arial" w:hAnsi="Arial"/>
          <w:sz w:val="12"/>
          <w:szCs w:val="12"/>
          <w:color w:val="auto"/>
        </w:rPr>
        <w:t>Loss on early extinguishment of debt</w:t>
      </w:r>
    </w:p>
    <w:p>
      <w:pPr>
        <w:spacing w:after="0" w:line="30" w:lineRule="exact"/>
        <w:rPr>
          <w:sz w:val="20"/>
          <w:szCs w:val="20"/>
          <w:color w:val="auto"/>
        </w:rPr>
      </w:pPr>
    </w:p>
    <w:p>
      <w:pPr>
        <w:ind w:left="20" w:right="80"/>
        <w:spacing w:after="0" w:line="284" w:lineRule="auto"/>
        <w:rPr>
          <w:sz w:val="20"/>
          <w:szCs w:val="20"/>
          <w:color w:val="auto"/>
        </w:rPr>
      </w:pPr>
      <w:r>
        <w:rPr>
          <w:rFonts w:ascii="Arial" w:cs="Arial" w:eastAsia="Arial" w:hAnsi="Arial"/>
          <w:sz w:val="11"/>
          <w:szCs w:val="11"/>
          <w:color w:val="auto"/>
        </w:rPr>
        <w:t>Loan loss and other investment reserves, net of recoveries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(loss) income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right"/>
              <w:ind w:right="251"/>
              <w:spacing w:after="0"/>
              <w:rPr>
                <w:sz w:val="20"/>
                <w:szCs w:val="20"/>
                <w:color w:val="auto"/>
              </w:rPr>
            </w:pPr>
            <w:r>
              <w:rPr>
                <w:rFonts w:ascii="Arial" w:cs="Arial" w:eastAsia="Arial" w:hAnsi="Arial"/>
                <w:sz w:val="12"/>
                <w:szCs w:val="12"/>
                <w:b w:val="1"/>
                <w:bCs w:val="1"/>
                <w:color w:val="auto"/>
              </w:rPr>
              <w:t>Same-Store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5"/>
          </w:tcPr>
          <w:p>
            <w:pPr>
              <w:ind w:left="260"/>
              <w:spacing w:after="0"/>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b w:val="1"/>
                <w:bCs w:val="1"/>
                <w:color w:val="auto"/>
              </w:rPr>
              <w:t>Other</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center"/>
              <w:ind w:left="30"/>
              <w:spacing w:after="0"/>
              <w:rPr>
                <w:sz w:val="20"/>
                <w:szCs w:val="20"/>
                <w:color w:val="auto"/>
              </w:rPr>
            </w:pPr>
            <w:r>
              <w:rPr>
                <w:rFonts w:ascii="Arial" w:cs="Arial" w:eastAsia="Arial" w:hAnsi="Arial"/>
                <w:sz w:val="12"/>
                <w:szCs w:val="12"/>
                <w:b w:val="1"/>
                <w:bCs w:val="1"/>
                <w:color w:val="auto"/>
                <w:w w:val="92"/>
              </w:rPr>
              <w:t>Consolidated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11"/>
              <w:spacing w:after="0" w:line="120" w:lineRule="exact"/>
              <w:rPr>
                <w:sz w:val="20"/>
                <w:szCs w:val="20"/>
                <w:color w:val="auto"/>
              </w:rPr>
            </w:pPr>
            <w:r>
              <w:rPr>
                <w:rFonts w:ascii="Arial" w:cs="Arial" w:eastAsia="Arial" w:hAnsi="Arial"/>
                <w:sz w:val="12"/>
                <w:szCs w:val="12"/>
                <w:b w:val="1"/>
                <w:bCs w:val="1"/>
                <w:color w:val="auto"/>
              </w:rPr>
              <w:t>$</w:t>
            </w:r>
          </w:p>
        </w:tc>
        <w:tc>
          <w:tcPr>
            <w:tcW w:w="960" w:type="dxa"/>
            <w:vAlign w:val="bottom"/>
            <w:tcBorders>
              <w:top w:val="single" w:sz="8" w:color="auto"/>
            </w:tcBorders>
            <w:gridSpan w:val="2"/>
          </w:tcPr>
          <w:p>
            <w:pPr>
              <w:jc w:val="right"/>
              <w:ind w:right="291"/>
              <w:spacing w:after="0" w:line="120"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230"/>
              <w:spacing w:after="0" w:line="120" w:lineRule="exact"/>
              <w:rPr>
                <w:sz w:val="20"/>
                <w:szCs w:val="20"/>
                <w:color w:val="auto"/>
              </w:rPr>
            </w:pPr>
            <w:r>
              <w:rPr>
                <w:rFonts w:ascii="Arial" w:cs="Arial" w:eastAsia="Arial" w:hAnsi="Arial"/>
                <w:sz w:val="12"/>
                <w:szCs w:val="12"/>
                <w:b w:val="1"/>
                <w:bCs w:val="1"/>
                <w:color w:val="auto"/>
              </w:rPr>
              <w:t>$</w:t>
            </w:r>
          </w:p>
        </w:tc>
        <w:tc>
          <w:tcPr>
            <w:tcW w:w="1080" w:type="dxa"/>
            <w:vAlign w:val="bottom"/>
            <w:tcBorders>
              <w:top w:val="single" w:sz="8" w:color="auto"/>
            </w:tcBorders>
            <w:gridSpan w:val="2"/>
          </w:tcPr>
          <w:p>
            <w:pPr>
              <w:jc w:val="right"/>
              <w:ind w:right="353"/>
              <w:spacing w:after="0" w:line="120"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0"/>
        </w:trPr>
        <w:tc>
          <w:tcPr>
            <w:tcW w:w="700" w:type="dxa"/>
            <w:vAlign w:val="bottom"/>
          </w:tcPr>
          <w:p>
            <w:pPr>
              <w:jc w:val="right"/>
              <w:ind w:right="15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5"/>
                <w:szCs w:val="15"/>
                <w:color w:val="auto"/>
              </w:rPr>
            </w:pPr>
          </w:p>
        </w:tc>
        <w:tc>
          <w:tcPr>
            <w:tcW w:w="700" w:type="dxa"/>
            <w:vAlign w:val="bottom"/>
          </w:tcPr>
          <w:p>
            <w:pPr>
              <w:jc w:val="right"/>
              <w:ind w:right="151"/>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5"/>
                <w:szCs w:val="15"/>
                <w:color w:val="auto"/>
              </w:rPr>
            </w:pPr>
          </w:p>
        </w:tc>
        <w:tc>
          <w:tcPr>
            <w:tcW w:w="620" w:type="dxa"/>
            <w:vAlign w:val="bottom"/>
          </w:tcPr>
          <w:p>
            <w:pPr>
              <w:jc w:val="right"/>
              <w:ind w:right="31"/>
              <w:spacing w:after="0"/>
              <w:rPr>
                <w:sz w:val="20"/>
                <w:szCs w:val="20"/>
                <w:color w:val="auto"/>
              </w:rPr>
            </w:pPr>
            <w:r>
              <w:rPr>
                <w:rFonts w:ascii="Arial" w:cs="Arial" w:eastAsia="Arial" w:hAnsi="Arial"/>
                <w:sz w:val="12"/>
                <w:szCs w:val="12"/>
                <w:b w:val="1"/>
                <w:bCs w:val="1"/>
                <w:color w:val="auto"/>
              </w:rPr>
              <w:t>Change</w:t>
            </w:r>
          </w:p>
        </w:tc>
        <w:tc>
          <w:tcPr>
            <w:tcW w:w="100" w:type="dxa"/>
            <w:vAlign w:val="bottom"/>
          </w:tcPr>
          <w:p>
            <w:pPr>
              <w:spacing w:after="0"/>
              <w:rPr>
                <w:sz w:val="15"/>
                <w:szCs w:val="15"/>
                <w:color w:val="auto"/>
              </w:rPr>
            </w:pPr>
          </w:p>
        </w:tc>
        <w:tc>
          <w:tcPr>
            <w:tcW w:w="1100" w:type="dxa"/>
            <w:vAlign w:val="bottom"/>
            <w:gridSpan w:val="3"/>
          </w:tcPr>
          <w:p>
            <w:pPr>
              <w:jc w:val="right"/>
              <w:ind w:right="389"/>
              <w:spacing w:after="0"/>
              <w:rPr>
                <w:sz w:val="20"/>
                <w:szCs w:val="20"/>
                <w:color w:val="auto"/>
              </w:rPr>
            </w:pPr>
            <w:r>
              <w:rPr>
                <w:rFonts w:ascii="Arial" w:cs="Arial" w:eastAsia="Arial" w:hAnsi="Arial"/>
                <w:sz w:val="12"/>
                <w:szCs w:val="12"/>
                <w:b w:val="1"/>
                <w:bCs w:val="1"/>
                <w:color w:val="auto"/>
              </w:rPr>
              <w:t>Change</w:t>
            </w:r>
          </w:p>
        </w:tc>
        <w:tc>
          <w:tcPr>
            <w:tcW w:w="440" w:type="dxa"/>
            <w:vAlign w:val="bottom"/>
          </w:tcPr>
          <w:p>
            <w:pPr>
              <w:jc w:val="right"/>
              <w:ind w:right="91"/>
              <w:spacing w:after="0"/>
              <w:rPr>
                <w:sz w:val="20"/>
                <w:szCs w:val="20"/>
                <w:color w:val="auto"/>
              </w:rPr>
            </w:pPr>
            <w:r>
              <w:rPr>
                <w:rFonts w:ascii="Arial" w:cs="Arial" w:eastAsia="Arial" w:hAnsi="Arial"/>
                <w:sz w:val="12"/>
                <w:szCs w:val="12"/>
                <w:b w:val="1"/>
                <w:bCs w:val="1"/>
                <w:color w:val="auto"/>
                <w:w w:val="97"/>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90"/>
              <w:spacing w:after="0"/>
              <w:rPr>
                <w:sz w:val="20"/>
                <w:szCs w:val="20"/>
                <w:color w:val="auto"/>
              </w:rPr>
            </w:pPr>
            <w:r>
              <w:rPr>
                <w:rFonts w:ascii="Arial" w:cs="Arial" w:eastAsia="Arial" w:hAnsi="Arial"/>
                <w:sz w:val="12"/>
                <w:szCs w:val="12"/>
                <w:b w:val="1"/>
                <w:bCs w:val="1"/>
                <w:color w:val="auto"/>
                <w:w w:val="97"/>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111"/>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90"/>
              <w:spacing w:after="0"/>
              <w:rPr>
                <w:sz w:val="20"/>
                <w:szCs w:val="20"/>
                <w:color w:val="auto"/>
              </w:rPr>
            </w:pPr>
            <w:r>
              <w:rPr>
                <w:rFonts w:ascii="Arial" w:cs="Arial" w:eastAsia="Arial" w:hAnsi="Arial"/>
                <w:sz w:val="12"/>
                <w:szCs w:val="12"/>
                <w:b w:val="1"/>
                <w:bCs w:val="1"/>
                <w:color w:val="auto"/>
                <w:w w:val="97"/>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5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7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0"/>
              <w:spacing w:after="0"/>
              <w:rPr>
                <w:sz w:val="20"/>
                <w:szCs w:val="20"/>
                <w:color w:val="auto"/>
              </w:rPr>
            </w:pPr>
            <w:r>
              <w:rPr>
                <w:rFonts w:ascii="Arial" w:cs="Arial" w:eastAsia="Arial" w:hAnsi="Arial"/>
                <w:sz w:val="12"/>
                <w:szCs w:val="12"/>
                <w:b w:val="1"/>
                <w:bCs w:val="1"/>
                <w:color w:val="auto"/>
                <w:w w:val="95"/>
              </w:rPr>
              <w:t>Change</w:t>
            </w:r>
          </w:p>
        </w:tc>
        <w:tc>
          <w:tcPr>
            <w:tcW w:w="100" w:type="dxa"/>
            <w:vAlign w:val="bottom"/>
          </w:tcPr>
          <w:p>
            <w:pPr>
              <w:spacing w:after="0"/>
              <w:rPr>
                <w:sz w:val="15"/>
                <w:szCs w:val="15"/>
                <w:color w:val="auto"/>
              </w:rPr>
            </w:pPr>
          </w:p>
        </w:tc>
        <w:tc>
          <w:tcPr>
            <w:tcW w:w="980" w:type="dxa"/>
            <w:vAlign w:val="bottom"/>
          </w:tcPr>
          <w:p>
            <w:pPr>
              <w:jc w:val="right"/>
              <w:ind w:right="213"/>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80"/>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556.7</w:t>
            </w:r>
          </w:p>
        </w:tc>
        <w:tc>
          <w:tcPr>
            <w:tcW w:w="10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530.0</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26.7</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671.5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678.2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4"/>
        </w:trPr>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3"/>
          </w:tcPr>
          <w:p>
            <w:pPr>
              <w:jc w:val="right"/>
              <w:ind w:right="189"/>
              <w:spacing w:after="0"/>
              <w:rPr>
                <w:sz w:val="20"/>
                <w:szCs w:val="20"/>
                <w:color w:val="auto"/>
              </w:rPr>
            </w:pPr>
            <w:r>
              <w:rPr>
                <w:rFonts w:ascii="Arial" w:cs="Arial" w:eastAsia="Arial" w:hAnsi="Arial"/>
                <w:sz w:val="14"/>
                <w:szCs w:val="14"/>
                <w:color w:val="auto"/>
              </w:rPr>
              <w:t>— %</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200"/>
        </w:trPr>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3"/>
          </w:tcPr>
          <w:p>
            <w:pPr>
              <w:jc w:val="right"/>
              <w:ind w:right="189"/>
              <w:spacing w:after="0"/>
              <w:rPr>
                <w:sz w:val="20"/>
                <w:szCs w:val="20"/>
                <w:color w:val="auto"/>
              </w:rPr>
            </w:pPr>
            <w:r>
              <w:rPr>
                <w:rFonts w:ascii="Arial" w:cs="Arial" w:eastAsia="Arial" w:hAnsi="Arial"/>
                <w:sz w:val="14"/>
                <w:szCs w:val="14"/>
                <w:color w:val="auto"/>
              </w:rPr>
              <w:t>— %</w:t>
            </w:r>
          </w:p>
        </w:tc>
        <w:tc>
          <w:tcPr>
            <w:tcW w:w="4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5"/>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560.6</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533.9</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844.0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00" w:type="dxa"/>
            <w:vAlign w:val="bottom"/>
          </w:tcPr>
          <w:p>
            <w:pPr>
              <w:jc w:val="right"/>
              <w:spacing w:after="0"/>
              <w:rPr>
                <w:sz w:val="20"/>
                <w:szCs w:val="20"/>
                <w:color w:val="auto"/>
              </w:rPr>
            </w:pPr>
            <w:r>
              <w:rPr>
                <w:rFonts w:ascii="Arial" w:cs="Arial" w:eastAsia="Arial" w:hAnsi="Arial"/>
                <w:sz w:val="14"/>
                <w:szCs w:val="14"/>
                <w:color w:val="auto"/>
              </w:rPr>
              <w:t>266.7</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260.1</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346.5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0"/>
        </w:trPr>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306"/>
        </w:trPr>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3"/>
          </w:tcPr>
          <w:p>
            <w:pPr>
              <w:jc w:val="right"/>
              <w:ind w:right="189"/>
              <w:spacing w:after="0"/>
              <w:rPr>
                <w:sz w:val="20"/>
                <w:szCs w:val="20"/>
                <w:color w:val="auto"/>
              </w:rPr>
            </w:pPr>
            <w:r>
              <w:rPr>
                <w:rFonts w:ascii="Arial" w:cs="Arial" w:eastAsia="Arial" w:hAnsi="Arial"/>
                <w:sz w:val="14"/>
                <w:szCs w:val="14"/>
                <w:color w:val="auto"/>
              </w:rPr>
              <w:t>— %</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266.7</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445.2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87"/>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18.2 %</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30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42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30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210.1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(218.2)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30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287.4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(371.9)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30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30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0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5"/>
        </w:trPr>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480.6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-3431540</wp:posOffset>
            </wp:positionV>
            <wp:extent cx="7134225" cy="135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-3169285</wp:posOffset>
            </wp:positionV>
            <wp:extent cx="7134225" cy="127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-2907030</wp:posOffset>
            </wp:positionV>
            <wp:extent cx="7134225" cy="673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6731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-2712720</wp:posOffset>
            </wp:positionV>
            <wp:extent cx="7134225" cy="127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-2391410</wp:posOffset>
            </wp:positionV>
            <wp:extent cx="713422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-2188845</wp:posOffset>
            </wp:positionV>
            <wp:extent cx="7134225" cy="1098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09855"/>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-1732280</wp:posOffset>
            </wp:positionV>
            <wp:extent cx="7134225" cy="127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-1410970</wp:posOffset>
            </wp:positionV>
            <wp:extent cx="7134225" cy="270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27051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-946150</wp:posOffset>
            </wp:positionV>
            <wp:extent cx="7134225" cy="1943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9431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-557530</wp:posOffset>
            </wp:positionV>
            <wp:extent cx="7134225" cy="1943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9431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-168275</wp:posOffset>
            </wp:positionV>
            <wp:extent cx="7134225" cy="152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1660" w:space="160"/>
            <w:col w:w="9420"/>
          </w:cols>
          <w:pgMar w:left="320" w:top="127"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Rental Revenue</w:t>
      </w:r>
    </w:p>
    <w:p>
      <w:pPr>
        <w:spacing w:after="0" w:line="112"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Rental revenues decreased primarily due to the deconsolidation of 220 East 42nd Street as a result of the sale of a joint venture interest during the third quarter of 2021 ($39.0 million), our Disposed Properties ($37.9 million) and properties moved into redevelopment ($23.4 million). This was offset by the acquisition of 245 Park Avenue ($54.3 million), a higher contribution from our Same-Store Properties ($26.7 million) and a higher contribution from our other Acquired Properties ($11.3 million).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a summary of the commenced leasing activity for the year ended December 31, 2022 in our Manhattan portfolio: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New</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Prev.</w:t>
            </w: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TI/LC</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3"/>
              </w:rPr>
              <w:t>Cash</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8"/>
              </w:rPr>
              <w:t>Escalated</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Free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Usable</w:t>
            </w:r>
          </w:p>
        </w:tc>
        <w:tc>
          <w:tcPr>
            <w:tcW w:w="10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Rentable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Rent (per</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Rent (per</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per</w:t>
            </w:r>
          </w:p>
        </w:tc>
        <w:tc>
          <w:tcPr>
            <w:tcW w:w="1100" w:type="dxa"/>
            <w:vAlign w:val="bottom"/>
            <w:gridSpan w:val="2"/>
            <w:vMerge w:val="continue"/>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rentable</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rentable</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rentable</w:t>
            </w:r>
          </w:p>
        </w:tc>
        <w:tc>
          <w:tcPr>
            <w:tcW w:w="11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Rent (in</w:t>
            </w: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Term (in</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SF</w:t>
            </w:r>
          </w:p>
        </w:tc>
        <w:tc>
          <w:tcPr>
            <w:tcW w:w="1020" w:type="dxa"/>
            <w:vAlign w:val="bottom"/>
          </w:tcPr>
          <w:p>
            <w:pPr>
              <w:jc w:val="right"/>
              <w:ind w:right="349"/>
              <w:spacing w:after="0"/>
              <w:rPr>
                <w:sz w:val="20"/>
                <w:szCs w:val="20"/>
                <w:color w:val="auto"/>
              </w:rPr>
            </w:pPr>
            <w:r>
              <w:rPr>
                <w:rFonts w:ascii="Arial" w:cs="Arial" w:eastAsia="Arial" w:hAnsi="Arial"/>
                <w:sz w:val="14"/>
                <w:szCs w:val="14"/>
                <w:b w:val="1"/>
                <w:bCs w:val="1"/>
                <w:color w:val="auto"/>
              </w:rPr>
              <w:t>SF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60"/>
              <w:spacing w:after="0" w:line="200" w:lineRule="exact"/>
              <w:rPr>
                <w:sz w:val="20"/>
                <w:szCs w:val="20"/>
                <w:color w:val="auto"/>
              </w:rPr>
            </w:pPr>
            <w:r>
              <w:rPr>
                <w:rFonts w:ascii="Arial" w:cs="Arial" w:eastAsia="Arial" w:hAnsi="Arial"/>
                <w:sz w:val="14"/>
                <w:szCs w:val="14"/>
                <w:b w:val="1"/>
                <w:bCs w:val="1"/>
                <w:color w:val="auto"/>
                <w:w w:val="87"/>
              </w:rPr>
              <w:t xml:space="preserve">SF) </w:t>
            </w:r>
            <w:r>
              <w:rPr>
                <w:rFonts w:ascii="Arial" w:cs="Arial" w:eastAsia="Arial" w:hAnsi="Arial"/>
                <w:sz w:val="18"/>
                <w:szCs w:val="18"/>
                <w:b w:val="1"/>
                <w:bCs w:val="1"/>
                <w:color w:val="auto"/>
                <w:w w:val="87"/>
                <w:vertAlign w:val="superscript"/>
              </w:rPr>
              <w:t>(1)</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line="200" w:lineRule="exact"/>
              <w:rPr>
                <w:sz w:val="20"/>
                <w:szCs w:val="20"/>
                <w:color w:val="auto"/>
              </w:rPr>
            </w:pPr>
            <w:r>
              <w:rPr>
                <w:rFonts w:ascii="Arial" w:cs="Arial" w:eastAsia="Arial" w:hAnsi="Arial"/>
                <w:sz w:val="14"/>
                <w:szCs w:val="14"/>
                <w:b w:val="1"/>
                <w:bCs w:val="1"/>
                <w:color w:val="auto"/>
                <w:w w:val="87"/>
              </w:rPr>
              <w:t xml:space="preserve">SF) </w:t>
            </w:r>
            <w:r>
              <w:rPr>
                <w:rFonts w:ascii="Arial" w:cs="Arial" w:eastAsia="Arial" w:hAnsi="Arial"/>
                <w:sz w:val="18"/>
                <w:szCs w:val="18"/>
                <w:b w:val="1"/>
                <w:bCs w:val="1"/>
                <w:color w:val="auto"/>
                <w:w w:val="87"/>
                <w:vertAlign w:val="superscript"/>
              </w:rPr>
              <w:t>(2)</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SF</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months)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73"/>
        </w:trPr>
        <w:tc>
          <w:tcPr>
            <w:tcW w:w="3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Manhattan</w:t>
            </w: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Space available at beginning of the year</w:t>
            </w:r>
          </w:p>
        </w:tc>
        <w:tc>
          <w:tcPr>
            <w:tcW w:w="1100" w:type="dxa"/>
            <w:vAlign w:val="bottom"/>
          </w:tcPr>
          <w:p>
            <w:pPr>
              <w:jc w:val="right"/>
              <w:spacing w:after="0"/>
              <w:rPr>
                <w:sz w:val="20"/>
                <w:szCs w:val="20"/>
                <w:color w:val="auto"/>
              </w:rPr>
            </w:pPr>
            <w:r>
              <w:rPr>
                <w:rFonts w:ascii="Arial" w:cs="Arial" w:eastAsia="Arial" w:hAnsi="Arial"/>
                <w:sz w:val="14"/>
                <w:szCs w:val="14"/>
                <w:color w:val="auto"/>
              </w:rPr>
              <w:t>1,638,009</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Acquired vacancies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219,632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60" w:type="dxa"/>
            <w:vAlign w:val="bottom"/>
          </w:tcPr>
          <w:p>
            <w:pPr>
              <w:ind w:left="80"/>
              <w:spacing w:after="0"/>
              <w:rPr>
                <w:sz w:val="20"/>
                <w:szCs w:val="20"/>
                <w:color w:val="auto"/>
              </w:rPr>
            </w:pPr>
            <w:r>
              <w:rPr>
                <w:rFonts w:ascii="Arial" w:cs="Arial" w:eastAsia="Arial" w:hAnsi="Arial"/>
                <w:sz w:val="14"/>
                <w:szCs w:val="14"/>
                <w:color w:val="auto"/>
              </w:rPr>
              <w:t>Property out of redevelopment</w:t>
            </w:r>
          </w:p>
        </w:tc>
        <w:tc>
          <w:tcPr>
            <w:tcW w:w="1100" w:type="dxa"/>
            <w:vAlign w:val="bottom"/>
          </w:tcPr>
          <w:p>
            <w:pPr>
              <w:jc w:val="right"/>
              <w:spacing w:after="0"/>
              <w:rPr>
                <w:sz w:val="20"/>
                <w:szCs w:val="20"/>
                <w:color w:val="auto"/>
              </w:rPr>
            </w:pPr>
            <w:r>
              <w:rPr>
                <w:rFonts w:ascii="Arial" w:cs="Arial" w:eastAsia="Arial" w:hAnsi="Arial"/>
                <w:sz w:val="14"/>
                <w:szCs w:val="14"/>
                <w:color w:val="auto"/>
              </w:rPr>
              <w:t>107,612</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Space which became available during the year</w:t>
            </w:r>
            <w:r>
              <w:rPr>
                <w:rFonts w:ascii="Arial" w:cs="Arial" w:eastAsia="Arial" w:hAnsi="Arial"/>
                <w:sz w:val="18"/>
                <w:szCs w:val="18"/>
                <w:color w:val="auto"/>
                <w:vertAlign w:val="superscript"/>
              </w:rPr>
              <w:t>(3)</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3460" w:type="dxa"/>
            <w:vAlign w:val="bottom"/>
          </w:tcPr>
          <w:p>
            <w:pPr>
              <w:ind w:left="2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1,095,429</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Retail</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185,458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t>
            </w:r>
          </w:p>
        </w:tc>
        <w:tc>
          <w:tcPr>
            <w:tcW w:w="3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Storage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23,863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1,304,750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Total space available</w:t>
            </w:r>
          </w:p>
        </w:tc>
        <w:tc>
          <w:tcPr>
            <w:tcW w:w="1100" w:type="dxa"/>
            <w:vAlign w:val="bottom"/>
          </w:tcPr>
          <w:p>
            <w:pPr>
              <w:jc w:val="right"/>
              <w:spacing w:after="0"/>
              <w:rPr>
                <w:sz w:val="20"/>
                <w:szCs w:val="20"/>
                <w:color w:val="auto"/>
              </w:rPr>
            </w:pPr>
            <w:r>
              <w:rPr>
                <w:rFonts w:ascii="Arial" w:cs="Arial" w:eastAsia="Arial" w:hAnsi="Arial"/>
                <w:sz w:val="14"/>
                <w:szCs w:val="14"/>
                <w:color w:val="auto"/>
              </w:rPr>
              <w:t>3,270,003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Leased space commenced during the year:</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3460" w:type="dxa"/>
            <w:vAlign w:val="bottom"/>
          </w:tcPr>
          <w:p>
            <w:pPr>
              <w:ind w:left="220"/>
              <w:spacing w:after="0" w:line="200" w:lineRule="exact"/>
              <w:rPr>
                <w:sz w:val="20"/>
                <w:szCs w:val="20"/>
                <w:color w:val="auto"/>
              </w:rPr>
            </w:pPr>
            <w:r>
              <w:rPr>
                <w:rFonts w:ascii="Arial" w:cs="Arial" w:eastAsia="Arial" w:hAnsi="Arial"/>
                <w:sz w:val="14"/>
                <w:szCs w:val="14"/>
                <w:color w:val="auto"/>
              </w:rPr>
              <w:t>Office</w:t>
            </w:r>
            <w:r>
              <w:rPr>
                <w:rFonts w:ascii="Arial" w:cs="Arial" w:eastAsia="Arial" w:hAnsi="Arial"/>
                <w:sz w:val="18"/>
                <w:szCs w:val="18"/>
                <w:color w:val="auto"/>
                <w:vertAlign w:val="superscript"/>
              </w:rPr>
              <w:t>(4)</w:t>
            </w:r>
          </w:p>
        </w:tc>
        <w:tc>
          <w:tcPr>
            <w:tcW w:w="1100" w:type="dxa"/>
            <w:vAlign w:val="bottom"/>
          </w:tcPr>
          <w:p>
            <w:pPr>
              <w:jc w:val="right"/>
              <w:spacing w:after="0"/>
              <w:rPr>
                <w:sz w:val="20"/>
                <w:szCs w:val="20"/>
                <w:color w:val="auto"/>
              </w:rPr>
            </w:pPr>
            <w:r>
              <w:rPr>
                <w:rFonts w:ascii="Arial" w:cs="Arial" w:eastAsia="Arial" w:hAnsi="Arial"/>
                <w:sz w:val="14"/>
                <w:szCs w:val="14"/>
                <w:color w:val="auto"/>
              </w:rPr>
              <w:t>841,915</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912,917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77.53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74.72</w:t>
            </w:r>
          </w:p>
        </w:tc>
        <w:tc>
          <w:tcPr>
            <w:tcW w:w="12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88.64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0"/>
        </w:trPr>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Retail</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156,178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3"/>
        </w:trPr>
        <w:tc>
          <w:tcPr>
            <w:tcW w:w="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t>
            </w:r>
          </w:p>
        </w:tc>
        <w:tc>
          <w:tcPr>
            <w:tcW w:w="3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Storage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7,832</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25.92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27.47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3"/>
        </w:trPr>
        <w:tc>
          <w:tcPr>
            <w:tcW w:w="100" w:type="dxa"/>
            <w:vAlign w:val="bottom"/>
            <w:shd w:val="clear" w:color="auto" w:fill="CCEEFF"/>
          </w:tcPr>
          <w:p>
            <w:pPr>
              <w:spacing w:after="0"/>
              <w:rPr>
                <w:sz w:val="16"/>
                <w:szCs w:val="16"/>
                <w:color w:val="auto"/>
              </w:rPr>
            </w:pP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leased space commenced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1,005,670</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1,085,512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available space at end of year</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2,264,333</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Early renewals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3460" w:type="dxa"/>
            <w:vAlign w:val="bottom"/>
          </w:tcPr>
          <w:p>
            <w:pPr>
              <w:ind w:left="2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181,368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202,336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72.34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73.85</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45.63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Retail</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3"/>
        </w:trPr>
        <w:tc>
          <w:tcPr>
            <w:tcW w:w="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t>
            </w:r>
          </w:p>
        </w:tc>
        <w:tc>
          <w:tcPr>
            <w:tcW w:w="3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Storage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31.89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30.30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5"/>
        </w:trPr>
        <w:tc>
          <w:tcPr>
            <w:tcW w:w="10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early renewals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209,333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231,161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13"/>
        </w:trPr>
        <w:tc>
          <w:tcPr>
            <w:tcW w:w="10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00" w:type="dxa"/>
            <w:vAlign w:val="bottom"/>
            <w:shd w:val="clear" w:color="auto" w:fill="CCEEFF"/>
          </w:tcPr>
          <w:p>
            <w:pPr>
              <w:spacing w:after="0"/>
              <w:rPr>
                <w:sz w:val="12"/>
                <w:szCs w:val="12"/>
                <w:color w:val="auto"/>
              </w:rPr>
            </w:pPr>
          </w:p>
        </w:tc>
        <w:tc>
          <w:tcPr>
            <w:tcW w:w="346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Total commenced leases, including replaced previous</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0" w:type="dxa"/>
            <w:vAlign w:val="bottom"/>
            <w:shd w:val="clear" w:color="auto" w:fill="CCEEFF"/>
          </w:tcPr>
          <w:p>
            <w:pPr>
              <w:spacing w:after="0"/>
              <w:rPr>
                <w:sz w:val="16"/>
                <w:szCs w:val="16"/>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vacancy</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3460" w:type="dxa"/>
            <w:vAlign w:val="bottom"/>
          </w:tcPr>
          <w:p>
            <w:pPr>
              <w:ind w:left="220"/>
              <w:spacing w:after="0"/>
              <w:rPr>
                <w:sz w:val="20"/>
                <w:szCs w:val="20"/>
                <w:color w:val="auto"/>
              </w:rPr>
            </w:pPr>
            <w:r>
              <w:rPr>
                <w:rFonts w:ascii="Arial" w:cs="Arial" w:eastAsia="Arial" w:hAnsi="Arial"/>
                <w:sz w:val="14"/>
                <w:szCs w:val="14"/>
                <w:color w:val="auto"/>
              </w:rPr>
              <w:t>Office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1,115,253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76.59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74.51</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80.83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Retail</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3"/>
        </w:trPr>
        <w:tc>
          <w:tcPr>
            <w:tcW w:w="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t>
            </w:r>
          </w:p>
        </w:tc>
        <w:tc>
          <w:tcPr>
            <w:tcW w:w="3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Storage</w:t>
            </w: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12,015</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28.69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25"/>
        </w:trPr>
        <w:tc>
          <w:tcPr>
            <w:tcW w:w="10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commenced leases</w:t>
            </w: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1,316,673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73.94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00" w:hanging="394"/>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Annual initial base rent.</w:t>
      </w:r>
    </w:p>
    <w:p>
      <w:pPr>
        <w:spacing w:after="0" w:line="10" w:lineRule="exact"/>
        <w:rPr>
          <w:rFonts w:ascii="Arial" w:cs="Arial" w:eastAsia="Arial" w:hAnsi="Arial"/>
          <w:sz w:val="14"/>
          <w:szCs w:val="14"/>
          <w:color w:val="auto"/>
        </w:rPr>
      </w:pPr>
    </w:p>
    <w:p>
      <w:pPr>
        <w:ind w:left="400" w:hanging="394"/>
        <w:spacing w:after="0"/>
        <w:tabs>
          <w:tab w:leader="none" w:pos="4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Escalated rent includes base rent plus all additional amounts paid by the tenant in the form of real estate taxes, operating expenses, porters wage or a consumer price index (CPI) adjustment.</w:t>
      </w:r>
    </w:p>
    <w:p>
      <w:pPr>
        <w:spacing w:after="0" w:line="30" w:lineRule="exact"/>
        <w:rPr>
          <w:rFonts w:ascii="Arial" w:cs="Arial" w:eastAsia="Arial" w:hAnsi="Arial"/>
          <w:sz w:val="12"/>
          <w:szCs w:val="12"/>
          <w:color w:val="auto"/>
        </w:rPr>
      </w:pPr>
    </w:p>
    <w:p>
      <w:pPr>
        <w:ind w:left="400" w:hanging="394"/>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expiring space, relocating tenants and move-outs where tenants vacated. Excludes lease expirations where tenants held over.</w:t>
      </w:r>
    </w:p>
    <w:p>
      <w:pPr>
        <w:spacing w:after="0" w:line="12" w:lineRule="exact"/>
        <w:rPr>
          <w:rFonts w:ascii="Arial" w:cs="Arial" w:eastAsia="Arial" w:hAnsi="Arial"/>
          <w:sz w:val="14"/>
          <w:szCs w:val="14"/>
          <w:color w:val="auto"/>
        </w:rPr>
      </w:pPr>
    </w:p>
    <w:p>
      <w:pPr>
        <w:ind w:left="400" w:hanging="394"/>
        <w:spacing w:after="0" w:line="275" w:lineRule="auto"/>
        <w:tabs>
          <w:tab w:leader="none" w:pos="3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Average starting office rent excluding new tenants replacing vacancies was $70.79 per rentable square feet for 623,803 rentable square feet. Average starting office rent for office space (leased and early renewals, excluding new tenants replacing vacancies) was $71.17 per rentable square feet for 826,139 rentable square feet.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2" w:lineRule="exact"/>
        <w:rPr>
          <w:sz w:val="20"/>
          <w:szCs w:val="20"/>
          <w:color w:val="auto"/>
        </w:rPr>
      </w:pPr>
    </w:p>
    <w:p>
      <w:pPr>
        <w:jc w:val="both"/>
        <w:ind w:firstLine="399"/>
        <w:spacing w:after="0" w:line="270" w:lineRule="auto"/>
        <w:rPr>
          <w:sz w:val="20"/>
          <w:szCs w:val="20"/>
          <w:color w:val="auto"/>
        </w:rPr>
      </w:pPr>
      <w:r>
        <w:rPr>
          <w:rFonts w:ascii="Arial" w:cs="Arial" w:eastAsia="Arial" w:hAnsi="Arial"/>
          <w:sz w:val="17"/>
          <w:szCs w:val="17"/>
          <w:color w:val="auto"/>
        </w:rPr>
        <w:t>Investment income increased primarily as a result of an increase in the weighted average yield of our debt and preferred equity investments due to recognition of previously unrecorded default interest on our preferred equity investment at 245 Park Avenue in the third quarter of 2022. For the years ended December 31, 2022 and 2021, the weighted average balance of our debt and preferred equity investment portfolio and the weighted average yield were $1.0 billion and 8.3%, respectively, compared to $1.1 billion and 7.1%, respectively. As of December 31, 2022, the debt and preferred equity investment portfolio had a weighted average term to maturity of 1.4 years excluding extension options.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2"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Other income decreased primarily due to lower lease termination income for the year ended December 31, 2022 ($5.4 million) as compared to the same period in 2021 ($22.6 million), and a decrease in acquisition fee income related to joint venture properties ($2.5 million). This decrease was offset by an increase in construction fee income ($6.2 million), and income related to the resolution of the Company's investment in 1591-1597 Broadway ($5.0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2" w:lineRule="exact"/>
        <w:rPr>
          <w:sz w:val="20"/>
          <w:szCs w:val="20"/>
          <w:color w:val="auto"/>
        </w:rPr>
      </w:pPr>
    </w:p>
    <w:p>
      <w:pPr>
        <w:jc w:val="both"/>
        <w:ind w:firstLine="399"/>
        <w:spacing w:after="0" w:line="348" w:lineRule="auto"/>
        <w:rPr>
          <w:sz w:val="20"/>
          <w:szCs w:val="20"/>
          <w:color w:val="auto"/>
        </w:rPr>
      </w:pPr>
      <w:r>
        <w:rPr>
          <w:rFonts w:ascii="Arial" w:cs="Arial" w:eastAsia="Arial" w:hAnsi="Arial"/>
          <w:sz w:val="14"/>
          <w:szCs w:val="14"/>
          <w:color w:val="auto"/>
        </w:rPr>
        <w:t>Property operating expenses decreased primarily due to the sale of a joint venture interest and deconsolidation of 220 East 42nd Street ($12.9 million) in the third quarter of 2021, and reduced real estate taxes at our Same-Store Properties ($8.2 million). Further decreases resulted from reduced variable expenses and real estate taxes at our Disposed Properties ($7.9 million and $7.3 million, respectively), partially offset by increased variable expenses at our Same-Store Properties ($14.7 million) and increasesd real estate taxes and variable expenses at our Acquired Properties ($6.8 million and $5.6 million,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Expenses</w:t>
      </w:r>
    </w:p>
    <w:p>
      <w:pPr>
        <w:spacing w:after="0" w:line="112"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Marketing, general and administrative expenses decreased to $93.8 million for the year ended December 31, 2022, compared to $94.9 million for the same period in 2021 due to reduced compensation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Financing Costs, Net of Interest Income</w:t>
      </w:r>
    </w:p>
    <w:p>
      <w:pPr>
        <w:spacing w:after="0" w:line="112"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Interest expense and amortization of deferred financing costs, net of interest income, increased primarily due to acquiring 245 Park Avenue in the third quarter of 2022 ($21.9 million) and a significant increase in average LIBOR and SOFR rates during the year ended December 31, 2022 as compared to the year ended December 31, 2021 ($24.6 million), which was primarily due to term loans ($9.8 million) and the revolving credit facility ($8.4 million). These increases were offset by the deconsolidation of 220 East 42nd Street ($11.1 million) in the third quarter of 2021, repayments of unsecured bonds ($10.9 million), the partial repayment of term loans ($6.2 million) in the fourth quarter of 2021, and the sale of 1080 Amsterdam Avenue ($2.5 million) in the second quarter of 2022. The weighted average consolidated debt balance outstanding was $4.6 billion for the year ended December 31, 2022, compared to $4.8 billion for the year ended December 31, 2021. The consolidated weighted average interest rate was 3.55% for the year ended December 31, 2022, as compared to 2.93% for the year ended December 31,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Depreciation and amortization decreased primarily due to our Disposed Properties ($15.1 million) and to the deconsolidation of 220 East 42nd Street ($9.5 million) as a result of the interest sale during the third quarter of 2021, partially offset by increased depreciation and amortization at our Acquired properties ($25.3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loss from unconsolidated joint ventures</w:t>
      </w:r>
    </w:p>
    <w:p>
      <w:pPr>
        <w:spacing w:after="0" w:line="112"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Equity in net loss from unconsolidated joint ventures increased primarily as a result of increased interest expense across our joint venture portfolio ($28.3 million) and a decrease in income from operations at Worldwide Plaza ($3.7 million), 450 Park Avenue ($3.2 million) and 919 Third Avenue ($3.1 million). This was offset by an increase in income from operations at One Vanderbilt Avenue ($28.6 million), 1515 Broadway ($6.3 million) and 220 East 42nd Street ($5.0 million).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loss on sale of interest in unconsolidated joint venture/real estate</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year ended December 31, 2022, we recognized a loss on the sale of our interest in the Stonehenge Portfolio. During the year ended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we recognized losses on the sales of our interest in One Madison Avenue ($26.9 million), 55 West 46th Street ($15.3 million) and 400</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East 57th Street ($1.5 million), offset by a gain on the sale of our interest in 605 West 42nd Street ($8.3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other fair value adjustments</w:t>
      </w:r>
    </w:p>
    <w:p>
      <w:pPr>
        <w:spacing w:after="0" w:line="112"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During the year ended December 31, 2022, we recorded a $6.4 million fair value adjustment related to an investment in marketable securities and a $1.7 million fair value adjustment related to derivatives that are not designated as hedges. During the year ended December 31, 2021, we recorded a $206.8 million fair value adjustment related to the 51.0% interest we retained in 220 East 42nd Street, which was deconsolidated when a 49.0% joint venture interest was sold.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sale of real estate, net</w:t>
      </w:r>
    </w:p>
    <w:p>
      <w:pPr>
        <w:spacing w:after="0" w:line="112"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During the year ended December 31, 2022, we recognized losses on the sales of 609 Fifth Avenue ($80.2 million), 885 Third Avenue ($24.0 million) and 707 Eleventh Avenue ($0.8 million), offset by a gain on the sale of 1080 Amsterdam Avenue ($17.9 million). During the year ended December 31, 2021, we recognized gains on the sale of a 49.0% joint venture interest in 220 East 42nd Street ($172.7 million), and the sales of 635-641 Sixth Avenue ($99.2 million) and 410 Tenth Avenue ($15.7 million).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Real Estate Reserves and Impairments</w:t>
      </w:r>
    </w:p>
    <w:p>
      <w:pPr>
        <w:spacing w:after="0" w:line="112"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During the year ended December 31, 2022, we recognized depreciable real estate reserves and impairments related to 121 Greene Street ($6.3 million) as the investment was under contract for sale as of December 31, 2022. During the year ended December 31, 2021, we recognized depreciable real estate reserves and impairments related to 400 East 57th Street ($5.7 million), as well as investments under contract for sale as of December 31, 2021 in 707 Eleventh Avenue ($15.0 million) and the Stonehenge Properties ($3.1 million).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and other investment reserves, net of recoveries</w:t>
      </w:r>
    </w:p>
    <w:p>
      <w:pPr>
        <w:spacing w:after="0" w:line="11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During the year ended December 31, 2022, we did not recognize any loan loss and other investment reserves. During the year ended December 31, 2021, we recorded $2.9 million of loan loss and other investment reserves in conjunction with recording debt and preferred equity investments and other financing receivables at the net amount expected to be collected.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2021 to the year ended December 31, 2020</w:t>
      </w:r>
    </w:p>
    <w:p>
      <w:pPr>
        <w:spacing w:after="0" w:line="11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For a comparison of the year ended December 31, 2021 to the year ended December 31, 2020, see "Management's Discussion and Analysis of Financial Condition and Results of Operations" in Part II, Item 7 of our Form 10-K for the year ended December 31, 2021, which was filed with the SEC on February 18,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We currently expect that the principal sources of funds to meet our short-term and long-term liquidity requirements for working capital, acquisitions, development or redevelopment of properties, tenant improvements, leasing costs, share repurchases, dividends to shareholders, distributions to unitholders, repurchases or repayments of outstanding indebtedness and for debt and preferred equity investments will include:</w:t>
      </w:r>
    </w:p>
    <w:p>
      <w:pPr>
        <w:spacing w:after="0" w:line="64" w:lineRule="exact"/>
        <w:rPr>
          <w:sz w:val="20"/>
          <w:szCs w:val="20"/>
          <w:color w:val="auto"/>
        </w:rPr>
      </w:pPr>
    </w:p>
    <w:p>
      <w:pPr>
        <w:ind w:left="1280" w:hanging="71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17" w:lineRule="exact"/>
        <w:rPr>
          <w:rFonts w:ascii="Arial" w:cs="Arial" w:eastAsia="Arial" w:hAnsi="Arial"/>
          <w:sz w:val="18"/>
          <w:szCs w:val="18"/>
          <w:color w:val="auto"/>
        </w:rPr>
      </w:pPr>
    </w:p>
    <w:p>
      <w:pPr>
        <w:ind w:left="1280" w:hanging="71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6" w:lineRule="exact"/>
        <w:rPr>
          <w:rFonts w:ascii="Arial" w:cs="Arial" w:eastAsia="Arial" w:hAnsi="Arial"/>
          <w:sz w:val="18"/>
          <w:szCs w:val="18"/>
          <w:color w:val="auto"/>
        </w:rPr>
      </w:pPr>
    </w:p>
    <w:p>
      <w:pPr>
        <w:ind w:left="1280" w:hanging="714"/>
        <w:spacing w:after="0" w:line="246" w:lineRule="auto"/>
        <w:tabs>
          <w:tab w:leader="none" w:pos="12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proceeds from divestitures of properties and redemptions, participations, dispositions and repayments of debt and preferred equity investments;</w:t>
      </w:r>
    </w:p>
    <w:p>
      <w:pPr>
        <w:spacing w:after="0" w:line="1" w:lineRule="exact"/>
        <w:rPr>
          <w:rFonts w:ascii="Arial" w:cs="Arial" w:eastAsia="Arial" w:hAnsi="Arial"/>
          <w:sz w:val="18"/>
          <w:szCs w:val="18"/>
          <w:color w:val="auto"/>
        </w:rPr>
      </w:pPr>
    </w:p>
    <w:p>
      <w:pPr>
        <w:ind w:left="1280" w:hanging="71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6" w:lineRule="exact"/>
        <w:rPr>
          <w:rFonts w:ascii="Arial" w:cs="Arial" w:eastAsia="Arial" w:hAnsi="Arial"/>
          <w:sz w:val="18"/>
          <w:szCs w:val="18"/>
          <w:color w:val="auto"/>
        </w:rPr>
      </w:pPr>
    </w:p>
    <w:p>
      <w:pPr>
        <w:ind w:left="1280" w:hanging="71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forms of secured or unsecured financing; and</w:t>
      </w:r>
    </w:p>
    <w:p>
      <w:pPr>
        <w:spacing w:after="0" w:line="6" w:lineRule="exact"/>
        <w:rPr>
          <w:rFonts w:ascii="Arial" w:cs="Arial" w:eastAsia="Arial" w:hAnsi="Arial"/>
          <w:sz w:val="18"/>
          <w:szCs w:val="18"/>
          <w:color w:val="auto"/>
        </w:rPr>
      </w:pPr>
    </w:p>
    <w:p>
      <w:pPr>
        <w:ind w:left="1280" w:right="20" w:hanging="714"/>
        <w:spacing w:after="0" w:line="253" w:lineRule="auto"/>
        <w:tabs>
          <w:tab w:leader="none" w:pos="12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Proceeds from common or preferred equity or debt offerings by the Company or the Operating Partnership (including issuances of units of limited partnership interest in the Operating Partnership and Trust preferred securities).</w:t>
      </w:r>
    </w:p>
    <w:p>
      <w:pPr>
        <w:spacing w:after="0" w:line="85"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Cash flow from operations is primarily dependent upon the collectability of rent,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The combined aggregate principal maturities of mortgages and other loans payable, the 2021 credit facility, 2022 term loan, senior unsecured notes (net of discount), trust preferred securities, our share of joint venture debt, including as-of-right extension options and put options, estimated interest expense, and our obligations under our financing and operating leases, as of December 31, 2022 are as follows (in thousands):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960" w:type="dxa"/>
            <w:vAlign w:val="bottom"/>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2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Property mortgages and other</w:t>
            </w: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265,975</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337,237</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370,000</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2,262,750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3,235,962</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2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450,000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450,000</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term loans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1,650,000</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6"/>
                <w:szCs w:val="16"/>
                <w:color w:val="auto"/>
              </w:rPr>
              <w:t>Senior unsecured notes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Trust preferred securities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6"/>
                <w:szCs w:val="16"/>
                <w:color w:val="auto"/>
              </w:rPr>
              <w:t>Financing leases</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200,169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216,311</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52,220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58,207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58,358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1,334,570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1,619,770</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6"/>
                <w:szCs w:val="16"/>
                <w:color w:val="auto"/>
              </w:rPr>
              <w:t>Estimated interest expense</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248,404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215,483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180,664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154,702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54,636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37,163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891,052</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debt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1,155,465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894,655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1,466,750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226,224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299,417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2,130,404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6,172,915</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1,725,197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2,108,623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2,178,849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442,549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4,128,486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3,852,306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14,436,010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We estimate that for the year ending December 31, 2023, we expect to incur $82.0 million of recurring capital expenditures on existing consolidated properties and $117.5 million of development or redevelopment expenditures on existing consolidated properties, of which $1.2 million will be funded by construction financing facilities or loan reserves. We expect our share of capital expenditures at our joint venture properties will be $263.1 million, of which $160.7 million will be funded by construction financing facilities or loan reserves. We expect to fund capital expenditures from operating cash flow, existing liquidity, and borrowings from construction financing facilities. Future property acquisitions may require substantial capital investments for refurbishment and leasing costs.</w:t>
      </w:r>
    </w:p>
    <w:p>
      <w:pPr>
        <w:spacing w:after="0" w:line="91"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As of December 31, 2022, we had liquidity of $1.0 billion, comprised of $800.0 million of availability under our revolving credit facility and $214.5 million of consolidated cash on hand, inclusive of $11.2 million of marketable securities. This liquidity excludes $143.8 million representing our share of cash at unconsolidated joint venture properties. We may seek to divest of properties, interests in properties, or debt and preferred equity investments or access private and public debt and equity capital when the opportunity presents itself, although there is no guarantee that this capital will be made available to us at efficient levels or at all. Management believes that these sources of liquidity, if we are able to access them, along with potential refinancing opportunities for secured and unsecured debt, will allow us to satisfy our debt and other obligations, as described above, upon maturity, if not before.</w:t>
      </w:r>
    </w:p>
    <w:p>
      <w:pPr>
        <w:spacing w:after="0" w:line="60"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We have investments in several real estate joint ventures with various partners who are generally considered to be financially stable. Most of our joint ventures are financed with non-recourse debt. We believe that property level cash flows along with unfunded committed indebtedness and proceeds from the refinancing of outstanding secured indebtedness will be sufficient to fund the capital needs of our joint venture properties.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18" w:lineRule="exact"/>
        <w:rPr>
          <w:sz w:val="20"/>
          <w:szCs w:val="20"/>
          <w:color w:val="auto"/>
        </w:rPr>
      </w:pPr>
    </w:p>
    <w:p>
      <w:pPr>
        <w:jc w:val="both"/>
        <w:ind w:right="20" w:firstLine="439"/>
        <w:spacing w:after="0" w:line="266" w:lineRule="auto"/>
        <w:rPr>
          <w:sz w:val="20"/>
          <w:szCs w:val="20"/>
          <w:color w:val="auto"/>
        </w:rPr>
      </w:pPr>
      <w:r>
        <w:rPr>
          <w:rFonts w:ascii="Arial" w:cs="Arial" w:eastAsia="Arial" w:hAnsi="Arial"/>
          <w:sz w:val="18"/>
          <w:szCs w:val="18"/>
          <w:color w:val="auto"/>
        </w:rPr>
        <w:t>The following summary discussion of our cash flows is based on our consolidated statements of cash flows in "Item 1. Financial Statements" and is not meant to be an all-inclusive discussion of the changes in our cash flows for the years presented below.</w:t>
      </w:r>
    </w:p>
    <w:p>
      <w:pPr>
        <w:spacing w:after="0" w:line="74"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Cash, restricted cash, and cash equivalents were $384.1 million and $337.0 million as of December 31, 2022 and 2021, respectively, representing a increase of $47.1 million. The increase was a result of the following changes in cash flows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Year Ended December 31,</w:t>
            </w: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vMerge w:val="restart"/>
          </w:tcPr>
          <w:p>
            <w:pPr>
              <w:jc w:val="right"/>
              <w:ind w:right="76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vMerge w:val="restart"/>
          </w:tcPr>
          <w:p>
            <w:pPr>
              <w:jc w:val="right"/>
              <w:ind w:right="76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jc w:val="right"/>
              <w:ind w:right="560"/>
              <w:spacing w:after="0" w:line="156" w:lineRule="exact"/>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11"/>
        </w:trPr>
        <w:tc>
          <w:tcPr>
            <w:tcW w:w="50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b w:val="1"/>
                <w:bCs w:val="1"/>
                <w:color w:val="auto"/>
                <w:w w:val="71"/>
              </w:rPr>
              <w:t>$</w:t>
            </w:r>
          </w:p>
        </w:tc>
        <w:tc>
          <w:tcPr>
            <w:tcW w:w="1520" w:type="dxa"/>
            <w:vAlign w:val="bottom"/>
            <w:shd w:val="clear" w:color="auto" w:fill="CCEEFF"/>
          </w:tcPr>
          <w:p>
            <w:pPr>
              <w:jc w:val="center"/>
              <w:ind w:left="760"/>
              <w:spacing w:after="0"/>
              <w:rPr>
                <w:sz w:val="20"/>
                <w:szCs w:val="20"/>
                <w:color w:val="auto"/>
              </w:rPr>
            </w:pPr>
            <w:r>
              <w:rPr>
                <w:rFonts w:ascii="Arial" w:cs="Arial" w:eastAsia="Arial" w:hAnsi="Arial"/>
                <w:sz w:val="16"/>
                <w:szCs w:val="16"/>
                <w:b w:val="1"/>
                <w:bCs w:val="1"/>
                <w:color w:val="auto"/>
                <w:w w:val="89"/>
              </w:rPr>
              <w:t>276,088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20,109</w:t>
            </w:r>
          </w:p>
        </w:tc>
        <w:tc>
          <w:tcPr>
            <w:tcW w:w="0" w:type="dxa"/>
            <w:vAlign w:val="bottom"/>
          </w:tcPr>
          <w:p>
            <w:pPr>
              <w:spacing w:after="0"/>
              <w:rPr>
                <w:sz w:val="1"/>
                <w:szCs w:val="1"/>
                <w:color w:val="auto"/>
              </w:rPr>
            </w:pPr>
          </w:p>
        </w:tc>
      </w:tr>
      <w:tr>
        <w:trPr>
          <w:trHeight w:val="211"/>
        </w:trPr>
        <w:tc>
          <w:tcPr>
            <w:tcW w:w="506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460" w:type="dxa"/>
            <w:vAlign w:val="bottom"/>
          </w:tcPr>
          <w:p>
            <w:pPr>
              <w:jc w:val="right"/>
              <w:ind w:right="306"/>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Pr>
          <w:p>
            <w:pPr>
              <w:jc w:val="center"/>
              <w:ind w:left="760"/>
              <w:spacing w:after="0"/>
              <w:rPr>
                <w:sz w:val="20"/>
                <w:szCs w:val="20"/>
                <w:color w:val="auto"/>
              </w:rPr>
            </w:pPr>
            <w:r>
              <w:rPr>
                <w:rFonts w:ascii="Arial" w:cs="Arial" w:eastAsia="Arial" w:hAnsi="Arial"/>
                <w:sz w:val="16"/>
                <w:szCs w:val="16"/>
                <w:b w:val="1"/>
                <w:bCs w:val="1"/>
                <w:color w:val="auto"/>
                <w:w w:val="89"/>
              </w:rPr>
              <w:t>425,805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993,581</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(567,776)</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b w:val="1"/>
                <w:bCs w:val="1"/>
                <w:color w:val="auto"/>
                <w:w w:val="71"/>
              </w:rPr>
              <w:t>$</w:t>
            </w:r>
          </w:p>
        </w:tc>
        <w:tc>
          <w:tcPr>
            <w:tcW w:w="1520" w:type="dxa"/>
            <w:vAlign w:val="bottom"/>
            <w:shd w:val="clear" w:color="auto" w:fill="CCEEFF"/>
          </w:tcPr>
          <w:p>
            <w:pPr>
              <w:jc w:val="center"/>
              <w:ind w:left="740"/>
              <w:spacing w:after="0"/>
              <w:rPr>
                <w:sz w:val="20"/>
                <w:szCs w:val="20"/>
                <w:color w:val="auto"/>
              </w:rPr>
            </w:pPr>
            <w:r>
              <w:rPr>
                <w:rFonts w:ascii="Arial" w:cs="Arial" w:eastAsia="Arial" w:hAnsi="Arial"/>
                <w:sz w:val="16"/>
                <w:szCs w:val="16"/>
                <w:b w:val="1"/>
                <w:bCs w:val="1"/>
                <w:color w:val="auto"/>
                <w:w w:val="90"/>
              </w:rPr>
              <w:t>(654,823)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630,548</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Our principal sources of operating cash flow are the properties in our consolidated and joint venture portfolios and our debt and preferred equity portfolio. These sources generate a relatively consistent stream of cash flow that provides us with resources to pay operating expenses, debt service, and fund dividend and distribution requirements.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year ended December 31, 2022, when compared to the year ended December 31, 2021, we used cash primarily for the following investing activities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real estate</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88,300</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Capital expenditures and capitalized interest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1,716</w:t>
            </w: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investments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(95,646)</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Distributions from joint ventures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(628,862)</w:t>
            </w: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real estate/partial interest in property</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(25,230)</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Cash and restricted cash assumed from acquisition of real estate investment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60,494</w:t>
            </w: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assumed from consolidation of real estate investment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(9,475)</w:t>
            </w:r>
          </w:p>
        </w:tc>
      </w:tr>
      <w:tr>
        <w:trPr>
          <w:trHeight w:val="21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and preferred equity and other investments</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40,927</w:t>
            </w:r>
          </w:p>
        </w:tc>
      </w:tr>
      <w:tr>
        <w:trPr>
          <w:trHeight w:val="23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 in net cash provided by investing activities</w:t>
            </w:r>
          </w:p>
        </w:tc>
        <w:tc>
          <w:tcPr>
            <w:tcW w:w="44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(567,776)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Funds spent on capital expenditures, which are comprised of building and tenant improvements, decreased from $302.5 million for the year ended December 31, 2021 to $300.8 million for the year ended December 31, 2022 due to lower costs incurred in connection with our development and redevelopment properties.</w:t>
      </w:r>
    </w:p>
    <w:p>
      <w:pPr>
        <w:spacing w:after="0" w:line="83" w:lineRule="exact"/>
        <w:rPr>
          <w:sz w:val="20"/>
          <w:szCs w:val="20"/>
          <w:color w:val="auto"/>
        </w:rPr>
      </w:pPr>
    </w:p>
    <w:p>
      <w:pPr>
        <w:jc w:val="both"/>
        <w:ind w:firstLine="439"/>
        <w:spacing w:after="0" w:line="273" w:lineRule="auto"/>
        <w:rPr>
          <w:sz w:val="20"/>
          <w:szCs w:val="20"/>
          <w:color w:val="auto"/>
        </w:rPr>
      </w:pPr>
      <w:r>
        <w:rPr>
          <w:rFonts w:ascii="Arial" w:cs="Arial" w:eastAsia="Arial" w:hAnsi="Arial"/>
          <w:sz w:val="17"/>
          <w:szCs w:val="17"/>
          <w:color w:val="auto"/>
        </w:rPr>
        <w:t>We generally fund our investment activity through the sale of real estate, the sale of debt and preferred equity investments, property-level financing, our credit facilities, senior unsecured notes, and construction loans. From time to time, the Company may issue common or preferred stock, or the Operating Partnership may issue common or preferred units of limited partnership interest. During the year ended December 31, 2022, when compared to the year ended December 31, 2021, we used cash for the following financing activities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our debt obligations</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378,291</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Repayments of our debt obligations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26,680</w:t>
            </w: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 to noncontrolling interests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53,237</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15,970</w:t>
            </w: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options exercised and DRSPP issuance</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190,206</w:t>
            </w: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stock</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(11,927)</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Acquisition of subsidiary interest from noncontrolling interest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(29,817)</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and distributions paid</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8,939</w:t>
            </w:r>
          </w:p>
        </w:tc>
      </w:tr>
      <w:tr>
        <w:trPr>
          <w:trHeight w:val="209"/>
        </w:trPr>
        <w:tc>
          <w:tcPr>
            <w:tcW w:w="9800" w:type="dxa"/>
            <w:vAlign w:val="bottom"/>
          </w:tcPr>
          <w:p>
            <w:pPr>
              <w:ind w:left="20"/>
              <w:spacing w:after="0"/>
              <w:rPr>
                <w:sz w:val="20"/>
                <w:szCs w:val="20"/>
                <w:color w:val="auto"/>
              </w:rPr>
            </w:pPr>
            <w:r>
              <w:rPr>
                <w:rFonts w:ascii="Arial" w:cs="Arial" w:eastAsia="Arial" w:hAnsi="Arial"/>
                <w:sz w:val="16"/>
                <w:szCs w:val="16"/>
                <w:color w:val="auto"/>
              </w:rPr>
              <w:t>Decrease in net cash used in financing activities</w:t>
            </w: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630,548</w:t>
            </w:r>
          </w:p>
        </w:tc>
      </w:tr>
      <w:tr>
        <w:trPr>
          <w:trHeight w:val="20"/>
        </w:trPr>
        <w:tc>
          <w:tcPr>
            <w:tcW w:w="9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18" w:lineRule="exact"/>
        <w:rPr>
          <w:sz w:val="20"/>
          <w:szCs w:val="20"/>
          <w:color w:val="auto"/>
        </w:rPr>
      </w:pPr>
    </w:p>
    <w:p>
      <w:pPr>
        <w:jc w:val="both"/>
        <w:ind w:firstLine="399"/>
        <w:spacing w:after="0" w:line="279" w:lineRule="auto"/>
        <w:rPr>
          <w:sz w:val="20"/>
          <w:szCs w:val="20"/>
          <w:color w:val="auto"/>
        </w:rPr>
      </w:pPr>
      <w:r>
        <w:rPr>
          <w:rFonts w:ascii="Arial" w:cs="Arial" w:eastAsia="Arial" w:hAnsi="Arial"/>
          <w:sz w:val="17"/>
          <w:szCs w:val="17"/>
          <w:color w:val="auto"/>
        </w:rPr>
        <w:t>Our authorized capital stock consists of 260,000,000 shares, $0.01 par value per share, consisting of 160,000,000 shares of common stock, $0.01 par value per share, 75,000,000 shares of excess stock, at $0.01 par value per share, and 25,000,000 shares of preferred stock, $0.01 par value per share. As of December 31, 2022, 64,380,082 shares of common stock and no shares of excess stock were issued and outstanding.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18"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In August 2016, our Board of Directors approved a $1.0 billion share repurchase program under which we could buy shares of our common stock. The Board of Directors has since authorized five separate $500.0 million increases to the size of the share repurchase program in the fourth quarter of 2017, second quarter of 2018, fourth quarter of 2018, fourth quarter of 2019, and fourth quarter of 2020 bringing the total program size to $3.5 billion.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2022, share repurchases, excluding the redemption of OP units, executed under the program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89"/>
              </w:rPr>
              <w:t>Cumulative number of shares</w:t>
            </w:r>
          </w:p>
        </w:tc>
        <w:tc>
          <w:tcPr>
            <w:tcW w:w="0" w:type="dxa"/>
            <w:vAlign w:val="bottom"/>
          </w:tcPr>
          <w:p>
            <w:pPr>
              <w:spacing w:after="0"/>
              <w:rPr>
                <w:sz w:val="1"/>
                <w:szCs w:val="1"/>
                <w:color w:val="auto"/>
              </w:rPr>
            </w:pPr>
          </w:p>
        </w:tc>
      </w:tr>
      <w:tr>
        <w:trPr>
          <w:trHeight w:val="160"/>
        </w:trPr>
        <w:tc>
          <w:tcPr>
            <w:tcW w:w="4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7"/>
              </w:rPr>
              <w:t>Shares repurchased</w:t>
            </w:r>
          </w:p>
        </w:tc>
        <w:tc>
          <w:tcPr>
            <w:tcW w:w="22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w w:val="97"/>
              </w:rPr>
              <w:t>Average price paid per share</w:t>
            </w:r>
          </w:p>
        </w:tc>
        <w:tc>
          <w:tcPr>
            <w:tcW w:w="21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repurchased as part of the</w:t>
            </w:r>
          </w:p>
        </w:tc>
        <w:tc>
          <w:tcPr>
            <w:tcW w:w="0" w:type="dxa"/>
            <w:vAlign w:val="bottom"/>
          </w:tcPr>
          <w:p>
            <w:pPr>
              <w:spacing w:after="0"/>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 plan or programs</w:t>
            </w:r>
          </w:p>
        </w:tc>
        <w:tc>
          <w:tcPr>
            <w:tcW w:w="0" w:type="dxa"/>
            <w:vAlign w:val="bottom"/>
          </w:tcPr>
          <w:p>
            <w:pPr>
              <w:spacing w:after="0"/>
              <w:rPr>
                <w:sz w:val="1"/>
                <w:szCs w:val="1"/>
                <w:color w:val="auto"/>
              </w:rPr>
            </w:pPr>
          </w:p>
        </w:tc>
      </w:tr>
      <w:tr>
        <w:trPr>
          <w:trHeight w:val="85"/>
        </w:trPr>
        <w:tc>
          <w:tcPr>
            <w:tcW w:w="45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2017</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7,865,206</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$107.81</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7,865,206</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Year ended 2018</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9,187,480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$102.06</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87"/>
              </w:rPr>
              <w:t>17,052,686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2019</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4,333,260</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$88.69</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21,385,946</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Year ended 2020</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8,276,032</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$64.30</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87"/>
              </w:rPr>
              <w:t>29,661,978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2021</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4,474,649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$75.44</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34,136,627</w:t>
            </w:r>
          </w:p>
        </w:tc>
        <w:tc>
          <w:tcPr>
            <w:tcW w:w="0" w:type="dxa"/>
            <w:vAlign w:val="bottom"/>
          </w:tcPr>
          <w:p>
            <w:pPr>
              <w:spacing w:after="0"/>
              <w:rPr>
                <w:sz w:val="1"/>
                <w:szCs w:val="1"/>
                <w:color w:val="auto"/>
              </w:rPr>
            </w:pPr>
          </w:p>
        </w:tc>
      </w:tr>
      <w:tr>
        <w:trPr>
          <w:trHeight w:val="208"/>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Year ended 2022</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1,971,092</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$76.69</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87"/>
              </w:rPr>
              <w:t>36,107,719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 ("DRSPP")</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In February 2018, the Company filed a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SL Green common stock issued, and proceeds received from dividend reinvestments and/or stock purchases under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DRSPP for the years ended December 31, 2022, 2021, and 2020, respectively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66"/>
              <w:spacing w:after="0"/>
              <w:rPr>
                <w:sz w:val="20"/>
                <w:szCs w:val="20"/>
                <w:color w:val="auto"/>
              </w:rPr>
            </w:pPr>
            <w:r>
              <w:rPr>
                <w:rFonts w:ascii="Arial" w:cs="Arial" w:eastAsia="Arial" w:hAnsi="Arial"/>
                <w:sz w:val="16"/>
                <w:szCs w:val="16"/>
                <w:b w:val="1"/>
                <w:bCs w:val="1"/>
                <w:color w:val="auto"/>
                <w:w w:val="89"/>
              </w:rPr>
              <w:t>Year Ended December 31,</w:t>
            </w:r>
          </w:p>
        </w:tc>
        <w:tc>
          <w:tcPr>
            <w:tcW w:w="1020" w:type="dxa"/>
            <w:vAlign w:val="bottom"/>
            <w:tcBorders>
              <w:bottom w:val="single" w:sz="8" w:color="auto"/>
            </w:tcBorders>
          </w:tcPr>
          <w:p>
            <w:pPr>
              <w:spacing w:after="0"/>
              <w:rPr>
                <w:sz w:val="18"/>
                <w:szCs w:val="18"/>
                <w:color w:val="auto"/>
              </w:rPr>
            </w:pPr>
          </w:p>
        </w:tc>
      </w:tr>
      <w:tr>
        <w:trPr>
          <w:trHeight w:val="207"/>
        </w:trPr>
        <w:tc>
          <w:tcPr>
            <w:tcW w:w="69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0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common stock issued</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5"/>
              </w:rPr>
              <w:t>10,839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16,181</w:t>
            </w:r>
          </w:p>
        </w:tc>
      </w:tr>
      <w:tr>
        <w:trPr>
          <w:trHeight w:val="208"/>
        </w:trPr>
        <w:tc>
          <w:tcPr>
            <w:tcW w:w="6920" w:type="dxa"/>
            <w:vAlign w:val="bottom"/>
          </w:tcPr>
          <w:p>
            <w:pPr>
              <w:ind w:left="20"/>
              <w:spacing w:after="0"/>
              <w:rPr>
                <w:sz w:val="20"/>
                <w:szCs w:val="20"/>
                <w:color w:val="auto"/>
              </w:rPr>
            </w:pPr>
            <w:r>
              <w:rPr>
                <w:rFonts w:ascii="Arial" w:cs="Arial" w:eastAsia="Arial" w:hAnsi="Arial"/>
                <w:sz w:val="16"/>
                <w:szCs w:val="16"/>
                <w:color w:val="auto"/>
              </w:rPr>
              <w:t>Dividend reinvestments/stock purchases under the DRSPP</w:t>
            </w:r>
          </w:p>
        </w:tc>
        <w:tc>
          <w:tcPr>
            <w:tcW w:w="840" w:type="dxa"/>
            <w:vAlign w:val="bottom"/>
          </w:tcPr>
          <w:p>
            <w:pPr>
              <w:jc w:val="right"/>
              <w:ind w:right="660"/>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525</w:t>
            </w:r>
          </w:p>
        </w:tc>
        <w:tc>
          <w:tcPr>
            <w:tcW w:w="5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1,006</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Fifth Amended and Restated 2005 Stock Option and Incentive Plan</w:t>
      </w:r>
    </w:p>
    <w:p>
      <w:pPr>
        <w:spacing w:after="0" w:line="118"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The Fifth Amended and Restated 2005 Stock Option and Incentive Plan, or the 2005 Plan, was approved by the Company's Board of Directors in April 2022 and its stockholders in June 2022 at the Company's annual meeting of stockholders. Subject to adjustments upon certain corporate transactions or events, awards with respect to up to a maximum of 32,210,000 fungible units may be granted as options, restricted stock, phantom shares, dividend equivalent rights and other equity-based awards under the 2005 Plan. As of December 31, 2022, 6.3 million fungible units were available for issuance under the 2005 Plan after reserving for shares underlying outstanding restricted stock units and phantom stock units granted pursuant to our Non-Employee Directors' Deferral Program and LTIP Units.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for Directors</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7"/>
          <w:szCs w:val="17"/>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77"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During the year ended December 31, 2022, 27,436 phantom stock units and 9,571 shares of common stock were issued to our Board of Directors. We recorded compensation expense of $2.7 million during the year ended December 31, 2022 related to the Deferred Compensation Plan. As of December 31, 2022, there were 192,638 phantom stock units outstanding pursuant to our Non-Employee Director's Deferral Program.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18"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December 31, 2022, 191,845 shares of our common stock had been issued under the ESPP.</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table below summarizes our consolidated mortgages and other loans payable, 2021 credit facility, 2022 term loan, senior unsecured notes and trust preferred securities outstanding as of December 31, 2022 and 2021, (amounts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6"/>
                <w:szCs w:val="16"/>
                <w:b w:val="1"/>
                <w:bCs w:val="1"/>
                <w:color w:val="auto"/>
              </w:rPr>
              <w:t>December 31,</w:t>
            </w:r>
          </w:p>
        </w:tc>
        <w:tc>
          <w:tcPr>
            <w:tcW w:w="1440" w:type="dxa"/>
            <w:vAlign w:val="bottom"/>
            <w:tcBorders>
              <w:bottom w:val="single" w:sz="8" w:color="auto"/>
            </w:tcBorders>
          </w:tcPr>
          <w:p>
            <w:pPr>
              <w:spacing w:after="0"/>
              <w:rPr>
                <w:sz w:val="18"/>
                <w:szCs w:val="18"/>
                <w:color w:val="auto"/>
              </w:rPr>
            </w:pP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Debt Summary:</w:t>
            </w: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b w:val="1"/>
                <w:bCs w:val="1"/>
                <w:color w:val="auto"/>
              </w:rPr>
              <w:t>2021</w:t>
            </w:r>
          </w:p>
        </w:tc>
      </w:tr>
      <w:tr>
        <w:trPr>
          <w:trHeight w:val="19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w:t>
            </w: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1"/>
        </w:trPr>
        <w:tc>
          <w:tcPr>
            <w:tcW w:w="6920" w:type="dxa"/>
            <w:vAlign w:val="bottom"/>
          </w:tcPr>
          <w:p>
            <w:pPr>
              <w:ind w:left="20"/>
              <w:spacing w:after="0"/>
              <w:rPr>
                <w:sz w:val="20"/>
                <w:szCs w:val="20"/>
                <w:color w:val="auto"/>
              </w:rPr>
            </w:pPr>
            <w:r>
              <w:rPr>
                <w:rFonts w:ascii="Arial" w:cs="Arial" w:eastAsia="Arial" w:hAnsi="Arial"/>
                <w:sz w:val="16"/>
                <w:szCs w:val="16"/>
                <w:color w:val="auto"/>
              </w:rPr>
              <w:t>Fixed rate</w:t>
            </w:r>
          </w:p>
        </w:tc>
        <w:tc>
          <w:tcPr>
            <w:tcW w:w="50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Pr>
          <w:p>
            <w:pPr>
              <w:jc w:val="right"/>
              <w:ind w:right="40"/>
              <w:spacing w:after="0"/>
              <w:rPr>
                <w:sz w:val="20"/>
                <w:szCs w:val="20"/>
                <w:color w:val="auto"/>
              </w:rPr>
            </w:pPr>
            <w:r>
              <w:rPr>
                <w:rFonts w:ascii="Arial" w:cs="Arial" w:eastAsia="Arial" w:hAnsi="Arial"/>
                <w:sz w:val="16"/>
                <w:szCs w:val="16"/>
                <w:b w:val="1"/>
                <w:bCs w:val="1"/>
                <w:color w:val="auto"/>
              </w:rPr>
              <w:t>2,695,814</w:t>
            </w:r>
          </w:p>
        </w:tc>
        <w:tc>
          <w:tcPr>
            <w:tcW w:w="120" w:type="dxa"/>
            <w:vAlign w:val="bottom"/>
          </w:tcPr>
          <w:p>
            <w:pPr>
              <w:spacing w:after="0"/>
              <w:rPr>
                <w:sz w:val="18"/>
                <w:szCs w:val="18"/>
                <w:color w:val="auto"/>
              </w:rPr>
            </w:pP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1,974,324</w:t>
            </w:r>
          </w:p>
        </w:tc>
      </w:tr>
      <w:tr>
        <w:trPr>
          <w:trHeight w:val="21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rate—hedged</w:t>
            </w:r>
          </w:p>
        </w:tc>
        <w:tc>
          <w:tcPr>
            <w:tcW w:w="5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2,320,000</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1,300,000</w:t>
            </w:r>
          </w:p>
        </w:tc>
      </w:tr>
      <w:tr>
        <w:trPr>
          <w:trHeight w:val="204"/>
        </w:trPr>
        <w:tc>
          <w:tcPr>
            <w:tcW w:w="6920" w:type="dxa"/>
            <w:vAlign w:val="bottom"/>
          </w:tcPr>
          <w:p>
            <w:pPr>
              <w:ind w:left="140"/>
              <w:spacing w:after="0"/>
              <w:rPr>
                <w:sz w:val="20"/>
                <w:szCs w:val="20"/>
                <w:color w:val="auto"/>
              </w:rPr>
            </w:pPr>
            <w:r>
              <w:rPr>
                <w:rFonts w:ascii="Arial" w:cs="Arial" w:eastAsia="Arial" w:hAnsi="Arial"/>
                <w:sz w:val="16"/>
                <w:szCs w:val="16"/>
                <w:color w:val="auto"/>
              </w:rPr>
              <w:t>Total fixed rate</w:t>
            </w:r>
          </w:p>
        </w:tc>
        <w:tc>
          <w:tcPr>
            <w:tcW w:w="500" w:type="dxa"/>
            <w:vAlign w:val="bottom"/>
          </w:tcPr>
          <w:p>
            <w:pPr>
              <w:spacing w:after="0"/>
              <w:rPr>
                <w:sz w:val="17"/>
                <w:szCs w:val="17"/>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b w:val="1"/>
                <w:bCs w:val="1"/>
                <w:color w:val="auto"/>
              </w:rPr>
              <w:t>5,015,814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3,274,324</w:t>
            </w:r>
          </w:p>
        </w:tc>
      </w:tr>
      <w:tr>
        <w:trPr>
          <w:trHeight w:val="213"/>
        </w:trPr>
        <w:tc>
          <w:tcPr>
            <w:tcW w:w="6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variable rate</w:t>
            </w:r>
          </w:p>
        </w:tc>
        <w:tc>
          <w:tcPr>
            <w:tcW w:w="5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520,148</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801,051</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5,535,962</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4,075,375</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0"/>
        </w:trPr>
        <w:tc>
          <w:tcPr>
            <w:tcW w:w="6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1"/>
        </w:trPr>
        <w:tc>
          <w:tcPr>
            <w:tcW w:w="6920" w:type="dxa"/>
            <w:vAlign w:val="bottom"/>
          </w:tcPr>
          <w:p>
            <w:pPr>
              <w:ind w:left="20"/>
              <w:spacing w:after="0"/>
              <w:rPr>
                <w:sz w:val="20"/>
                <w:szCs w:val="20"/>
                <w:color w:val="auto"/>
              </w:rPr>
            </w:pPr>
            <w:r>
              <w:rPr>
                <w:rFonts w:ascii="Arial" w:cs="Arial" w:eastAsia="Arial" w:hAnsi="Arial"/>
                <w:sz w:val="16"/>
                <w:szCs w:val="16"/>
                <w:color w:val="auto"/>
              </w:rPr>
              <w:t>Debt, preferred equity, and other investments subject to variable rate</w:t>
            </w:r>
          </w:p>
        </w:tc>
        <w:tc>
          <w:tcPr>
            <w:tcW w:w="500" w:type="dxa"/>
            <w:vAlign w:val="bottom"/>
          </w:tcPr>
          <w:p>
            <w:pPr>
              <w:spacing w:after="0"/>
              <w:rPr>
                <w:sz w:val="18"/>
                <w:szCs w:val="18"/>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b w:val="1"/>
                <w:bCs w:val="1"/>
                <w:color w:val="auto"/>
              </w:rPr>
              <w:t>144,056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294,970</w:t>
            </w:r>
          </w:p>
        </w:tc>
      </w:tr>
      <w:tr>
        <w:trPr>
          <w:trHeight w:val="21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exposure to variable rate debt</w:t>
            </w: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376,092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506,081</w:t>
            </w:r>
          </w:p>
        </w:tc>
      </w:tr>
    </w:tbl>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Percent of Total Debt</w:t>
            </w:r>
            <w:r>
              <w:rPr>
                <w:rFonts w:ascii="Arial" w:cs="Arial" w:eastAsia="Arial" w:hAnsi="Arial"/>
                <w:sz w:val="16"/>
                <w:szCs w:val="16"/>
                <w:color w:val="auto"/>
              </w:rPr>
              <w:t>:</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1"/>
        </w:trPr>
        <w:tc>
          <w:tcPr>
            <w:tcW w:w="6920" w:type="dxa"/>
            <w:vAlign w:val="bottom"/>
          </w:tcPr>
          <w:p>
            <w:pPr>
              <w:ind w:left="140"/>
              <w:spacing w:after="0"/>
              <w:rPr>
                <w:sz w:val="20"/>
                <w:szCs w:val="20"/>
                <w:color w:val="auto"/>
              </w:rPr>
            </w:pPr>
            <w:r>
              <w:rPr>
                <w:rFonts w:ascii="Arial" w:cs="Arial" w:eastAsia="Arial" w:hAnsi="Arial"/>
                <w:sz w:val="16"/>
                <w:szCs w:val="16"/>
                <w:color w:val="auto"/>
              </w:rPr>
              <w:t>Fixed rate</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90.6 %</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80.3 %</w:t>
            </w:r>
          </w:p>
        </w:tc>
      </w:tr>
      <w:tr>
        <w:trPr>
          <w:trHeight w:val="215"/>
        </w:trPr>
        <w:tc>
          <w:tcPr>
            <w:tcW w:w="6920" w:type="dxa"/>
            <w:vAlign w:val="bottom"/>
            <w:shd w:val="clear" w:color="auto" w:fill="CCEEFF"/>
          </w:tcPr>
          <w:p>
            <w:pPr>
              <w:ind w:left="140"/>
              <w:spacing w:after="0" w:line="215" w:lineRule="exact"/>
              <w:rPr>
                <w:sz w:val="20"/>
                <w:szCs w:val="20"/>
                <w:color w:val="auto"/>
              </w:rPr>
            </w:pPr>
            <w:r>
              <w:rPr>
                <w:rFonts w:ascii="Arial" w:cs="Arial" w:eastAsia="Arial" w:hAnsi="Arial"/>
                <w:sz w:val="16"/>
                <w:szCs w:val="16"/>
                <w:color w:val="auto"/>
              </w:rPr>
              <w:t xml:space="preserve">Variable rate </w:t>
            </w:r>
            <w:r>
              <w:rPr>
                <w:rFonts w:ascii="Arial" w:cs="Arial" w:eastAsia="Arial" w:hAnsi="Arial"/>
                <w:sz w:val="20"/>
                <w:szCs w:val="20"/>
                <w:color w:val="auto"/>
                <w:vertAlign w:val="superscript"/>
              </w:rPr>
              <w:t>(1)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9.4 %</w:t>
            </w:r>
          </w:p>
        </w:tc>
        <w:tc>
          <w:tcPr>
            <w:tcW w:w="12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19.7 %</w:t>
            </w:r>
          </w:p>
        </w:tc>
      </w:tr>
      <w:tr>
        <w:trPr>
          <w:trHeight w:val="206"/>
        </w:trPr>
        <w:tc>
          <w:tcPr>
            <w:tcW w:w="6920" w:type="dxa"/>
            <w:vAlign w:val="bottom"/>
          </w:tcPr>
          <w:p>
            <w:pPr>
              <w:ind w:left="20"/>
              <w:spacing w:after="0"/>
              <w:rPr>
                <w:sz w:val="20"/>
                <w:szCs w:val="20"/>
                <w:color w:val="auto"/>
              </w:rPr>
            </w:pPr>
            <w:r>
              <w:rPr>
                <w:rFonts w:ascii="Arial" w:cs="Arial" w:eastAsia="Arial" w:hAnsi="Arial"/>
                <w:sz w:val="16"/>
                <w:szCs w:val="16"/>
                <w:color w:val="auto"/>
              </w:rPr>
              <w:t>Total</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100.0 %</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0"/>
        </w:trPr>
        <w:tc>
          <w:tcPr>
            <w:tcW w:w="69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Effective Interest Rate for the Year:</w:t>
            </w: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11"/>
        </w:trPr>
        <w:tc>
          <w:tcPr>
            <w:tcW w:w="6920" w:type="dxa"/>
            <w:vAlign w:val="bottom"/>
          </w:tcPr>
          <w:p>
            <w:pPr>
              <w:ind w:left="140"/>
              <w:spacing w:after="0"/>
              <w:rPr>
                <w:sz w:val="20"/>
                <w:szCs w:val="20"/>
                <w:color w:val="auto"/>
              </w:rPr>
            </w:pPr>
            <w:r>
              <w:rPr>
                <w:rFonts w:ascii="Arial" w:cs="Arial" w:eastAsia="Arial" w:hAnsi="Arial"/>
                <w:sz w:val="16"/>
                <w:szCs w:val="16"/>
                <w:color w:val="auto"/>
              </w:rPr>
              <w:t>Fixed rate</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3.60 %</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3.14 %</w:t>
            </w:r>
          </w:p>
        </w:tc>
      </w:tr>
      <w:tr>
        <w:trPr>
          <w:trHeight w:val="215"/>
        </w:trPr>
        <w:tc>
          <w:tcPr>
            <w:tcW w:w="6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rate</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3.23 %</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r>
      <w:tr>
        <w:trPr>
          <w:trHeight w:val="208"/>
        </w:trPr>
        <w:tc>
          <w:tcPr>
            <w:tcW w:w="6920" w:type="dxa"/>
            <w:vAlign w:val="bottom"/>
          </w:tcPr>
          <w:p>
            <w:pPr>
              <w:ind w:left="20"/>
              <w:spacing w:after="0"/>
              <w:rPr>
                <w:sz w:val="20"/>
                <w:szCs w:val="20"/>
                <w:color w:val="auto"/>
              </w:rPr>
            </w:pPr>
            <w:r>
              <w:rPr>
                <w:rFonts w:ascii="Arial" w:cs="Arial" w:eastAsia="Arial" w:hAnsi="Arial"/>
                <w:sz w:val="16"/>
                <w:szCs w:val="16"/>
                <w:color w:val="auto"/>
              </w:rPr>
              <w:t>Effective interest rate</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3.55 %</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3.02 %</w:t>
            </w:r>
          </w:p>
        </w:tc>
      </w:tr>
    </w:tbl>
    <w:p>
      <w:pPr>
        <w:spacing w:after="0" w:line="186" w:lineRule="exact"/>
        <w:rPr>
          <w:sz w:val="20"/>
          <w:szCs w:val="20"/>
          <w:color w:val="auto"/>
        </w:rPr>
      </w:pPr>
    </w:p>
    <w:p>
      <w:pPr>
        <w:ind w:left="400" w:hanging="394"/>
        <w:spacing w:after="0" w:line="267" w:lineRule="auto"/>
        <w:tabs>
          <w:tab w:leader="none" w:pos="33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Inclusive of the mitigating effect of our debt, preferred equity, and other investments subject to variable rates, the percent of total debt of our net exposure to variable rate debt was 7.0% and 13.4% as of December 31, 2022 and December 31, 2021, respectively.</w:t>
      </w:r>
    </w:p>
    <w:p>
      <w:pPr>
        <w:spacing w:after="0" w:line="8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variable rate debt shown above generally bears interest at an interest rate based on 30-day LIBOR (4.39% and 0.10% as of December 31, 2022 and 2021, respectively), and adjusted Term SOFR (4.30% and 0.05% as of December 31, 2022 and 2021, respectively). Our consolidated debt as of December 31, 2022 had a weighted average term to maturity of 3.76 years.</w:t>
      </w:r>
    </w:p>
    <w:p>
      <w:pPr>
        <w:spacing w:after="0" w:line="83"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Certain of our debt and equity investments and other investments, with carrying values of $144.1 million as of December 31, 2022 and $295.0 million as of December 31, 2021, are variable rate investments, which mitigate our exposure to interest rate changes on our unhedged variable rate debt. Inclusive of the mitigating effect of these investments, the net ratio of our variable rate debt to total debt was 7.0% and 13.4% as of December 31, 2022 and 2021,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Financing</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of December 31, 2022, our total mortgage debt (excluding our share of joint venture mortgage debt of $6.2 billion) consisted of $3.2 billion of fixed rate debt, including swapped variable rate debt, with an effective weighted average interest rate of 4.44% and $0.1 billion of variable rate debt with an effective weighted average interest rate of 3.72%.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Indebtedness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Credit Facility</w:t>
      </w:r>
    </w:p>
    <w:p>
      <w:pPr>
        <w:spacing w:after="0" w:line="118"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In December 2021, we entered into an amended and restated credit facility, referred to as the 2021 credit facility, that was previously amended by the Company in November 2017, or the 2017 credit facility, and was originally entered into by the Company in November 2012, or the 2012 credit facility. As of December 31, 2022, the 2021 credit facility consisted of a $1.25 billion revolving credit facility, a $1.05 billion term loan (or "Term Loan A"), and a $200.0 million term loan (or "Term Loan B") with maturity dates of May 15, 2026, May 15, 2027, and November 21, 2024, respectively.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75"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As of December 31, 2022,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75"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As of December 31, 2022, the applicable spread over adjusted Term SOFR plus 10 basis points was 105 basis points for the revolving credit facility, 120 basis points for Term Loan A, and 125 basis points for Term Loan B. We are required to pay quarterly in arrears a 12.5 to 30 basis point facility fee on the total commitments under the revolving credit facility based on the credit rating assigned to the senior unsecured long term indebtedness of the Company. As of December 31, 2022, the facility fee was 25 basis points.</w:t>
      </w:r>
    </w:p>
    <w:p>
      <w:pPr>
        <w:spacing w:after="0" w:line="86"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As of December 31, 2022, we had $2.0 million of outstanding letters of credit, $450.0 million drawn under the revolving credit facility and $1.25 billion outstanding under the term loan facilities, with total undrawn capacity of $800.0 million under the 2021 credit facility. As of December 31, 2022 and December 31, 2021, the revolving credit facility had a carrying value of $443.2 million and $381.3 million, respectively, net of deferred financing costs. As of December 31, 2022 and December 31, 2021, the term loan facilities had a carrying value of $1.2 billion and $1.2 billion, respectively, net of deferred financing costs.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Operating Partnership are borrowers jointly and severally obligated under the 2021 credit facility.</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2021 credit facility includes certain restrictions and covenants (see Restrictive Covenants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Term Loan</w:t>
      </w:r>
    </w:p>
    <w:p>
      <w:pPr>
        <w:spacing w:after="0" w:line="118"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In October 2022, we entered into a term loan agreement, referred to as the 2022 term loan. As of December 31, 2022, the 2022 term loan consisted of a $400.0 million term loan with a maturity date of October 6, 2023. The 2022 term loan has one six-month as-of-right extension option to April 6, 2024. We also have an option, subject to customary conditions, to increase the capacity of the 2022 term loan to $500.0 million on or before January 7, 2023 without the consent of existing lenders, by obtaining additional commitments from our existing lenders and other financial institutions. In January 2023, the 2022 term loan was increased by $25.0 million to $425.0 million.</w:t>
      </w:r>
    </w:p>
    <w:p>
      <w:pPr>
        <w:spacing w:after="0" w:line="89"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As of December 31, 2022, the 2022 term loan bore interest at a spread over adjusted Term SOFR plus 10 basis points, ranging from 100 basis points to 180 basis points, in each case based on the credit rating assigned to the senior unsecured long-term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 As of December 31, 2022, the applicable spread over adjusted Term SOFR plus 10 basis points was 140 basis points. As of December 31, 2022, the 2022 term loan had a carrying value of $398.2 million, net of deferred financing costs.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Operating Partnership are borrowers jointly and severally obligated under the 2022 term loan.</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2022 term loan includes certain restrictions and covenants (see Restrictive Covenants below).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Home Loan Bank of New York ("FHLB") Facility</w:t>
      </w:r>
    </w:p>
    <w:p>
      <w:pPr>
        <w:spacing w:after="0" w:line="118" w:lineRule="exact"/>
        <w:rPr>
          <w:sz w:val="20"/>
          <w:szCs w:val="20"/>
          <w:color w:val="auto"/>
        </w:rPr>
      </w:pPr>
    </w:p>
    <w:p>
      <w:pPr>
        <w:jc w:val="both"/>
        <w:ind w:firstLine="399"/>
        <w:spacing w:after="0"/>
        <w:rPr>
          <w:sz w:val="20"/>
          <w:szCs w:val="20"/>
          <w:color w:val="auto"/>
        </w:rPr>
      </w:pPr>
      <w:r>
        <w:rPr>
          <w:rFonts w:ascii="Arial" w:cs="Arial" w:eastAsia="Arial" w:hAnsi="Arial"/>
          <w:sz w:val="18"/>
          <w:szCs w:val="18"/>
          <w:color w:val="auto"/>
        </w:rPr>
        <w:t>As of December 31, 2020, the Company’s wholly-owned subsidiary, Ticonderoga Insurance Company, or Ticonderoga, a Vermont licensed captive insurance company, was a member of the Federal Home Loan Bank of New York, or FHLBNY. As a member, Ticonderoga was able to borrow funds from the FHLBNY in the form of secured advances that bore interest at a floating rate. As a result of a Final Ruling from the Federal Housing Finance Authority, the regulator of the Federal Home Loan Bank system, all captive insurance company memberships were terminated as of February 2021. As such, all advances to Ticonderoga were repaid prior to such termination.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Master Repurchase Agreement</w:t>
      </w:r>
    </w:p>
    <w:p>
      <w:pPr>
        <w:spacing w:after="0" w:line="118"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The Company entered into a Master Repurchase Agreement, or MRA, known as the 2017 MRA, which provided us with the ability to sell certain mortgage investments with a simultaneous agreement to repurchase the same at a certain date or on demand. In April 2018, we increased the maximum facility capacity from $300.0 million to $400.0 million. The facility bore interest on a floating rate basis at a spread to 30-day LIBOR based on the pledged collateral and advanced rate. The facility matured in June 2022 and was not extended.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following table sets forth our senior unsecured notes and other related disclosures as of December 31, 2022 and 2021, respectively, by scheduled maturity date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6"/>
                <w:szCs w:val="16"/>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10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92"/>
              </w:rPr>
              <w:t>Unpaid</w:t>
            </w:r>
          </w:p>
        </w:tc>
        <w:tc>
          <w:tcPr>
            <w:tcW w:w="120" w:type="dxa"/>
            <w:vAlign w:val="bottom"/>
          </w:tcPr>
          <w:p>
            <w:pPr>
              <w:spacing w:after="0"/>
              <w:rPr>
                <w:sz w:val="13"/>
                <w:szCs w:val="13"/>
                <w:color w:val="auto"/>
              </w:rPr>
            </w:pPr>
          </w:p>
        </w:tc>
        <w:tc>
          <w:tcPr>
            <w:tcW w:w="1120" w:type="dxa"/>
            <w:vAlign w:val="bottom"/>
          </w:tcPr>
          <w:p>
            <w:pPr>
              <w:jc w:val="center"/>
              <w:ind w:right="40"/>
              <w:spacing w:after="0" w:line="160" w:lineRule="exact"/>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Initial Term</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Issuance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91"/>
              </w:rPr>
              <w:t>Principal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87"/>
              </w:rPr>
              <w:t>Accreted</w:t>
            </w:r>
          </w:p>
        </w:tc>
        <w:tc>
          <w:tcPr>
            <w:tcW w:w="120" w:type="dxa"/>
            <w:vAlign w:val="bottom"/>
          </w:tcPr>
          <w:p>
            <w:pPr>
              <w:spacing w:after="0"/>
              <w:rPr>
                <w:sz w:val="13"/>
                <w:szCs w:val="13"/>
                <w:color w:val="auto"/>
              </w:rPr>
            </w:pPr>
          </w:p>
        </w:tc>
        <w:tc>
          <w:tcPr>
            <w:tcW w:w="1100" w:type="dxa"/>
            <w:vAlign w:val="bottom"/>
          </w:tcPr>
          <w:p>
            <w:pPr>
              <w:jc w:val="center"/>
              <w:ind w:right="40"/>
              <w:spacing w:after="0" w:line="160" w:lineRule="exact"/>
              <w:rPr>
                <w:sz w:val="20"/>
                <w:szCs w:val="20"/>
                <w:color w:val="auto"/>
              </w:rPr>
            </w:pPr>
            <w:r>
              <w:rPr>
                <w:rFonts w:ascii="Arial" w:cs="Arial" w:eastAsia="Arial" w:hAnsi="Arial"/>
                <w:sz w:val="16"/>
                <w:szCs w:val="16"/>
                <w:b w:val="1"/>
                <w:bCs w:val="1"/>
                <w:color w:val="auto"/>
                <w:w w:val="90"/>
              </w:rPr>
              <w:t>Accreted</w:t>
            </w:r>
          </w:p>
        </w:tc>
        <w:tc>
          <w:tcPr>
            <w:tcW w:w="100" w:type="dxa"/>
            <w:vAlign w:val="bottom"/>
          </w:tcPr>
          <w:p>
            <w:pPr>
              <w:spacing w:after="0"/>
              <w:rPr>
                <w:sz w:val="13"/>
                <w:szCs w:val="13"/>
                <w:color w:val="auto"/>
              </w:rPr>
            </w:pPr>
          </w:p>
        </w:tc>
        <w:tc>
          <w:tcPr>
            <w:tcW w:w="13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w w:val="99"/>
              </w:rPr>
              <w:t>Interest Rate (1)</w:t>
            </w:r>
          </w:p>
        </w:tc>
        <w:tc>
          <w:tcPr>
            <w:tcW w:w="120" w:type="dxa"/>
            <w:vAlign w:val="bottom"/>
            <w:vMerge w:val="restart"/>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3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1"/>
        </w:trPr>
        <w:tc>
          <w:tcPr>
            <w:tcW w:w="3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December 17, 2015 </w:t>
            </w:r>
            <w:r>
              <w:rPr>
                <w:rFonts w:ascii="Arial" w:cs="Arial" w:eastAsia="Arial" w:hAnsi="Arial"/>
                <w:sz w:val="20"/>
                <w:szCs w:val="20"/>
                <w:color w:val="auto"/>
                <w:vertAlign w:val="superscript"/>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4.27 %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2025</w:t>
            </w:r>
          </w:p>
        </w:tc>
        <w:tc>
          <w:tcPr>
            <w:tcW w:w="0" w:type="dxa"/>
            <w:vAlign w:val="bottom"/>
          </w:tcPr>
          <w:p>
            <w:pPr>
              <w:spacing w:after="0"/>
              <w:rPr>
                <w:sz w:val="1"/>
                <w:szCs w:val="1"/>
                <w:color w:val="auto"/>
              </w:rPr>
            </w:pPr>
          </w:p>
        </w:tc>
      </w:tr>
      <w:tr>
        <w:trPr>
          <w:trHeight w:val="213"/>
        </w:trPr>
        <w:tc>
          <w:tcPr>
            <w:tcW w:w="318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October 5, 2017 </w:t>
            </w:r>
            <w:r>
              <w:rPr>
                <w:rFonts w:ascii="Arial" w:cs="Arial" w:eastAsia="Arial" w:hAnsi="Arial"/>
                <w:sz w:val="20"/>
                <w:szCs w:val="20"/>
                <w:color w:val="auto"/>
                <w:vertAlign w:val="superscript"/>
              </w:rPr>
              <w:t>(3)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499,913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October 2022</w:t>
            </w:r>
          </w:p>
        </w:tc>
        <w:tc>
          <w:tcPr>
            <w:tcW w:w="0" w:type="dxa"/>
            <w:vAlign w:val="bottom"/>
          </w:tcPr>
          <w:p>
            <w:pPr>
              <w:spacing w:after="0"/>
              <w:rPr>
                <w:sz w:val="1"/>
                <w:szCs w:val="1"/>
                <w:color w:val="auto"/>
              </w:rPr>
            </w:pPr>
          </w:p>
        </w:tc>
      </w:tr>
      <w:tr>
        <w:trPr>
          <w:trHeight w:val="211"/>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November 15, 2012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2022</w:t>
            </w: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900,915</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financing costs, net</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99,692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899,308</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0" w:hanging="394"/>
        <w:spacing w:after="0"/>
        <w:tabs>
          <w:tab w:leader="none" w:pos="4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Interest rate as of December 31, 2022, taking into account interest rate hedges in effect during the period.</w:t>
      </w:r>
    </w:p>
    <w:p>
      <w:pPr>
        <w:spacing w:after="0" w:line="19" w:lineRule="exact"/>
        <w:rPr>
          <w:rFonts w:ascii="Arial" w:cs="Arial" w:eastAsia="Arial" w:hAnsi="Arial"/>
          <w:sz w:val="14"/>
          <w:szCs w:val="14"/>
          <w:color w:val="auto"/>
        </w:rPr>
      </w:pPr>
    </w:p>
    <w:p>
      <w:pPr>
        <w:ind w:left="400" w:hanging="394"/>
        <w:spacing w:after="0"/>
        <w:tabs>
          <w:tab w:leader="none" w:pos="4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Issued by the Company and the Operating Partnership as co-obligors.</w:t>
      </w:r>
    </w:p>
    <w:p>
      <w:pPr>
        <w:spacing w:after="0" w:line="12" w:lineRule="exact"/>
        <w:rPr>
          <w:rFonts w:ascii="Arial" w:cs="Arial" w:eastAsia="Arial" w:hAnsi="Arial"/>
          <w:sz w:val="14"/>
          <w:szCs w:val="14"/>
          <w:color w:val="auto"/>
        </w:rPr>
      </w:pPr>
    </w:p>
    <w:p>
      <w:pPr>
        <w:ind w:left="400" w:hanging="394"/>
        <w:spacing w:after="0"/>
        <w:tabs>
          <w:tab w:leader="none" w:pos="4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Issued by the Operating Partnership with the Company as the guarantor.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18"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The terms of the 2021 credit facility, 2022 term loan and certain of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December 31, 2022 and 2021, we were in compliance with all such covenants.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Deferrable Interest Debentures</w:t>
      </w:r>
    </w:p>
    <w:p>
      <w:pPr>
        <w:spacing w:after="0" w:line="118"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In June 2005, the Company and the Operating Partnership issued $100.0 million in unsecured trust preferred securities through a newly formed trust, SL Green Capital Trust I, or the Trust, which is a wholly-owned subsidiary of the Operating Partnership. The securities mature in 2035 and bear interest at a floating rate of 125 basis points over the three-month LIBOR.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auto"/>
        </w:rPr>
        <w:t>We are exposed to changes in interest rates primarily from our variable rate debt. Our exposure to interest rate fluctuations are managed through either the use of interest rate derivative instruments and/or through our variable rate debt and preferred equity investments. Based on the debt outstanding as of December 31, 2022, a hypothetical 100 basis point increase in the floating rate interest rate curve would increase our consolidated annual interest cost, net of interest income from variable rate debt and preferred equity investments, by $3.5 million and would increase our share of joint venture annual interest cost by $6.5 million. As of December 31, 2022, $144.1 million, or 23.1%, of our $0.6 billion debt and preferred equity portfolio was indexed to LIBOR.</w:t>
      </w:r>
    </w:p>
    <w:p>
      <w:pPr>
        <w:spacing w:after="0" w:line="60"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We recognize most derivatives on the balance sheet at fair value. Derivatives that are not hedges are adjusted to fair value through income. If a derivative is considered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w:t>
      </w:r>
    </w:p>
    <w:p>
      <w:pPr>
        <w:spacing w:after="0" w:line="86"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Our long-term debt of $5.0 billion bears interest at fixed rates, and therefore the fair value of these instruments is affected by changes in the market interest rates. Our variable rate debt and variable rate joint venture debt as of December 31, 2022 bore interest based on a spread to LIBOR of 145 basis points to 340 basis points, and adjusted Term SOFR of 115 basis points to 577 basis points.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We have off-balance sheet investments, including joint ventures and debt and preferred equity investments. These investments all have varying ownership structures. A majority of our joint venture arrangements are accounted for under the equity method of accounting as we have the ability to exercise significant influence, but not control, over the operating and financial decisions of these joint venture arrangements. Our off-balance sheet arrangements are discussed in Note 5, "Debt and Preferred Equity Investments" and Note 6, "Investments in Unconsolidated Joint Ventures" in the accompanying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Dividends/Distributions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to pay dividends to our stockholders based on the distributions we receive from our Operating Partnership.</w:t>
      </w:r>
    </w:p>
    <w:p>
      <w:pPr>
        <w:spacing w:after="0" w:line="112"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To maintain our qualification as a REIT, we must pay annual dividends to our stockholders of at least 90% of our REIT taxable income, determined before taking into consideration the dividends paid deduction and net capital gains.</w:t>
      </w:r>
    </w:p>
    <w:p>
      <w:pPr>
        <w:spacing w:after="0" w:line="7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Any dividend we pay may be in the form of cash, stock, or a combination thereof, subject to IRS limitations on the use of stock for dividends. Additionally, if our REIT taxable income in a particular year exceeds the amount of cash dividends we pay in that year, we may pay stock dividends in order to maintain our REIT status and avoid certain REIT-level taxes.</w:t>
      </w:r>
    </w:p>
    <w:p>
      <w:pPr>
        <w:spacing w:after="0" w:line="83"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Before we pay any cash dividend, whether for Federal income tax purposes or otherwise, which would only be paid out of available cash to the extent permitted under the 2021 credit facility, 2022 term loan and senior unsecured notes, we must first meet both our operating requirements and scheduled debt service on our mortgages and loans payable.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Cleaning/ Security/ Messenger and Restoration Services</w:t>
      </w:r>
    </w:p>
    <w:p>
      <w:pPr>
        <w:spacing w:after="0" w:line="112"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Alliance Building Services, or Alliance, and its affiliates, which provide services to certain properties owned by us, were previously partially owned by Gary Green, a son of Stephen L. Green, who serves as a member and as the chairman emeritus of our Board of Directors.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w:t>
      </w:r>
    </w:p>
    <w:p>
      <w:pPr>
        <w:spacing w:after="0" w:line="75"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Income earned from the profit participation, which is included in Other income on the consolidated statements of operations, was $1.4 million, $1.7 million and $1.4 million for the years ended December 31, 2022, 2021 and 2020, respectively.</w:t>
      </w:r>
    </w:p>
    <w:p>
      <w:pPr>
        <w:spacing w:after="0" w:line="74"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We also recorded expenses, inclusive of capitalized expenses, of $8.6 million, $14.0 million and $13.3 million for the years ended December 31, 2022, 2021 and 2020, respectively, for these services (excluding services provided directly to tenants).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We received management fees from this entity of $0.6 million, $0.7 million and $0.6 million for the years ended December 31, 2022, 2021 and 2020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Vanderbilt Avenue Investment</w:t>
      </w:r>
    </w:p>
    <w:p>
      <w:pPr>
        <w:spacing w:after="0" w:line="118"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In December 2016, we entered into agreements with entities owned and controlled by our Chairman and CEO, Marc Holliday, and our President, Andrew Mathias, pursuant to which they agreed to make an investment in our One Vanderbilt project (inclusive of the property and Summit One Vanderbilt) at the appraised fair market value for the interests acquired. This investment entitles these entities to receive approximately 1.50% - 1.80% and 1.00% - 1.20%, respectively, of any profits realized by the Company from its One Vanderbilt project in excess of the Company’s capital contributions. The entities have no right to any return of capital. Accordingly, subject to previously disclosed repurchase rights, these interests will have no value and will not entitle these entities to any amounts (other than limited distributions to cover tax liabilities incurred) unless and until the Company has received distributions from the One Vanderbilt project in excess of the Company’s aggregate investment in the project. In the event that the Company does not realize a profit on its investment in the project (or would not realize a profit based on the value at the time the interests are repurchased), the entities owned and controlled by Messrs. Holliday and Mathias will lose the entire amount of their investment. The entities owned and controlled by Messrs. Holliday and Mathias paid $1.4 million and $1.0 million, respectively, which equaled the fair market value of the interests acquired as of the date the investment agreements were entered into as determined by an independent third party appraisal that we obtained.</w:t>
      </w:r>
    </w:p>
    <w:p>
      <w:pPr>
        <w:spacing w:after="0" w:line="75" w:lineRule="exact"/>
        <w:rPr>
          <w:sz w:val="20"/>
          <w:szCs w:val="20"/>
          <w:color w:val="auto"/>
        </w:rPr>
      </w:pPr>
    </w:p>
    <w:p>
      <w:pPr>
        <w:jc w:val="both"/>
        <w:ind w:firstLine="439"/>
        <w:spacing w:after="0" w:line="285" w:lineRule="auto"/>
        <w:rPr>
          <w:sz w:val="20"/>
          <w:szCs w:val="20"/>
          <w:color w:val="auto"/>
        </w:rPr>
      </w:pPr>
      <w:r>
        <w:rPr>
          <w:rFonts w:ascii="Arial" w:cs="Arial" w:eastAsia="Arial" w:hAnsi="Arial"/>
          <w:sz w:val="16"/>
          <w:szCs w:val="16"/>
          <w:color w:val="auto"/>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7-year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being based on the project's sale price, if applicable, or fair market value as determined by an independent third party appraiser. In 2022, stabilization of the property (but not Summit One Vanderbilt) was achieved. Therefore, Messrs. Holiday and Mathias exercised their rights to tender 50% of their interests in the property (but not Summit One Vanderbilt) for liquidation values of $17.9 million and $11.9 million, respectively, which were paid in July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Vanderbilt Avenue Leases</w:t>
      </w:r>
    </w:p>
    <w:p>
      <w:pPr>
        <w:spacing w:after="0" w:line="118" w:lineRule="exact"/>
        <w:rPr>
          <w:sz w:val="20"/>
          <w:szCs w:val="20"/>
          <w:color w:val="auto"/>
        </w:rPr>
      </w:pPr>
    </w:p>
    <w:p>
      <w:pPr>
        <w:jc w:val="both"/>
        <w:ind w:firstLine="439"/>
        <w:spacing w:after="0" w:line="286" w:lineRule="auto"/>
        <w:rPr>
          <w:sz w:val="20"/>
          <w:szCs w:val="20"/>
          <w:color w:val="auto"/>
        </w:rPr>
      </w:pPr>
      <w:r>
        <w:rPr>
          <w:rFonts w:ascii="Arial" w:cs="Arial" w:eastAsia="Arial" w:hAnsi="Arial"/>
          <w:sz w:val="16"/>
          <w:szCs w:val="16"/>
          <w:color w:val="auto"/>
        </w:rPr>
        <w:t>In November 2018, we entered into a lease agreement with the One Vanderbilt Avenue joint venture covering certain floors at the property. In March 2021, the lease commenced and we relocated our corporate headquarters to the leased space. For the year ended December 31, 2022 and 2021 we recorded $3.0 million and $2.4 million, respectively, of rent expense under the lease. Additionally, in June 2021, we, through a wholly-owned subsidiary, entered into a lease agreement with the One Vanderbilt Avenue joint venture for Summit One Vanderbilt, which commenced operations in October 2021. For the year ended December 31, 2022, we recorded $33.0 million of rent expense under the lease, including percentage rent, of which $22.8 million was recognized as income as a component of Equity in net loss from unconsolidated joint ventures in our consolidated statements of operations. For the year ended December 31, 2021, we recorded $5.0 million of rent expense under the lease with no percentage rent. See Note 20, "Commitments and Contingencies."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18"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or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18"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FFO is a widely recognized non-GAAP financial measure of REIT performance. The Company computes FFO in accordance with standards established by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GAAP), excluding gains (or losses) from sales of properties , and real estate related impairment charges, plus real estate related depreciation and amortization and after adjustments for unconsolidated partnerships and joint ventures.</w:t>
      </w:r>
    </w:p>
    <w:p>
      <w:pPr>
        <w:spacing w:after="0" w:line="91"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FFO for the years ended December 31, 2022, 2021, and 2020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9"/>
              </w:rPr>
              <w:t>Year Ended 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7"/>
        </w:trPr>
        <w:tc>
          <w:tcPr>
            <w:tcW w:w="6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SL Green common stockholders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(93,024)</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356,105</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Add: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215,306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313,668</w:t>
            </w:r>
          </w:p>
        </w:tc>
      </w:tr>
      <w:tr>
        <w:trPr>
          <w:trHeight w:val="211"/>
        </w:trPr>
        <w:tc>
          <w:tcPr>
            <w:tcW w:w="6360" w:type="dxa"/>
            <w:vAlign w:val="bottom"/>
          </w:tcPr>
          <w:p>
            <w:pPr>
              <w:ind w:left="140"/>
              <w:spacing w:after="0"/>
              <w:rPr>
                <w:sz w:val="20"/>
                <w:szCs w:val="20"/>
                <w:color w:val="auto"/>
              </w:rPr>
            </w:pPr>
            <w:r>
              <w:rPr>
                <w:rFonts w:ascii="Arial" w:cs="Arial" w:eastAsia="Arial" w:hAnsi="Arial"/>
                <w:sz w:val="16"/>
                <w:szCs w:val="16"/>
                <w:color w:val="auto"/>
              </w:rPr>
              <w:t>Joint venture depreciation and noncontrolling interest adjustments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252,893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249,087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205,869</w:t>
            </w:r>
          </w:p>
        </w:tc>
      </w:tr>
      <w:tr>
        <w:trPr>
          <w:trHeight w:val="215"/>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 attributable to noncontrolling interests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34,956</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Less: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net (loss) gain on sale of interest in unconsolidated joint venture/real estate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w:t>
            </w:r>
          </w:p>
        </w:tc>
      </w:tr>
      <w:tr>
        <w:trPr>
          <w:trHeight w:val="211"/>
        </w:trPr>
        <w:tc>
          <w:tcPr>
            <w:tcW w:w="6360" w:type="dxa"/>
            <w:vAlign w:val="bottom"/>
          </w:tcPr>
          <w:p>
            <w:pPr>
              <w:ind w:left="140"/>
              <w:spacing w:after="0"/>
              <w:rPr>
                <w:sz w:val="20"/>
                <w:szCs w:val="20"/>
                <w:color w:val="auto"/>
              </w:rPr>
            </w:pPr>
            <w:r>
              <w:rPr>
                <w:rFonts w:ascii="Arial" w:cs="Arial" w:eastAsia="Arial" w:hAnsi="Arial"/>
                <w:sz w:val="16"/>
                <w:szCs w:val="16"/>
                <w:color w:val="auto"/>
              </w:rPr>
              <w:t>Depreciable real estate reserves and impairments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(6,313)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(23,794)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(60,454)</w:t>
            </w:r>
          </w:p>
        </w:tc>
      </w:tr>
      <w:tr>
        <w:trPr>
          <w:trHeight w:val="215"/>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on sale of real estate,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215,506</w:t>
            </w:r>
          </w:p>
        </w:tc>
      </w:tr>
      <w:tr>
        <w:trPr>
          <w:trHeight w:val="211"/>
        </w:trPr>
        <w:tc>
          <w:tcPr>
            <w:tcW w:w="6360" w:type="dxa"/>
            <w:vAlign w:val="bottom"/>
          </w:tcPr>
          <w:p>
            <w:pPr>
              <w:ind w:left="140"/>
              <w:spacing w:after="0"/>
              <w:rPr>
                <w:sz w:val="20"/>
                <w:szCs w:val="20"/>
                <w:color w:val="auto"/>
              </w:rPr>
            </w:pPr>
            <w:r>
              <w:rPr>
                <w:rFonts w:ascii="Arial" w:cs="Arial" w:eastAsia="Arial" w:hAnsi="Arial"/>
                <w:sz w:val="16"/>
                <w:szCs w:val="16"/>
                <w:color w:val="auto"/>
              </w:rPr>
              <w:t>Purchase price and other fair value adjustments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209,443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187,522</w:t>
            </w:r>
          </w:p>
        </w:tc>
      </w:tr>
      <w:tr>
        <w:trPr>
          <w:trHeight w:val="213"/>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on non-rental real estate assets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Funds from Operations attributable to SL Green common stockholders and unit holders</w:t>
            </w:r>
          </w:p>
        </w:tc>
        <w:tc>
          <w:tcPr>
            <w:tcW w:w="360" w:type="dxa"/>
            <w:vAlign w:val="bottom"/>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458,827</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481,234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562,725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276,088</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255,979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554,236</w:t>
            </w: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Cash flows provided by investing activities</w:t>
            </w:r>
          </w:p>
        </w:tc>
        <w:tc>
          <w:tcPr>
            <w:tcW w:w="360" w:type="dxa"/>
            <w:vAlign w:val="bottom"/>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425,805</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993,581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1,056,430</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(654,823)</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(1,479,301)</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18" w:lineRule="exact"/>
        <w:rPr>
          <w:sz w:val="20"/>
          <w:szCs w:val="20"/>
          <w:color w:val="auto"/>
        </w:rPr>
      </w:pPr>
    </w:p>
    <w:p>
      <w:pPr>
        <w:jc w:val="both"/>
        <w:ind w:firstLine="439"/>
        <w:spacing w:after="0" w:line="303" w:lineRule="auto"/>
        <w:rPr>
          <w:sz w:val="20"/>
          <w:szCs w:val="20"/>
          <w:color w:val="auto"/>
        </w:rPr>
      </w:pPr>
      <w:r>
        <w:rPr>
          <w:rFonts w:ascii="Arial" w:cs="Arial" w:eastAsia="Arial" w:hAnsi="Arial"/>
          <w:sz w:val="16"/>
          <w:szCs w:val="16"/>
          <w:color w:val="auto"/>
        </w:rPr>
        <w:t>Substantially all of our office leases provide for separate real estate tax and operating expense escalations as well as operating expense recoveries based on increases in the CPI or other measures such as porters' wage. In addition, many of the leases provide for fixed base rent increases. We believe that inflationary increases will be at least partially offset by the contractual rent increases and expense escalations described above.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w:t>
      </w:r>
    </w:p>
    <w:p>
      <w:pPr>
        <w:spacing w:after="0" w:line="118"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7"/>
          <w:szCs w:val="17"/>
          <w:color w:val="auto"/>
        </w:rPr>
        <w:t>With our roots in New York City, we are at the center of one of the world's most ambitious climate legislative environments. Through the Climate Leadership and Community Protection Act signed into law in 2019, New York State mandated the adoption of a net-zero carbon economy statewide by 2050, with a zero-carbon electricity grid by 2040. New York City enacted Local Law 97 (LL97) in 2019 under the Climate Mobilization Act, setting carbon caps for large buildings starting in 2024 as part of a broader commitment to reducing greenhouse gas emissions by 40% by 2030, and by 80% by 2050. As our portfolio is principally located in Manhattan, these policy elements represent the most material sources of transition risks relevant to our business. We do not anticipate any material financial impact on our portfolio in the first compliance period of 2024 to 2029.</w:t>
      </w:r>
    </w:p>
    <w:p>
      <w:pPr>
        <w:spacing w:after="0" w:line="75"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7"/>
          <w:szCs w:val="17"/>
          <w:color w:val="auto"/>
        </w:rPr>
        <w:t>While SL Green's portfolio has not been substantially affected by climate-related events to New York City real estate, such as Hurricane Sandy in 2012, we have continued to develop our approach to physical climate risk assessment, management, and mitigation in order to manage and minimize the impacts of future events. We have conducted climate-related scenario analyses as part of our first Task Force on Climate-related Financial Disclosures ("TCFD") report published in 2021, which we made available on our website. The Company is also committed to setting near-term Scope 1 and Scope 2 science-based emissions reduction targets with the SBTi, which are currently in the validation process. Our goal is to reduce emissions for our operationally controlled portfolio to align it with the 1.5 degree Celsius climate scenario.</w:t>
      </w:r>
    </w:p>
    <w:p>
      <w:pPr>
        <w:spacing w:after="0" w:line="75"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7"/>
          <w:szCs w:val="17"/>
          <w:color w:val="auto"/>
        </w:rPr>
        <w:t>We consider the successful management and mitigation of climate-related risks across our portfolio as an opportunity to raise the financial value of our buildings and pass on these benefits to our stakeholders, tenants, and investors. We believe our investments over the last 20 years in energy efficiency improvements and greenhouse gas emissions reductions have minimized the impact of climate legislation on our portfolio and our active development pipeline sets the standard for sustainable new construction and responsible community engagement. We leverage years of operational excellence to incorporate innovative design and technological solutions. We also utilize recommendations from our portfolio-wide New York State Energy Research and Development Authority ("NYSERDA") emissions reduction study to help lower emissions from tenant spaces and base building operations. Together, these measures are expected to minimize our vulnerability to the physical risks of climate change, as well as transition risks covering policy and legal, market, technology, and reputational factors.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Accounting Standards Updates are discussed in Note 2, "Significant Accounting Policies - Accounting Standards Updates" in the accompanying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18" w:lineRule="exact"/>
        <w:rPr>
          <w:sz w:val="20"/>
          <w:szCs w:val="20"/>
          <w:color w:val="auto"/>
        </w:rPr>
      </w:pPr>
    </w:p>
    <w:p>
      <w:pPr>
        <w:jc w:val="both"/>
        <w:ind w:firstLine="439"/>
        <w:spacing w:after="0" w:line="286" w:lineRule="auto"/>
        <w:rPr>
          <w:sz w:val="20"/>
          <w:szCs w:val="20"/>
          <w:color w:val="auto"/>
        </w:rPr>
      </w:pPr>
      <w:r>
        <w:rPr>
          <w:rFonts w:ascii="Arial" w:cs="Arial" w:eastAsia="Arial" w:hAnsi="Arial"/>
          <w:sz w:val="16"/>
          <w:szCs w:val="16"/>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63"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6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83" w:lineRule="exact"/>
        <w:rPr>
          <w:sz w:val="20"/>
          <w:szCs w:val="20"/>
          <w:color w:val="auto"/>
        </w:rPr>
      </w:pPr>
    </w:p>
    <w:p>
      <w:pPr>
        <w:ind w:left="1280" w:hanging="635"/>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effect of general economic, business and financial conditions, and their effect on the New York City real estate market in particular;</w:t>
      </w:r>
    </w:p>
    <w:p>
      <w:pPr>
        <w:spacing w:after="0" w:line="135" w:lineRule="exact"/>
        <w:rPr>
          <w:rFonts w:ascii="Arial" w:cs="Arial" w:eastAsia="Arial" w:hAnsi="Arial"/>
          <w:sz w:val="16"/>
          <w:szCs w:val="16"/>
          <w:color w:val="auto"/>
        </w:rPr>
      </w:pPr>
    </w:p>
    <w:p>
      <w:pPr>
        <w:ind w:left="1280" w:hanging="635"/>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dependence upon certain geographic markets;</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risks of real estate acquisitions, dispositions, development and redevelopment, including the cost of construction delays and cost overruns;</w:t>
      </w:r>
    </w:p>
    <w:p>
      <w:pPr>
        <w:spacing w:after="0" w:line="135" w:lineRule="exact"/>
        <w:rPr>
          <w:rFonts w:ascii="Arial" w:cs="Arial" w:eastAsia="Arial" w:hAnsi="Arial"/>
          <w:sz w:val="16"/>
          <w:szCs w:val="16"/>
          <w:color w:val="auto"/>
        </w:rPr>
      </w:pPr>
    </w:p>
    <w:p>
      <w:pPr>
        <w:ind w:left="1280" w:hanging="635"/>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relating to debt and preferred equity investments;</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and creditworthiness of prospective tenants and borrowers;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1280" w:hanging="635"/>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bankruptcy or insolvency of a major tenant or a significant number of smaller tenants or borrowers;</w:t>
      </w:r>
    </w:p>
    <w:p>
      <w:pPr>
        <w:spacing w:after="0" w:line="112" w:lineRule="exact"/>
        <w:rPr>
          <w:rFonts w:ascii="Arial" w:cs="Arial" w:eastAsia="Arial" w:hAnsi="Arial"/>
          <w:sz w:val="18"/>
          <w:szCs w:val="18"/>
          <w:color w:val="auto"/>
        </w:rPr>
      </w:pPr>
    </w:p>
    <w:p>
      <w:pPr>
        <w:ind w:left="1280" w:hanging="635"/>
        <w:spacing w:after="0" w:line="266" w:lineRule="auto"/>
        <w:tabs>
          <w:tab w:leader="none" w:pos="1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changes in the real estate markets, including reduced demand for office space, increasing vacancy, and increasing availability of sublease space;</w:t>
      </w:r>
    </w:p>
    <w:p>
      <w:pPr>
        <w:spacing w:after="0" w:line="73" w:lineRule="exact"/>
        <w:rPr>
          <w:rFonts w:ascii="Arial" w:cs="Arial" w:eastAsia="Arial" w:hAnsi="Arial"/>
          <w:sz w:val="18"/>
          <w:szCs w:val="18"/>
          <w:color w:val="auto"/>
        </w:rPr>
      </w:pPr>
    </w:p>
    <w:p>
      <w:pPr>
        <w:ind w:left="1280" w:hanging="635"/>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capital (debt and equity);</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increases in financing and other costs, including a rise in interest rates;</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comply with financial covenants in our debt instruments;</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of investing through joint venture structures, including the fulfillment by our partners of their financial obligations;</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threat of terrorist attacks;</w:t>
      </w:r>
    </w:p>
    <w:p>
      <w:pPr>
        <w:spacing w:after="0" w:line="112" w:lineRule="exact"/>
        <w:rPr>
          <w:rFonts w:ascii="Arial" w:cs="Arial" w:eastAsia="Arial" w:hAnsi="Arial"/>
          <w:sz w:val="18"/>
          <w:szCs w:val="18"/>
          <w:color w:val="auto"/>
        </w:rPr>
      </w:pPr>
    </w:p>
    <w:p>
      <w:pPr>
        <w:ind w:left="1280" w:hanging="635"/>
        <w:spacing w:after="0" w:line="266" w:lineRule="auto"/>
        <w:tabs>
          <w:tab w:leader="none" w:pos="1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adequate insurance coverage at a reasonable cost and the potential for losses in excess of our insurance coverage, including as a result of environmental contamination; and</w:t>
      </w:r>
    </w:p>
    <w:p>
      <w:pPr>
        <w:spacing w:after="0" w:line="73" w:lineRule="exact"/>
        <w:rPr>
          <w:rFonts w:ascii="Arial" w:cs="Arial" w:eastAsia="Arial" w:hAnsi="Arial"/>
          <w:sz w:val="18"/>
          <w:szCs w:val="18"/>
          <w:color w:val="auto"/>
        </w:rPr>
      </w:pPr>
    </w:p>
    <w:p>
      <w:pPr>
        <w:ind w:left="1280" w:hanging="635"/>
        <w:spacing w:after="0" w:line="266" w:lineRule="auto"/>
        <w:tabs>
          <w:tab w:leader="none" w:pos="1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7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Other factors and risks to our business, many of which are beyond our control, are described in other sections of this report and in our other filings with the SEC. Except to the extent required by law, we undertake no obligation to publicly update or revise any forward-looking statements, whether as a result of future events,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tab/>
        <w:t>QUANTITATIVE AND QUALITATIVE DISCLOSURE ABOUT MARKET RISK</w:t>
      </w:r>
    </w:p>
    <w:p>
      <w:pPr>
        <w:spacing w:after="0" w:line="145"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See Item 7, "Management's Discussion and Analysis of Financial Condition and Results of Operations—Market Rate Risk" for additional information regarding our exposure to interest rate fluctuations.</w:t>
      </w:r>
    </w:p>
    <w:p>
      <w:pPr>
        <w:spacing w:after="0" w:line="114" w:lineRule="exact"/>
        <w:rPr>
          <w:sz w:val="20"/>
          <w:szCs w:val="20"/>
          <w:color w:val="auto"/>
        </w:rPr>
      </w:pPr>
    </w:p>
    <w:p>
      <w:pPr>
        <w:ind w:firstLine="439"/>
        <w:spacing w:after="0" w:line="296" w:lineRule="auto"/>
        <w:rPr>
          <w:sz w:val="20"/>
          <w:szCs w:val="20"/>
          <w:color w:val="auto"/>
        </w:rPr>
      </w:pPr>
      <w:r>
        <w:rPr>
          <w:rFonts w:ascii="Arial" w:cs="Arial" w:eastAsia="Arial" w:hAnsi="Arial"/>
          <w:sz w:val="17"/>
          <w:szCs w:val="17"/>
          <w:color w:val="auto"/>
        </w:rPr>
        <w:t>The table below presents the principal cash flows based upon maturity dates of our debt obligations and debt and preferred equity investments and the weighted-average interest rates by expected maturity dates, including as-of-right extension options, as of December 31, 2022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Long-Term Debt</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Debt and Preferred</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 xml:space="preserve">Equity Investments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1"/>
                <w:szCs w:val="11"/>
                <w:color w:val="auto"/>
              </w:rPr>
            </w:pPr>
          </w:p>
        </w:tc>
        <w:tc>
          <w:tcPr>
            <w:tcW w:w="10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w w:val="91"/>
              </w:rPr>
              <w:t>Variable</w:t>
            </w:r>
          </w:p>
        </w:tc>
        <w:tc>
          <w:tcPr>
            <w:tcW w:w="1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Interest</w:t>
            </w:r>
          </w:p>
        </w:tc>
        <w:tc>
          <w:tcPr>
            <w:tcW w:w="4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Interest</w:t>
            </w:r>
          </w:p>
        </w:tc>
        <w:tc>
          <w:tcPr>
            <w:tcW w:w="280" w:type="dxa"/>
            <w:vAlign w:val="bottom"/>
          </w:tcPr>
          <w:p>
            <w:pPr>
              <w:spacing w:after="0"/>
              <w:rPr>
                <w:sz w:val="12"/>
                <w:szCs w:val="12"/>
                <w:color w:val="auto"/>
              </w:rPr>
            </w:pPr>
          </w:p>
        </w:tc>
        <w:tc>
          <w:tcPr>
            <w:tcW w:w="118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255,827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10,148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446,532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6.44 %</w:t>
            </w: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6"/>
                <w:szCs w:val="16"/>
                <w:color w:val="auto"/>
              </w:rPr>
              <w:t>2024</w:t>
            </w:r>
          </w:p>
        </w:tc>
        <w:tc>
          <w:tcPr>
            <w:tcW w:w="3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877,237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4.39 %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5.12 %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6,890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4.36 %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8.52 %</w:t>
            </w: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6"/>
                <w:szCs w:val="16"/>
                <w:color w:val="auto"/>
              </w:rPr>
              <w:t>2026</w:t>
            </w:r>
          </w:p>
        </w:tc>
        <w:tc>
          <w:tcPr>
            <w:tcW w:w="3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4.26 %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2.15 %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3,262,750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4.81 %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119,858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6.55 %</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8.11 %</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5,015,814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4.34 %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520,148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623,280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6.54 %</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Pr>
          <w:p>
            <w:pPr>
              <w:ind w:left="20"/>
              <w:spacing w:after="0"/>
              <w:rPr>
                <w:sz w:val="20"/>
                <w:szCs w:val="20"/>
                <w:color w:val="auto"/>
              </w:rPr>
            </w:pPr>
            <w:r>
              <w:rPr>
                <w:rFonts w:ascii="Arial" w:cs="Arial" w:eastAsia="Arial" w:hAnsi="Arial"/>
                <w:sz w:val="16"/>
                <w:szCs w:val="16"/>
                <w:color w:val="auto"/>
              </w:rPr>
              <w:t>Fair Value</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4,784,691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519,669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0" w:hanging="394"/>
        <w:spacing w:after="0"/>
        <w:tabs>
          <w:tab w:leader="none" w:pos="4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debt and preferred equity investments had an estimated fair value ranging between $0.6 billion and $0.6 billion as of December 31, 2022.</w:t>
      </w:r>
    </w:p>
    <w:p>
      <w:pPr>
        <w:spacing w:after="0" w:line="165"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The table below presents the principal cash flows based upon maturity dates of our share of our joint venture debt obligations and the weighted-average interest rates by expected maturity dates as of December 31, 2022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Long Term Debt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0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w w:val="91"/>
              </w:rPr>
              <w:t>Variable</w:t>
            </w:r>
          </w:p>
        </w:tc>
        <w:tc>
          <w:tcPr>
            <w:tcW w:w="12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Interest</w:t>
            </w:r>
          </w:p>
        </w:tc>
        <w:tc>
          <w:tcPr>
            <w:tcW w:w="4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634,563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4.04 %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520,902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8.51 %</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2024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738,175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3.83 %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156,480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9.15 %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1,449,386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6.42 %</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2026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226,207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3.18 %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6.00 %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6.00 %</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2,130,301</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5,478,032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694,883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8.78 %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6"/>
                <w:szCs w:val="16"/>
                <w:color w:val="auto"/>
              </w:rPr>
              <w:t>Fair Value</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3,552,398</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1,987,218</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The table below lists our consolidated derivative instruments, which are hedging variable rate debt, and their related fair values as of December 31, 2022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Benchmark</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Strike</w:t>
            </w:r>
          </w:p>
        </w:tc>
        <w:tc>
          <w:tcPr>
            <w:tcW w:w="1620" w:type="dxa"/>
            <w:vAlign w:val="bottom"/>
            <w:gridSpan w:val="2"/>
          </w:tcPr>
          <w:p>
            <w:pPr>
              <w:ind w:left="500"/>
              <w:spacing w:after="0"/>
              <w:rPr>
                <w:sz w:val="20"/>
                <w:szCs w:val="20"/>
                <w:color w:val="auto"/>
              </w:rPr>
            </w:pPr>
            <w:r>
              <w:rPr>
                <w:rFonts w:ascii="Arial" w:cs="Arial" w:eastAsia="Arial" w:hAnsi="Arial"/>
                <w:sz w:val="14"/>
                <w:szCs w:val="14"/>
                <w:b w:val="1"/>
                <w:bCs w:val="1"/>
                <w:color w:val="auto"/>
              </w:rPr>
              <w:t>Effective</w:t>
            </w: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Expiration</w:t>
            </w:r>
          </w:p>
        </w:tc>
        <w:tc>
          <w:tcPr>
            <w:tcW w:w="180" w:type="dxa"/>
            <w:vAlign w:val="bottom"/>
          </w:tcPr>
          <w:p>
            <w:pPr>
              <w:spacing w:after="0"/>
              <w:rPr>
                <w:sz w:val="14"/>
                <w:szCs w:val="14"/>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Fair</w:t>
            </w:r>
          </w:p>
        </w:tc>
      </w:tr>
      <w:tr>
        <w:trPr>
          <w:trHeight w:val="190"/>
        </w:trPr>
        <w:tc>
          <w:tcPr>
            <w:tcW w:w="23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Hedged</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Value</w:t>
            </w:r>
          </w:p>
        </w:tc>
      </w:tr>
      <w:tr>
        <w:trPr>
          <w:trHeight w:val="212"/>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LIBOR</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0.212 %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0.184 %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1,453</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0.633 %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2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3.250 %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2,471</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2022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1.163 %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2021</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2023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2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LIBOR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4.080 %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(3,341)</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LIBOR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2022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2023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4.739 %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196,717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2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196,717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3.500 %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(2,225)</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2021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4.590 %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4.511 %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2.721 %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2021</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5,848</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2021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7,601</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3.003 %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2023</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3,264</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2023</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2.563 %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2023</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2,441</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2023</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8,823</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2.966 %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2023</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7,514</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r>
      <w:tr>
        <w:trPr>
          <w:trHeight w:val="210"/>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w:t>
            </w:r>
          </w:p>
        </w:tc>
        <w:tc>
          <w:tcPr>
            <w:tcW w:w="1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4"/>
              </w:rPr>
              <w:t>Credit Facility</w:t>
            </w:r>
          </w:p>
        </w:tc>
        <w:tc>
          <w:tcPr>
            <w:tcW w:w="1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3.756 %</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January 2023</w:t>
            </w:r>
          </w:p>
        </w:tc>
        <w:tc>
          <w:tcPr>
            <w:tcW w:w="16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January 2028</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Consolidated Hedges</w:t>
            </w: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47,518</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In addition to these derivative instruments, some of our joint venture loan agreements require the joint venture to purchase interest rate caps on its debt. All such interest rate caps represented an asset of $61.5 million in the aggregate as of December 31, 2022. We also swapped certain floating rate debt at some of our joint ventures. These swaps represented an asset of $12.6 million in the aggregate as of December 31,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Asset</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Benchmark</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Strike</w:t>
            </w:r>
          </w:p>
        </w:tc>
        <w:tc>
          <w:tcPr>
            <w:tcW w:w="1620" w:type="dxa"/>
            <w:vAlign w:val="bottom"/>
            <w:gridSpan w:val="2"/>
          </w:tcPr>
          <w:p>
            <w:pPr>
              <w:ind w:left="500"/>
              <w:spacing w:after="0"/>
              <w:rPr>
                <w:sz w:val="20"/>
                <w:szCs w:val="20"/>
                <w:color w:val="auto"/>
              </w:rPr>
            </w:pPr>
            <w:r>
              <w:rPr>
                <w:rFonts w:ascii="Arial" w:cs="Arial" w:eastAsia="Arial" w:hAnsi="Arial"/>
                <w:sz w:val="14"/>
                <w:szCs w:val="14"/>
                <w:b w:val="1"/>
                <w:bCs w:val="1"/>
                <w:color w:val="auto"/>
              </w:rPr>
              <w:t>Effective</w:t>
            </w: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Expiration</w:t>
            </w:r>
          </w:p>
        </w:tc>
        <w:tc>
          <w:tcPr>
            <w:tcW w:w="180" w:type="dxa"/>
            <w:vAlign w:val="bottom"/>
          </w:tcPr>
          <w:p>
            <w:pPr>
              <w:spacing w:after="0"/>
              <w:rPr>
                <w:sz w:val="14"/>
                <w:szCs w:val="14"/>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Fair</w:t>
            </w:r>
          </w:p>
        </w:tc>
      </w:tr>
      <w:tr>
        <w:trPr>
          <w:trHeight w:val="190"/>
        </w:trPr>
        <w:tc>
          <w:tcPr>
            <w:tcW w:w="24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Hedged</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Value</w:t>
            </w:r>
          </w:p>
        </w:tc>
      </w:tr>
      <w:tr>
        <w:trPr>
          <w:trHeight w:val="212"/>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LIBOR</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40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LIBOR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4.000 %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LIBOR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2021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w:t>
            </w:r>
          </w:p>
        </w:tc>
      </w:tr>
      <w:tr>
        <w:trPr>
          <w:trHeight w:val="210"/>
        </w:trPr>
        <w:tc>
          <w:tcPr>
            <w:tcW w:w="240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4.000 %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1,289</w:t>
            </w: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2022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2023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w:t>
            </w:r>
          </w:p>
        </w:tc>
      </w:tr>
      <w:tr>
        <w:trPr>
          <w:trHeight w:val="210"/>
        </w:trPr>
        <w:tc>
          <w:tcPr>
            <w:tcW w:w="240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LIBOR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1,075,000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4.080 %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6,004</w:t>
            </w: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LIBOR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2022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2023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10"/>
        </w:trPr>
        <w:tc>
          <w:tcPr>
            <w:tcW w:w="240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118,670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0.490 %</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2022</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22,669</w:t>
            </w: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118,670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0.490 %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May 2024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22,652</w:t>
            </w:r>
          </w:p>
        </w:tc>
      </w:tr>
      <w:tr>
        <w:trPr>
          <w:trHeight w:val="21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w:t>
            </w:r>
          </w:p>
        </w:tc>
        <w:tc>
          <w:tcPr>
            <w:tcW w:w="14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1"/>
              </w:rPr>
              <w:t>Mortgage</w:t>
            </w:r>
          </w:p>
        </w:tc>
        <w:tc>
          <w:tcPr>
            <w:tcW w:w="1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9"/>
              </w:rPr>
              <w:t>SOFR</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177,000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1.669 %</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December 2022</w:t>
            </w:r>
          </w:p>
        </w:tc>
        <w:tc>
          <w:tcPr>
            <w:tcW w:w="16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February 2026</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12,576</w:t>
            </w:r>
          </w:p>
        </w:tc>
      </w:tr>
      <w:tr>
        <w:trPr>
          <w:trHeight w:val="234"/>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Unconsolidated Hedges</w:t>
            </w: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74,040</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0940" w:type="dxa"/>
            <w:vAlign w:val="bottom"/>
            <w:gridSpan w:val="12"/>
          </w:tcPr>
          <w:p>
            <w:pPr>
              <w:spacing w:after="0"/>
              <w:rPr>
                <w:sz w:val="20"/>
                <w:szCs w:val="20"/>
                <w:color w:val="auto"/>
              </w:rPr>
            </w:pPr>
            <w:r>
              <w:rPr>
                <w:rFonts w:ascii="Arial" w:cs="Arial" w:eastAsia="Arial" w:hAnsi="Arial"/>
                <w:sz w:val="18"/>
                <w:szCs w:val="18"/>
                <w:color w:val="0000FF"/>
              </w:rPr>
              <w:t>Table of Contents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77"/>
        </w:trPr>
        <w:tc>
          <w:tcPr>
            <w:tcW w:w="10940" w:type="dxa"/>
            <w:vAlign w:val="bottom"/>
            <w:gridSpan w:val="1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20" w:type="dxa"/>
            <w:vAlign w:val="bottom"/>
            <w:gridSpan w:val="9"/>
          </w:tcPr>
          <w:p>
            <w:pPr>
              <w:ind w:left="820"/>
              <w:spacing w:after="0"/>
              <w:rPr>
                <w:sz w:val="20"/>
                <w:szCs w:val="20"/>
                <w:color w:val="auto"/>
              </w:rPr>
            </w:pPr>
            <w:r>
              <w:rPr>
                <w:rFonts w:ascii="Arial" w:cs="Arial" w:eastAsia="Arial" w:hAnsi="Arial"/>
                <w:sz w:val="18"/>
                <w:szCs w:val="18"/>
                <w:b w:val="1"/>
                <w:bCs w:val="1"/>
                <w:color w:val="auto"/>
              </w:rPr>
              <w:t>Index to Financial Statements and Schedules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6"/>
        </w:trPr>
        <w:tc>
          <w:tcPr>
            <w:tcW w:w="20" w:type="dxa"/>
            <w:vAlign w:val="bottom"/>
          </w:tcPr>
          <w:p>
            <w:pPr>
              <w:spacing w:after="0"/>
              <w:rPr>
                <w:sz w:val="24"/>
                <w:szCs w:val="24"/>
                <w:color w:val="auto"/>
              </w:rPr>
            </w:pPr>
          </w:p>
        </w:tc>
        <w:tc>
          <w:tcPr>
            <w:tcW w:w="1092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 OF SL GREEN REALTY CORP.</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5420" w:type="dxa"/>
            <w:vAlign w:val="bottom"/>
            <w:gridSpan w:val="4"/>
          </w:tcPr>
          <w:p>
            <w:pPr>
              <w:spacing w:after="0" w:line="188" w:lineRule="exact"/>
              <w:rPr>
                <w:sz w:val="20"/>
                <w:szCs w:val="20"/>
                <w:color w:val="auto"/>
              </w:rPr>
            </w:pPr>
            <w:r>
              <w:rPr>
                <w:rFonts w:ascii="Arial" w:cs="Arial" w:eastAsia="Arial" w:hAnsi="Arial"/>
                <w:sz w:val="18"/>
                <w:szCs w:val="18"/>
                <w:color w:val="auto"/>
                <w:w w:val="91"/>
              </w:rPr>
              <w:t>Report of Independent Registered Public Accounting Firm (PCAOB ID: 42)</w:t>
            </w:r>
          </w:p>
        </w:tc>
        <w:tc>
          <w:tcPr>
            <w:tcW w:w="5500" w:type="dxa"/>
            <w:vAlign w:val="bottom"/>
            <w:gridSpan w:val="7"/>
          </w:tcPr>
          <w:p>
            <w:pPr>
              <w:spacing w:after="0"/>
              <w:rPr>
                <w:sz w:val="16"/>
                <w:szCs w:val="16"/>
                <w:color w:val="auto"/>
              </w:rPr>
            </w:pPr>
          </w:p>
        </w:tc>
        <w:tc>
          <w:tcPr>
            <w:tcW w:w="260" w:type="dxa"/>
            <w:vAlign w:val="bottom"/>
            <w:gridSpan w:val="2"/>
          </w:tcPr>
          <w:p>
            <w:pPr>
              <w:jc w:val="right"/>
              <w:spacing w:after="0" w:line="188" w:lineRule="exact"/>
              <w:rPr>
                <w:sz w:val="20"/>
                <w:szCs w:val="20"/>
                <w:color w:val="auto"/>
              </w:rPr>
            </w:pPr>
            <w:r>
              <w:rPr>
                <w:rFonts w:ascii="Arial" w:cs="Arial" w:eastAsia="Arial" w:hAnsi="Arial"/>
                <w:sz w:val="18"/>
                <w:szCs w:val="18"/>
                <w:color w:val="0000FF"/>
              </w:rPr>
              <w:t>58</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Consolidated Balance Sheets as of December 31, 2022 and 2021</w:t>
            </w:r>
          </w:p>
        </w:tc>
        <w:tc>
          <w:tcPr>
            <w:tcW w:w="5500" w:type="dxa"/>
            <w:vAlign w:val="bottom"/>
            <w:gridSpan w:val="7"/>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60</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760" w:type="dxa"/>
            <w:vAlign w:val="bottom"/>
            <w:gridSpan w:val="8"/>
          </w:tcPr>
          <w:p>
            <w:pPr>
              <w:spacing w:after="0"/>
              <w:rPr>
                <w:sz w:val="20"/>
                <w:szCs w:val="20"/>
                <w:color w:val="auto"/>
              </w:rPr>
            </w:pPr>
            <w:r>
              <w:rPr>
                <w:rFonts w:ascii="Arial" w:cs="Arial" w:eastAsia="Arial" w:hAnsi="Arial"/>
                <w:sz w:val="18"/>
                <w:szCs w:val="18"/>
                <w:color w:val="auto"/>
                <w:w w:val="87"/>
              </w:rPr>
              <w:t>Consolidated Statements of Operations for the years ended December 31, 2022, 2021 and 2020</w:t>
            </w:r>
          </w:p>
        </w:tc>
        <w:tc>
          <w:tcPr>
            <w:tcW w:w="4160" w:type="dxa"/>
            <w:vAlign w:val="bottom"/>
            <w:gridSpan w:val="3"/>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62</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80" w:type="dxa"/>
            <w:vAlign w:val="bottom"/>
            <w:gridSpan w:val="10"/>
          </w:tcPr>
          <w:p>
            <w:pPr>
              <w:spacing w:after="0"/>
              <w:rPr>
                <w:sz w:val="20"/>
                <w:szCs w:val="20"/>
                <w:color w:val="auto"/>
              </w:rPr>
            </w:pPr>
            <w:r>
              <w:rPr>
                <w:rFonts w:ascii="Arial" w:cs="Arial" w:eastAsia="Arial" w:hAnsi="Arial"/>
                <w:sz w:val="18"/>
                <w:szCs w:val="18"/>
                <w:color w:val="auto"/>
                <w:w w:val="88"/>
              </w:rPr>
              <w:t>Consolidated Statements of Comprehensive Income for the years ended December 31, 2022, 2021 and 2020</w:t>
            </w:r>
          </w:p>
        </w:tc>
        <w:tc>
          <w:tcPr>
            <w:tcW w:w="3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63</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460" w:type="dxa"/>
            <w:vAlign w:val="bottom"/>
            <w:gridSpan w:val="6"/>
          </w:tcPr>
          <w:p>
            <w:pPr>
              <w:spacing w:after="0"/>
              <w:rPr>
                <w:sz w:val="20"/>
                <w:szCs w:val="20"/>
                <w:color w:val="auto"/>
              </w:rPr>
            </w:pPr>
            <w:r>
              <w:rPr>
                <w:rFonts w:ascii="Arial" w:cs="Arial" w:eastAsia="Arial" w:hAnsi="Arial"/>
                <w:sz w:val="18"/>
                <w:szCs w:val="18"/>
                <w:color w:val="auto"/>
                <w:w w:val="88"/>
              </w:rPr>
              <w:t>Consolidated Statements of Equity for the years ended December 31, 2022, 2021 and 2020</w:t>
            </w:r>
          </w:p>
        </w:tc>
        <w:tc>
          <w:tcPr>
            <w:tcW w:w="1220" w:type="dxa"/>
            <w:vAlign w:val="bottom"/>
            <w:gridSpan w:val="4"/>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64</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820" w:type="dxa"/>
            <w:vAlign w:val="bottom"/>
            <w:gridSpan w:val="9"/>
          </w:tcPr>
          <w:p>
            <w:pPr>
              <w:spacing w:after="0"/>
              <w:rPr>
                <w:sz w:val="20"/>
                <w:szCs w:val="20"/>
                <w:color w:val="auto"/>
              </w:rPr>
            </w:pPr>
            <w:r>
              <w:rPr>
                <w:rFonts w:ascii="Arial" w:cs="Arial" w:eastAsia="Arial" w:hAnsi="Arial"/>
                <w:sz w:val="18"/>
                <w:szCs w:val="18"/>
                <w:color w:val="auto"/>
                <w:w w:val="87"/>
              </w:rPr>
              <w:t>Consolidated Statements of Cash Flows for the years ended December 31, 2022, 2021 and 2020</w:t>
            </w:r>
          </w:p>
        </w:tc>
        <w:tc>
          <w:tcPr>
            <w:tcW w:w="4100" w:type="dxa"/>
            <w:vAlign w:val="bottom"/>
            <w:gridSpan w:val="2"/>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66</w:t>
            </w:r>
          </w:p>
        </w:tc>
      </w:tr>
      <w:tr>
        <w:trPr>
          <w:trHeight w:val="245"/>
        </w:trPr>
        <w:tc>
          <w:tcPr>
            <w:tcW w:w="20" w:type="dxa"/>
            <w:vAlign w:val="bottom"/>
          </w:tcPr>
          <w:p>
            <w:pPr>
              <w:spacing w:after="0"/>
              <w:rPr>
                <w:sz w:val="21"/>
                <w:szCs w:val="21"/>
                <w:color w:val="auto"/>
              </w:rPr>
            </w:pPr>
          </w:p>
        </w:tc>
        <w:tc>
          <w:tcPr>
            <w:tcW w:w="6820" w:type="dxa"/>
            <w:vAlign w:val="bottom"/>
            <w:tcBorders>
              <w:top w:val="single" w:sz="8" w:color="auto"/>
            </w:tcBorders>
            <w:gridSpan w:val="9"/>
          </w:tcPr>
          <w:p>
            <w:pPr>
              <w:spacing w:after="0"/>
              <w:rPr>
                <w:sz w:val="20"/>
                <w:szCs w:val="20"/>
                <w:color w:val="auto"/>
              </w:rPr>
            </w:pPr>
            <w:r>
              <w:rPr>
                <w:rFonts w:ascii="Arial" w:cs="Arial" w:eastAsia="Arial" w:hAnsi="Arial"/>
                <w:sz w:val="18"/>
                <w:szCs w:val="18"/>
                <w:b w:val="1"/>
                <w:bCs w:val="1"/>
                <w:color w:val="auto"/>
              </w:rPr>
              <w:t>FINANCIAL STATEMENTS OF SL GREEN OPERATING PARTNERSHIP, L.P.</w:t>
            </w:r>
          </w:p>
        </w:tc>
        <w:tc>
          <w:tcPr>
            <w:tcW w:w="41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r>
      <w:tr>
        <w:trPr>
          <w:trHeight w:val="188"/>
        </w:trPr>
        <w:tc>
          <w:tcPr>
            <w:tcW w:w="20" w:type="dxa"/>
            <w:vAlign w:val="bottom"/>
          </w:tcPr>
          <w:p>
            <w:pPr>
              <w:spacing w:after="0"/>
              <w:rPr>
                <w:sz w:val="16"/>
                <w:szCs w:val="16"/>
                <w:color w:val="auto"/>
              </w:rPr>
            </w:pPr>
          </w:p>
        </w:tc>
        <w:tc>
          <w:tcPr>
            <w:tcW w:w="5420" w:type="dxa"/>
            <w:vAlign w:val="bottom"/>
            <w:gridSpan w:val="4"/>
          </w:tcPr>
          <w:p>
            <w:pPr>
              <w:spacing w:after="0" w:line="188" w:lineRule="exact"/>
              <w:rPr>
                <w:sz w:val="20"/>
                <w:szCs w:val="20"/>
                <w:color w:val="auto"/>
              </w:rPr>
            </w:pPr>
            <w:r>
              <w:rPr>
                <w:rFonts w:ascii="Arial" w:cs="Arial" w:eastAsia="Arial" w:hAnsi="Arial"/>
                <w:sz w:val="18"/>
                <w:szCs w:val="18"/>
                <w:color w:val="auto"/>
                <w:w w:val="91"/>
              </w:rPr>
              <w:t>Report of Independent Registered Public Accounting Firm (PCAOB ID: 42)</w:t>
            </w:r>
          </w:p>
        </w:tc>
        <w:tc>
          <w:tcPr>
            <w:tcW w:w="5500" w:type="dxa"/>
            <w:vAlign w:val="bottom"/>
            <w:gridSpan w:val="7"/>
          </w:tcPr>
          <w:p>
            <w:pPr>
              <w:spacing w:after="0"/>
              <w:rPr>
                <w:sz w:val="16"/>
                <w:szCs w:val="16"/>
                <w:color w:val="auto"/>
              </w:rPr>
            </w:pPr>
          </w:p>
        </w:tc>
        <w:tc>
          <w:tcPr>
            <w:tcW w:w="260" w:type="dxa"/>
            <w:vAlign w:val="bottom"/>
            <w:gridSpan w:val="2"/>
          </w:tcPr>
          <w:p>
            <w:pPr>
              <w:jc w:val="right"/>
              <w:spacing w:after="0" w:line="188" w:lineRule="exact"/>
              <w:rPr>
                <w:sz w:val="20"/>
                <w:szCs w:val="20"/>
                <w:color w:val="auto"/>
              </w:rPr>
            </w:pPr>
            <w:r>
              <w:rPr>
                <w:rFonts w:ascii="Arial" w:cs="Arial" w:eastAsia="Arial" w:hAnsi="Arial"/>
                <w:sz w:val="18"/>
                <w:szCs w:val="18"/>
                <w:color w:val="0000FF"/>
              </w:rPr>
              <w:t>69</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Consolidated Balance Sheets as of December 31, 2022 and 2021</w:t>
            </w:r>
          </w:p>
        </w:tc>
        <w:tc>
          <w:tcPr>
            <w:tcW w:w="5500" w:type="dxa"/>
            <w:vAlign w:val="bottom"/>
            <w:gridSpan w:val="7"/>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71</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760" w:type="dxa"/>
            <w:vAlign w:val="bottom"/>
            <w:gridSpan w:val="8"/>
          </w:tcPr>
          <w:p>
            <w:pPr>
              <w:spacing w:after="0"/>
              <w:rPr>
                <w:sz w:val="20"/>
                <w:szCs w:val="20"/>
                <w:color w:val="auto"/>
              </w:rPr>
            </w:pPr>
            <w:r>
              <w:rPr>
                <w:rFonts w:ascii="Arial" w:cs="Arial" w:eastAsia="Arial" w:hAnsi="Arial"/>
                <w:sz w:val="18"/>
                <w:szCs w:val="18"/>
                <w:color w:val="auto"/>
                <w:w w:val="87"/>
              </w:rPr>
              <w:t>Consolidated Statements of Operations for the years ended December 31, 2022, 2021 and 2020</w:t>
            </w:r>
          </w:p>
        </w:tc>
        <w:tc>
          <w:tcPr>
            <w:tcW w:w="4160" w:type="dxa"/>
            <w:vAlign w:val="bottom"/>
            <w:gridSpan w:val="3"/>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73</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80" w:type="dxa"/>
            <w:vAlign w:val="bottom"/>
            <w:gridSpan w:val="10"/>
          </w:tcPr>
          <w:p>
            <w:pPr>
              <w:spacing w:after="0"/>
              <w:rPr>
                <w:sz w:val="20"/>
                <w:szCs w:val="20"/>
                <w:color w:val="auto"/>
              </w:rPr>
            </w:pPr>
            <w:r>
              <w:rPr>
                <w:rFonts w:ascii="Arial" w:cs="Arial" w:eastAsia="Arial" w:hAnsi="Arial"/>
                <w:sz w:val="18"/>
                <w:szCs w:val="18"/>
                <w:color w:val="auto"/>
                <w:w w:val="88"/>
              </w:rPr>
              <w:t>Consolidated Statements of Comprehensive Income for the years ended December 31, 2022, 2021 and 2020</w:t>
            </w:r>
          </w:p>
        </w:tc>
        <w:tc>
          <w:tcPr>
            <w:tcW w:w="3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74</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500" w:type="dxa"/>
            <w:vAlign w:val="bottom"/>
            <w:gridSpan w:val="7"/>
          </w:tcPr>
          <w:p>
            <w:pPr>
              <w:spacing w:after="0"/>
              <w:rPr>
                <w:sz w:val="20"/>
                <w:szCs w:val="20"/>
                <w:color w:val="auto"/>
              </w:rPr>
            </w:pPr>
            <w:r>
              <w:rPr>
                <w:rFonts w:ascii="Arial" w:cs="Arial" w:eastAsia="Arial" w:hAnsi="Arial"/>
                <w:sz w:val="18"/>
                <w:szCs w:val="18"/>
                <w:color w:val="auto"/>
                <w:w w:val="88"/>
              </w:rPr>
              <w:t>Consolidated Statements of Capital for the years ended December 31, 2022, 2021 and 2020</w:t>
            </w:r>
          </w:p>
        </w:tc>
        <w:tc>
          <w:tcPr>
            <w:tcW w:w="1180" w:type="dxa"/>
            <w:vAlign w:val="bottom"/>
            <w:gridSpan w:val="3"/>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75</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820" w:type="dxa"/>
            <w:vAlign w:val="bottom"/>
            <w:gridSpan w:val="9"/>
          </w:tcPr>
          <w:p>
            <w:pPr>
              <w:spacing w:after="0"/>
              <w:rPr>
                <w:sz w:val="20"/>
                <w:szCs w:val="20"/>
                <w:color w:val="auto"/>
              </w:rPr>
            </w:pPr>
            <w:r>
              <w:rPr>
                <w:rFonts w:ascii="Arial" w:cs="Arial" w:eastAsia="Arial" w:hAnsi="Arial"/>
                <w:sz w:val="18"/>
                <w:szCs w:val="18"/>
                <w:color w:val="auto"/>
                <w:w w:val="87"/>
              </w:rPr>
              <w:t>Consolidated Statements of Cash Flows for the years ended December 31, 2022, 2021 and 2020</w:t>
            </w:r>
          </w:p>
        </w:tc>
        <w:tc>
          <w:tcPr>
            <w:tcW w:w="4100" w:type="dxa"/>
            <w:vAlign w:val="bottom"/>
            <w:gridSpan w:val="2"/>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76</w:t>
            </w:r>
          </w:p>
        </w:tc>
      </w:tr>
      <w:tr>
        <w:trPr>
          <w:trHeight w:val="20"/>
        </w:trPr>
        <w:tc>
          <w:tcPr>
            <w:tcW w:w="20" w:type="dxa"/>
            <w:vAlign w:val="bottom"/>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820" w:type="dxa"/>
            <w:vAlign w:val="bottom"/>
            <w:gridSpan w:val="9"/>
          </w:tcPr>
          <w:p>
            <w:pPr>
              <w:spacing w:after="0"/>
              <w:rPr>
                <w:sz w:val="20"/>
                <w:szCs w:val="20"/>
                <w:color w:val="auto"/>
              </w:rPr>
            </w:pPr>
            <w:r>
              <w:rPr>
                <w:rFonts w:ascii="Arial" w:cs="Arial" w:eastAsia="Arial" w:hAnsi="Arial"/>
                <w:sz w:val="18"/>
                <w:szCs w:val="18"/>
                <w:color w:val="auto"/>
              </w:rPr>
              <w:t>Notes to Consolidated Financial Statements</w:t>
            </w:r>
          </w:p>
        </w:tc>
        <w:tc>
          <w:tcPr>
            <w:tcW w:w="4100" w:type="dxa"/>
            <w:vAlign w:val="bottom"/>
            <w:gridSpan w:val="2"/>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0000FF"/>
              </w:rPr>
              <w:t>79</w:t>
            </w:r>
          </w:p>
        </w:tc>
      </w:tr>
      <w:tr>
        <w:trPr>
          <w:trHeight w:val="245"/>
        </w:trPr>
        <w:tc>
          <w:tcPr>
            <w:tcW w:w="20" w:type="dxa"/>
            <w:vAlign w:val="bottom"/>
          </w:tcPr>
          <w:p>
            <w:pPr>
              <w:spacing w:after="0"/>
              <w:rPr>
                <w:sz w:val="21"/>
                <w:szCs w:val="21"/>
                <w:color w:val="auto"/>
              </w:rPr>
            </w:pPr>
          </w:p>
        </w:tc>
        <w:tc>
          <w:tcPr>
            <w:tcW w:w="3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Schedules</w:t>
            </w:r>
          </w:p>
        </w:tc>
        <w:tc>
          <w:tcPr>
            <w:tcW w:w="782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r>
      <w:tr>
        <w:trPr>
          <w:trHeight w:val="188"/>
        </w:trPr>
        <w:tc>
          <w:tcPr>
            <w:tcW w:w="20" w:type="dxa"/>
            <w:vAlign w:val="bottom"/>
          </w:tcPr>
          <w:p>
            <w:pPr>
              <w:spacing w:after="0"/>
              <w:rPr>
                <w:sz w:val="16"/>
                <w:szCs w:val="16"/>
                <w:color w:val="auto"/>
              </w:rPr>
            </w:pPr>
          </w:p>
        </w:tc>
        <w:tc>
          <w:tcPr>
            <w:tcW w:w="5860" w:type="dxa"/>
            <w:vAlign w:val="bottom"/>
            <w:tcBorders>
              <w:bottom w:val="single" w:sz="8" w:color="auto"/>
            </w:tcBorders>
            <w:gridSpan w:val="5"/>
          </w:tcPr>
          <w:p>
            <w:pPr>
              <w:spacing w:after="0" w:line="188" w:lineRule="exact"/>
              <w:rPr>
                <w:sz w:val="20"/>
                <w:szCs w:val="20"/>
                <w:color w:val="auto"/>
              </w:rPr>
            </w:pPr>
            <w:r>
              <w:rPr>
                <w:rFonts w:ascii="Arial" w:cs="Arial" w:eastAsia="Arial" w:hAnsi="Arial"/>
                <w:sz w:val="18"/>
                <w:szCs w:val="18"/>
                <w:color w:val="auto"/>
                <w:w w:val="88"/>
              </w:rPr>
              <w:t>Schedule III- Real Estate and Accumulated Depreciation as of December 31, 2022</w:t>
            </w:r>
          </w:p>
        </w:tc>
        <w:tc>
          <w:tcPr>
            <w:tcW w:w="5060" w:type="dxa"/>
            <w:vAlign w:val="bottom"/>
            <w:gridSpan w:val="6"/>
          </w:tcPr>
          <w:p>
            <w:pPr>
              <w:spacing w:after="0"/>
              <w:rPr>
                <w:sz w:val="16"/>
                <w:szCs w:val="16"/>
                <w:color w:val="auto"/>
              </w:rPr>
            </w:pPr>
          </w:p>
        </w:tc>
        <w:tc>
          <w:tcPr>
            <w:tcW w:w="260" w:type="dxa"/>
            <w:vAlign w:val="bottom"/>
            <w:tcBorders>
              <w:bottom w:val="single" w:sz="8" w:color="0000FF"/>
            </w:tcBorders>
            <w:gridSpan w:val="2"/>
          </w:tcPr>
          <w:p>
            <w:pPr>
              <w:jc w:val="right"/>
              <w:spacing w:after="0" w:line="188" w:lineRule="exact"/>
              <w:rPr>
                <w:sz w:val="20"/>
                <w:szCs w:val="20"/>
                <w:color w:val="auto"/>
              </w:rPr>
            </w:pPr>
            <w:r>
              <w:rPr>
                <w:rFonts w:ascii="Arial" w:cs="Arial" w:eastAsia="Arial" w:hAnsi="Arial"/>
                <w:sz w:val="18"/>
                <w:szCs w:val="18"/>
                <w:color w:val="0000FF"/>
                <w:w w:val="79"/>
              </w:rPr>
              <w:t>126</w:t>
            </w:r>
          </w:p>
        </w:tc>
      </w:tr>
      <w:tr>
        <w:trPr>
          <w:trHeight w:val="245"/>
        </w:trPr>
        <w:tc>
          <w:tcPr>
            <w:tcW w:w="20" w:type="dxa"/>
            <w:vAlign w:val="bottom"/>
          </w:tcPr>
          <w:p>
            <w:pPr>
              <w:spacing w:after="0"/>
              <w:rPr>
                <w:sz w:val="21"/>
                <w:szCs w:val="21"/>
                <w:color w:val="auto"/>
              </w:rPr>
            </w:pPr>
          </w:p>
        </w:tc>
        <w:tc>
          <w:tcPr>
            <w:tcW w:w="10920" w:type="dxa"/>
            <w:vAlign w:val="bottom"/>
            <w:gridSpan w:val="11"/>
          </w:tcPr>
          <w:p>
            <w:pPr>
              <w:spacing w:after="0"/>
              <w:rPr>
                <w:sz w:val="20"/>
                <w:szCs w:val="20"/>
                <w:color w:val="auto"/>
              </w:rPr>
            </w:pPr>
            <w:r>
              <w:rPr>
                <w:rFonts w:ascii="Arial" w:cs="Arial" w:eastAsia="Arial" w:hAnsi="Arial"/>
                <w:sz w:val="18"/>
                <w:szCs w:val="18"/>
                <w:color w:val="auto"/>
                <w:w w:val="96"/>
              </w:rPr>
              <w:t>All other schedules are omitted because they are not required or the required information is shown in the financial statements or notes thereto.</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06"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0" w:firstLine="3397"/>
        <w:spacing w:after="0" w:line="43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SL Green Realty Corp.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audited the accompanying consolidated balance sheets of SL Green Realty Corp. (the Company) as of December 31, 2022 and 2021, the related consolidated statements of operations, comprehensive income, equity and cash flows for each of the three years in the period ended December 31, 2022,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16, 2023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Joint Venture Consolidation Assessment</w:t>
      </w:r>
    </w:p>
    <w:p>
      <w:pPr>
        <w:sectPr>
          <w:pgSz w:w="11900" w:h="16838" w:orient="portrait"/>
          <w:cols w:equalWidth="0" w:num="1">
            <w:col w:w="11220"/>
          </w:cols>
          <w:pgMar w:left="320" w:top="127" w:right="359" w:bottom="1440" w:gutter="0" w:footer="0" w:header="0"/>
        </w:sectPr>
      </w:pPr>
    </w:p>
    <w:p>
      <w:pPr>
        <w:spacing w:after="0" w:line="65" w:lineRule="exact"/>
        <w:rPr>
          <w:sz w:val="20"/>
          <w:szCs w:val="20"/>
          <w:color w:val="auto"/>
        </w:rPr>
      </w:pPr>
    </w:p>
    <w:p>
      <w:pPr>
        <w:ind w:left="20" w:right="100"/>
        <w:spacing w:after="0" w:line="230"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line="25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accounted for certain investments in real estate joint ventures under the equity method of accounting and consolidated certain other investments in real estate joint ventures. At December 31, 2022, the Company’s investments in unconsolidated joint ventures was $3.2 billion and noncontrolling interests in consolidated other partnerships was $61.9 million. As discussed in Note 2 to the consolidated financial statements, for each joint venture, the Company evaluated the rights provided to each party in the venture to assess the consolidation of the venture.</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Auditing management’s joint venture consolidation analyses was complex and highly judgmental due to the subjectivity in assessing which activities most significantly impact a joint venture’s economic performance based on the purpose and design of the entity over the duration of its expected life and assessing which party has rights to direct those activities. We tested the Company’s controls over the assessment of joint venture consolidation. For example, we tested controls over management's review of the consolidation analyses for newly formed ventures as well as controls over management's identification of reconsideration events which could trigger modified consolidation conclusions for existing ventures.</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To test the Company’s consolidation assessment for real estate joint ventures, our procedures included, among others, reviewing new and amended joint venture agreements and discussing with management the nature of the rights conveyed to the Company through the joint venture agreements as well as the business purpose of the joint venture transactions. We reviewed management’s assessment of the activities that would most significantly impact the joint venture’s economic performance and evaluated whether the joint venture agreements provided participating or protective rights to the Company. We also evaluated transactions with the joint ventures for events which would require a reconsideration of previous consolidation conclusions.</w:t>
      </w:r>
    </w:p>
    <w:p>
      <w:pPr>
        <w:spacing w:after="0" w:line="200" w:lineRule="exact"/>
        <w:rPr>
          <w:sz w:val="20"/>
          <w:szCs w:val="20"/>
          <w:color w:val="auto"/>
        </w:rPr>
      </w:pPr>
    </w:p>
    <w:p>
      <w:pPr>
        <w:sectPr>
          <w:pgSz w:w="11900" w:h="16838" w:orient="portrait"/>
          <w:cols w:equalWidth="0" w:num="2">
            <w:col w:w="1400" w:space="200"/>
            <w:col w:w="9620"/>
          </w:cols>
          <w:pgMar w:left="320" w:top="127" w:right="359" w:bottom="1440" w:gutter="0" w:footer="0" w:header="0"/>
          <w:type w:val="continuous"/>
        </w:sectPr>
      </w:pP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74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7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Commercial real estate properties, at cost:</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Land and land interests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1,576,927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1,350,701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Building and improvements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4,903,776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3,671,402</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Building leasehold and improvements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1,691,831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1,645,081</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Right of use asset - operating leases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1,026,265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983,723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9,198,799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7,650,907</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(2,039,554)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(1,896,199)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7,159,245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5,754,708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140,855</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180,781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85,567</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Investments in marketable securities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Tenant and other receivables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34,497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47,616</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Related party receivables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Deferred rents receivable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257,887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248,313</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460" w:type="dxa"/>
            <w:vAlign w:val="bottom"/>
            <w:gridSpan w:val="3"/>
            <w:shd w:val="clear" w:color="auto" w:fill="CCEEFF"/>
          </w:tcPr>
          <w:p>
            <w:pPr>
              <w:spacing w:after="0" w:line="165" w:lineRule="exact"/>
              <w:rPr>
                <w:sz w:val="20"/>
                <w:szCs w:val="20"/>
                <w:color w:val="auto"/>
              </w:rPr>
            </w:pPr>
            <w:r>
              <w:rPr>
                <w:rFonts w:ascii="Arial" w:cs="Arial" w:eastAsia="Arial" w:hAnsi="Arial"/>
                <w:sz w:val="16"/>
                <w:szCs w:val="16"/>
                <w:color w:val="auto"/>
                <w:w w:val="94"/>
              </w:rPr>
              <w:t>Debt and preferred equity investments, net of discounts and deferred origination fees of $1,811 and $5,057 and</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623,280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1,088,723</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746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allowances of $6,630 and $6,630 in 2022 and 2021, respectively</w:t>
            </w:r>
          </w:p>
        </w:tc>
        <w:tc>
          <w:tcPr>
            <w:tcW w:w="180" w:type="dxa"/>
            <w:vAlign w:val="bottom"/>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shd w:val="clear" w:color="auto" w:fill="CCEEFF"/>
          </w:tcPr>
          <w:p>
            <w:pPr>
              <w:spacing w:after="0"/>
              <w:rPr>
                <w:sz w:val="7"/>
                <w:szCs w:val="7"/>
                <w:color w:val="auto"/>
              </w:rPr>
            </w:pPr>
          </w:p>
        </w:tc>
        <w:tc>
          <w:tcPr>
            <w:tcW w:w="7460" w:type="dxa"/>
            <w:vAlign w:val="bottom"/>
            <w:gridSpan w:val="3"/>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3,190,137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2,997,934</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costs,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124,495</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546,945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262,841</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gridSpan w:val="3"/>
            <w:shd w:val="clear" w:color="auto" w:fill="CCEEFF"/>
          </w:tcPr>
          <w:p>
            <w:pPr>
              <w:ind w:left="120"/>
              <w:spacing w:after="0" w:line="208"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0"/>
                <w:szCs w:val="20"/>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12,355,794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11,066,629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3"/>
            <w:vMerge w:val="restart"/>
          </w:tcPr>
          <w:p>
            <w:pPr>
              <w:spacing w:after="0" w:line="160" w:lineRule="exact"/>
              <w:rPr>
                <w:sz w:val="20"/>
                <w:szCs w:val="20"/>
                <w:color w:val="auto"/>
              </w:rPr>
            </w:pPr>
            <w:r>
              <w:rPr>
                <w:rFonts w:ascii="Arial" w:cs="Arial" w:eastAsia="Arial" w:hAnsi="Arial"/>
                <w:sz w:val="16"/>
                <w:szCs w:val="16"/>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74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Mortgages and other loans payable,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3,227,563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1,394,386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Revolving credit facility,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443,217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381,334</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Unsecured term loans,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1,641,552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1,242,002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Unsecured notes,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99,692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899,308</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236,211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195,390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154,867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272,248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107,275</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 liability - financing leases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104,218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Lease liability - operating leases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895,100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851,370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Dividend and distributions payable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Security deposits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50,472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52,309</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related to assets held for sale</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64,120</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Junior subordinated deferrable interest debentures held by trusts that issued trust preferred securities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ind w:left="120"/>
              <w:spacing w:after="0" w:line="208" w:lineRule="exact"/>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7,260,936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5,748,049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Noncontrolling interests in Operating Partnership</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269,993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Preferred units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177,943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196,075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56"/>
        </w:trPr>
        <w:tc>
          <w:tcPr>
            <w:tcW w:w="7480" w:type="dxa"/>
            <w:vAlign w:val="bottom"/>
            <w:tcBorders>
              <w:top w:val="single" w:sz="8" w:color="CCEEFF"/>
              <w:left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Equity</w:t>
            </w:r>
          </w:p>
        </w:tc>
        <w:tc>
          <w:tcPr>
            <w:tcW w:w="18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CCEEFF"/>
            </w:tcBorders>
            <w:shd w:val="clear" w:color="auto" w:fill="000000"/>
          </w:tcPr>
          <w:p>
            <w:pPr>
              <w:spacing w:after="0"/>
              <w:rPr>
                <w:sz w:val="3"/>
                <w:szCs w:val="3"/>
                <w:color w:val="auto"/>
              </w:rPr>
            </w:pPr>
          </w:p>
        </w:tc>
        <w:tc>
          <w:tcPr>
            <w:tcW w:w="70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SL Green stockholders' equity:</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80" w:type="dxa"/>
            <w:vAlign w:val="bottom"/>
            <w:tcBorders>
              <w:left w:val="single" w:sz="8" w:color="CCEEFF"/>
            </w:tcBorders>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w w:val="95"/>
              </w:rPr>
              <w:t>Series I Preferred Stock, $0.01 par value, $25.00 liquidation preference, 9,200 issued and outstanding at both</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221,932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221,932</w:t>
            </w:r>
          </w:p>
        </w:tc>
        <w:tc>
          <w:tcPr>
            <w:tcW w:w="0" w:type="dxa"/>
            <w:vAlign w:val="bottom"/>
          </w:tcPr>
          <w:p>
            <w:pPr>
              <w:spacing w:after="0"/>
              <w:rPr>
                <w:sz w:val="1"/>
                <w:szCs w:val="1"/>
                <w:color w:val="auto"/>
              </w:rPr>
            </w:pPr>
          </w:p>
        </w:tc>
      </w:tr>
      <w:tr>
        <w:trPr>
          <w:trHeight w:val="210"/>
        </w:trPr>
        <w:tc>
          <w:tcPr>
            <w:tcW w:w="74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2022 and 2021</w:t>
            </w: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480" w:type="dxa"/>
            <w:vAlign w:val="bottom"/>
            <w:gridSpan w:val="2"/>
          </w:tcPr>
          <w:p>
            <w:pPr>
              <w:ind w:left="20"/>
              <w:spacing w:after="0" w:line="163" w:lineRule="exact"/>
              <w:rPr>
                <w:sz w:val="20"/>
                <w:szCs w:val="20"/>
                <w:color w:val="auto"/>
              </w:rPr>
            </w:pPr>
            <w:r>
              <w:rPr>
                <w:rFonts w:ascii="Arial" w:cs="Arial" w:eastAsia="Arial" w:hAnsi="Arial"/>
                <w:sz w:val="16"/>
                <w:szCs w:val="16"/>
                <w:color w:val="auto"/>
                <w:w w:val="95"/>
              </w:rPr>
              <w:t>Common stock, $0.01 par value, 160,000 shares authorized and 65,440 and 65,132 issued and outstanding at</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480" w:type="dxa"/>
            <w:vAlign w:val="bottom"/>
            <w:gridSpan w:val="2"/>
          </w:tcPr>
          <w:p>
            <w:pPr>
              <w:ind w:left="20"/>
              <w:spacing w:after="0" w:line="160" w:lineRule="exact"/>
              <w:rPr>
                <w:sz w:val="20"/>
                <w:szCs w:val="20"/>
                <w:color w:val="auto"/>
              </w:rPr>
            </w:pPr>
            <w:r>
              <w:rPr>
                <w:rFonts w:ascii="Arial" w:cs="Arial" w:eastAsia="Arial" w:hAnsi="Arial"/>
                <w:sz w:val="16"/>
                <w:szCs w:val="16"/>
                <w:color w:val="auto"/>
                <w:w w:val="89"/>
              </w:rPr>
              <w:t>December 31, 2022 and 2021, respectively (including 1,060 and 1,027 shares held in treasury at December 31, 2022</w:t>
            </w:r>
          </w:p>
        </w:tc>
        <w:tc>
          <w:tcPr>
            <w:tcW w:w="18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07"/>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and 2021, respectively)</w:t>
            </w: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Additional paid-in-capital</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3,790,358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3,739,409</w:t>
            </w:r>
          </w:p>
        </w:tc>
        <w:tc>
          <w:tcPr>
            <w:tcW w:w="0" w:type="dxa"/>
            <w:vAlign w:val="bottom"/>
          </w:tcPr>
          <w:p>
            <w:pPr>
              <w:spacing w:after="0"/>
              <w:rPr>
                <w:sz w:val="1"/>
                <w:szCs w:val="1"/>
                <w:color w:val="auto"/>
              </w:rPr>
            </w:pPr>
          </w:p>
        </w:tc>
      </w:tr>
      <w:tr>
        <w:trPr>
          <w:trHeight w:val="211"/>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Treasury stock at cost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(128,655)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(126,160)</w:t>
            </w:r>
          </w:p>
        </w:tc>
        <w:tc>
          <w:tcPr>
            <w:tcW w:w="0" w:type="dxa"/>
            <w:vAlign w:val="bottom"/>
          </w:tcPr>
          <w:p>
            <w:pPr>
              <w:spacing w:after="0"/>
              <w:rPr>
                <w:sz w:val="1"/>
                <w:szCs w:val="1"/>
                <w:color w:val="auto"/>
              </w:rPr>
            </w:pPr>
          </w:p>
        </w:tc>
      </w:tr>
      <w:tr>
        <w:trPr>
          <w:trHeight w:val="215"/>
        </w:trPr>
        <w:tc>
          <w:tcPr>
            <w:tcW w:w="74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(46,758)</w:t>
            </w:r>
          </w:p>
        </w:tc>
        <w:tc>
          <w:tcPr>
            <w:tcW w:w="0" w:type="dxa"/>
            <w:vAlign w:val="bottom"/>
          </w:tcPr>
          <w:p>
            <w:pPr>
              <w:spacing w:after="0"/>
              <w:rPr>
                <w:sz w:val="1"/>
                <w:szCs w:val="1"/>
                <w:color w:val="auto"/>
              </w:rPr>
            </w:pPr>
          </w:p>
        </w:tc>
      </w:tr>
      <w:tr>
        <w:trPr>
          <w:trHeight w:val="211"/>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651,138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975,781</w:t>
            </w:r>
          </w:p>
        </w:tc>
        <w:tc>
          <w:tcPr>
            <w:tcW w:w="0" w:type="dxa"/>
            <w:vAlign w:val="bottom"/>
          </w:tcPr>
          <w:p>
            <w:pPr>
              <w:spacing w:after="0"/>
              <w:rPr>
                <w:sz w:val="1"/>
                <w:szCs w:val="1"/>
                <w:color w:val="auto"/>
              </w:rPr>
            </w:pPr>
          </w:p>
        </w:tc>
      </w:tr>
      <w:tr>
        <w:trPr>
          <w:trHeight w:val="209"/>
        </w:trPr>
        <w:tc>
          <w:tcPr>
            <w:tcW w:w="74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SL Green stockholders' equity</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4,585,033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4,764,876</w:t>
            </w:r>
          </w:p>
        </w:tc>
        <w:tc>
          <w:tcPr>
            <w:tcW w:w="0" w:type="dxa"/>
            <w:vAlign w:val="bottom"/>
          </w:tcPr>
          <w:p>
            <w:pPr>
              <w:spacing w:after="0"/>
              <w:rPr>
                <w:sz w:val="1"/>
                <w:szCs w:val="1"/>
                <w:color w:val="auto"/>
              </w:rPr>
            </w:pPr>
          </w:p>
        </w:tc>
      </w:tr>
      <w:tr>
        <w:trPr>
          <w:trHeight w:val="211"/>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Noncontrolling interests in other partnerships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13,377</w:t>
            </w:r>
          </w:p>
        </w:tc>
        <w:tc>
          <w:tcPr>
            <w:tcW w:w="0" w:type="dxa"/>
            <w:vAlign w:val="bottom"/>
          </w:tcPr>
          <w:p>
            <w:pPr>
              <w:spacing w:after="0"/>
              <w:rPr>
                <w:sz w:val="1"/>
                <w:szCs w:val="1"/>
                <w:color w:val="auto"/>
              </w:rPr>
            </w:pPr>
          </w:p>
        </w:tc>
      </w:tr>
      <w:tr>
        <w:trPr>
          <w:trHeight w:val="206"/>
        </w:trPr>
        <w:tc>
          <w:tcPr>
            <w:tcW w:w="748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4,646,922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4,778,253</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2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12,355,794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11,066,629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20" w:right="20" w:firstLine="4"/>
        <w:spacing w:after="0" w:line="223" w:lineRule="auto"/>
        <w:tabs>
          <w:tab w:leader="none" w:pos="173" w:val="left"/>
        </w:tabs>
        <w:numPr>
          <w:ilvl w:val="0"/>
          <w:numId w:val="39"/>
        </w:numPr>
        <w:rPr>
          <w:rFonts w:ascii="Arial" w:cs="Arial" w:eastAsia="Arial" w:hAnsi="Arial"/>
          <w:sz w:val="17"/>
          <w:szCs w:val="17"/>
          <w:color w:val="auto"/>
          <w:vertAlign w:val="superscript"/>
        </w:rPr>
      </w:pPr>
      <w:r>
        <w:rPr>
          <w:rFonts w:ascii="Arial" w:cs="Arial" w:eastAsia="Arial" w:hAnsi="Arial"/>
          <w:sz w:val="13"/>
          <w:szCs w:val="13"/>
          <w:color w:val="auto"/>
        </w:rPr>
        <w:t>The Company's consolidated balance sheets include assets and liabilities of consolidated variable interest entities ("VIEs"). See Note 2. The consolidated balance sheets include the following amounts related to our consolidated VIEs, excluding the Operating Partnership: $41.2 million and $193.4 million of land, $41.0 million and $336.9 million of building and improvements, $— million and $— million of building and leasehold improvements, $— million and $15.4 million of right of use assets, $4.4 million and $11.7 million of accumulated depreciation, $599.2 million and $574.4 million of other assets included in other line items, $49.8 million and $418.9 million of real estate debt, net, $0.2 million and $0.8 million of accrued interest payable, $— million and $15.3 million of lease liabilities, and $146.4 million and $145.2 million of other liabilities included in other line items as of December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9"/>
              </w:rPr>
              <w:t>Year Ended 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7"/>
        </w:trPr>
        <w:tc>
          <w:tcPr>
            <w:tcW w:w="63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Rental revenue, net</w:t>
            </w:r>
          </w:p>
        </w:tc>
        <w:tc>
          <w:tcPr>
            <w:tcW w:w="960" w:type="dxa"/>
            <w:vAlign w:val="bottom"/>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86"/>
              </w:rPr>
              <w:t>671,500</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678,176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804,423</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120,163</w:t>
            </w: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74,126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85,475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128,158</w:t>
            </w:r>
          </w:p>
        </w:tc>
      </w:tr>
      <w:tr>
        <w:trPr>
          <w:trHeight w:val="209"/>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826,739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843,991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1,052,744</w:t>
            </w:r>
          </w:p>
        </w:tc>
      </w:tr>
      <w:tr>
        <w:trPr>
          <w:trHeight w:val="191"/>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5"/>
        </w:trPr>
        <w:tc>
          <w:tcPr>
            <w:tcW w:w="63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5"/>
              </w:rPr>
              <w:t>Operating expenses, including related party expenses of $5,701 in 2022, $12,377 in 2021 and</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b w:val="1"/>
                <w:bCs w:val="1"/>
                <w:color w:val="auto"/>
                <w:w w:val="86"/>
              </w:rPr>
              <w:t>174,063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167,153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183,200</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$12,643 in 2020</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Real estate taxes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86"/>
              </w:rPr>
              <w:t>138,228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152,835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176,315</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29,043</w:t>
            </w: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Interest expense, net of interest income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89,473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70,891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116,679</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11,794</w:t>
            </w: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86"/>
              </w:rPr>
              <w:t>215,306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216,869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313,668</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 loss and other investment reserves, net of recoveries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35,298</w:t>
            </w: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Transaction related costs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general and administrative</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93,798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94,912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91,826</w:t>
            </w:r>
          </w:p>
        </w:tc>
      </w:tr>
      <w:tr>
        <w:trPr>
          <w:trHeight w:val="204"/>
        </w:trPr>
        <w:tc>
          <w:tcPr>
            <w:tcW w:w="6360" w:type="dxa"/>
            <w:vAlign w:val="bottom"/>
          </w:tcPr>
          <w:p>
            <w:pPr>
              <w:ind w:left="140"/>
              <w:spacing w:after="0"/>
              <w:rPr>
                <w:sz w:val="20"/>
                <w:szCs w:val="20"/>
                <w:color w:val="auto"/>
              </w:rPr>
            </w:pPr>
            <w:r>
              <w:rPr>
                <w:rFonts w:ascii="Arial" w:cs="Arial" w:eastAsia="Arial" w:hAnsi="Arial"/>
                <w:sz w:val="16"/>
                <w:szCs w:val="16"/>
                <w:color w:val="auto"/>
              </w:rPr>
              <w:t>Total expenses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86"/>
              </w:rPr>
              <w:t>746,037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747,342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958,326</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loss from unconsolidated joint ventures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(57,958)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(25,195)</w:t>
            </w: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Equity in net (loss) gain on sale of interest in unconsolidated joint venture/real estate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2,961</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 and other fair value adjustments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187,522</w:t>
            </w: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(Loss) gain on sale of real estate,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0"/>
              </w:rPr>
              <w:t>(84,485)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287,417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215,506</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Depreciable real estate reserves and impairments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(60,454)</w:t>
            </w: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on early extinguishment of debt</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(76,303)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414,758</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in the Operating Partnership</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(20,016)</w:t>
            </w: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Noncontrolling interests in other partnerships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(1,122)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(14,940)</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units distributions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(6,443)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(8,747)</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Net (loss) income attributable to SL Green</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0"/>
              </w:rPr>
              <w:t>(78,074)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449,754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371,055</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Perpetual preferred stock dividends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(14,950)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(14,950)</w:t>
            </w: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Net (loss) income attributable to SL Green common stockholders</w:t>
            </w:r>
          </w:p>
        </w:tc>
        <w:tc>
          <w:tcPr>
            <w:tcW w:w="960" w:type="dxa"/>
            <w:vAlign w:val="bottom"/>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0"/>
              </w:rPr>
              <w:t>(93,024)</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434,804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356,105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6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Basic (loss) earnings per share</w:t>
            </w:r>
          </w:p>
        </w:tc>
        <w:tc>
          <w:tcPr>
            <w:tcW w:w="960" w:type="dxa"/>
            <w:vAlign w:val="bottom"/>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(loss) earnings per share</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r>
      <w:tr>
        <w:trPr>
          <w:trHeight w:val="253"/>
        </w:trPr>
        <w:tc>
          <w:tcPr>
            <w:tcW w:w="6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63,917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70,397</w:t>
            </w:r>
          </w:p>
        </w:tc>
      </w:tr>
      <w:tr>
        <w:trPr>
          <w:trHeight w:val="208"/>
        </w:trPr>
        <w:tc>
          <w:tcPr>
            <w:tcW w:w="6360" w:type="dxa"/>
            <w:vAlign w:val="bottom"/>
          </w:tcPr>
          <w:p>
            <w:pPr>
              <w:ind w:left="20"/>
              <w:spacing w:after="0"/>
              <w:rPr>
                <w:sz w:val="20"/>
                <w:szCs w:val="20"/>
                <w:color w:val="auto"/>
              </w:rPr>
            </w:pPr>
            <w:r>
              <w:rPr>
                <w:rFonts w:ascii="Arial" w:cs="Arial" w:eastAsia="Arial" w:hAnsi="Arial"/>
                <w:sz w:val="16"/>
                <w:szCs w:val="16"/>
                <w:color w:val="auto"/>
              </w:rPr>
              <w:t>Diluted weighted average common shares and common share equivalents outstanding</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67,929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75,078</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9"/>
              </w:rPr>
              <w:t>Year Ended 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(76,303)</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414,758</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3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3"/>
              </w:rPr>
              <w:t>Increase (decrease) in unrealized value of derivative instruments, including SL Green's share of</w:t>
            </w:r>
          </w:p>
        </w:tc>
        <w:tc>
          <w:tcPr>
            <w:tcW w:w="9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103,629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21,427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(39,743)</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derivative instruments</w:t>
            </w:r>
          </w:p>
        </w:tc>
        <w:tc>
          <w:tcPr>
            <w:tcW w:w="9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(Decrease) increase in unrealized value of marketable securities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102,189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(41,061)</w:t>
            </w:r>
          </w:p>
        </w:tc>
        <w:tc>
          <w:tcPr>
            <w:tcW w:w="0" w:type="dxa"/>
            <w:vAlign w:val="bottom"/>
          </w:tcPr>
          <w:p>
            <w:pPr>
              <w:spacing w:after="0"/>
              <w:rPr>
                <w:sz w:val="1"/>
                <w:szCs w:val="1"/>
                <w:color w:val="auto"/>
              </w:rPr>
            </w:pP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25,886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502,163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373,697</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 and preferred units distributions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(43,703)</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attributable to noncontrolling interests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(5,827)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SL Green</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18,288</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332,293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77"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SL Green Realty Corp.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30480</wp:posOffset>
            </wp:positionV>
            <wp:extent cx="39306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30650" cy="8255"/>
                    </a:xfrm>
                    <a:prstGeom prst="rect">
                      <a:avLst/>
                    </a:prstGeom>
                    <a:noFill/>
                  </pic:spPr>
                </pic:pic>
              </a:graphicData>
            </a:graphic>
          </wp:anchor>
        </w:drawing>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25400</wp:posOffset>
            </wp:positionV>
            <wp:extent cx="8451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6"/>
              </w:rPr>
              <w:t>Series I</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Par</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5"/>
              </w:rPr>
              <w:t>Treasury</w:t>
            </w: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w w:val="89"/>
              </w:rPr>
              <w:t>Preferred</w:t>
            </w:r>
          </w:p>
        </w:tc>
        <w:tc>
          <w:tcPr>
            <w:tcW w:w="8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w w:val="89"/>
              </w:rPr>
              <w:t>Paid-</w:t>
            </w: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1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Stock</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In-Capital</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79"/>
              </w:rPr>
              <w:t>Stock</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Income (Loss)</w:t>
            </w: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221,932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4,286,395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(124,049)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center"/>
              <w:ind w:left="401"/>
              <w:spacing w:after="0"/>
              <w:rPr>
                <w:sz w:val="20"/>
                <w:szCs w:val="20"/>
                <w:color w:val="auto"/>
              </w:rPr>
            </w:pPr>
            <w:r>
              <w:rPr>
                <w:rFonts w:ascii="Arial" w:cs="Arial" w:eastAsia="Arial" w:hAnsi="Arial"/>
                <w:sz w:val="12"/>
                <w:szCs w:val="12"/>
                <w:color w:val="auto"/>
                <w:w w:val="93"/>
              </w:rPr>
              <w:t>(28,485)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1,084,719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5,517,198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Arial" w:cs="Arial" w:eastAsia="Arial" w:hAnsi="Arial"/>
                <w:sz w:val="12"/>
                <w:szCs w:val="12"/>
                <w:color w:val="auto"/>
              </w:rPr>
              <w:t>Cumulative adjustment upon adoption of ASC</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326</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(39,184)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(39,184)</w:t>
            </w:r>
          </w:p>
        </w:tc>
        <w:tc>
          <w:tcPr>
            <w:tcW w:w="0" w:type="dxa"/>
            <w:vAlign w:val="bottom"/>
          </w:tcPr>
          <w:p>
            <w:pPr>
              <w:spacing w:after="0"/>
              <w:rPr>
                <w:sz w:val="1"/>
                <w:szCs w:val="1"/>
                <w:color w:val="auto"/>
              </w:rPr>
            </w:pPr>
          </w:p>
        </w:tc>
      </w:tr>
      <w:tr>
        <w:trPr>
          <w:trHeight w:val="173"/>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221,932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4,286,395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center"/>
              <w:ind w:left="401"/>
              <w:spacing w:after="0"/>
              <w:rPr>
                <w:sz w:val="20"/>
                <w:szCs w:val="20"/>
                <w:color w:val="auto"/>
              </w:rPr>
            </w:pPr>
            <w:r>
              <w:rPr>
                <w:rFonts w:ascii="Arial" w:cs="Arial" w:eastAsia="Arial" w:hAnsi="Arial"/>
                <w:sz w:val="12"/>
                <w:szCs w:val="12"/>
                <w:color w:val="auto"/>
                <w:w w:val="93"/>
              </w:rPr>
              <w:t>(28,485)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1,045,535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5,478,014</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371,055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14,940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385,995</w:t>
            </w: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Acquisition of subsidiary interest from noncontrolling</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(1,536)</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left="401"/>
              <w:spacing w:after="0"/>
              <w:rPr>
                <w:sz w:val="20"/>
                <w:szCs w:val="20"/>
                <w:color w:val="auto"/>
              </w:rPr>
            </w:pPr>
            <w:r>
              <w:rPr>
                <w:rFonts w:ascii="Arial" w:cs="Arial" w:eastAsia="Arial" w:hAnsi="Arial"/>
                <w:sz w:val="12"/>
                <w:szCs w:val="12"/>
                <w:color w:val="auto"/>
                <w:w w:val="93"/>
              </w:rPr>
              <w:t>(38,762)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(38,762)</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dividends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(14,950)</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DRSPP proceeds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1,006</w:t>
            </w: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Conversion of units in the Operating Partnership for</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Arial" w:cs="Arial" w:eastAsia="Arial" w:hAnsi="Arial"/>
                <w:sz w:val="12"/>
                <w:szCs w:val="12"/>
                <w:color w:val="auto"/>
              </w:rPr>
              <w:t>Reallocation of noncontrolling interest in the Operating</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160" w:type="dxa"/>
            <w:vAlign w:val="bottom"/>
          </w:tcPr>
          <w:p>
            <w:pPr>
              <w:ind w:left="20"/>
              <w:spacing w:after="0"/>
              <w:rPr>
                <w:sz w:val="20"/>
                <w:szCs w:val="20"/>
                <w:color w:val="auto"/>
              </w:rPr>
            </w:pPr>
            <w:r>
              <w:rPr>
                <w:rFonts w:ascii="Arial" w:cs="Arial" w:eastAsia="Arial" w:hAnsi="Arial"/>
                <w:sz w:val="12"/>
                <w:szCs w:val="12"/>
                <w:color w:val="auto"/>
              </w:rPr>
              <w:t>Partnership</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32,598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32,598</w:t>
            </w: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Deferred compensation plan and stock awards, net of</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forfeitures and tax withholdings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25,271</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Repurchases of common stock</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(455,343)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(76,831)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(532,262)</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to consolidated joint venture interests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12,477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12,477</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Cash distributions to noncontrolling interests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(78,855)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(78,855)</w:t>
            </w: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Cash distributions declared ($4.9374 per common share,</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none of which represented a return of capital for federal</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purposes)</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(341,945)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(341,945)</w:t>
            </w:r>
          </w:p>
        </w:tc>
        <w:tc>
          <w:tcPr>
            <w:tcW w:w="0" w:type="dxa"/>
            <w:vAlign w:val="bottom"/>
          </w:tcPr>
          <w:p>
            <w:pPr>
              <w:spacing w:after="0"/>
              <w:rPr>
                <w:sz w:val="1"/>
                <w:szCs w:val="1"/>
                <w:color w:val="auto"/>
              </w:rPr>
            </w:pPr>
          </w:p>
        </w:tc>
      </w:tr>
      <w:tr>
        <w:trPr>
          <w:trHeight w:val="158"/>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221,932</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66,474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716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3,862,949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(124,049)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center"/>
              <w:ind w:left="401"/>
              <w:spacing w:after="0"/>
              <w:rPr>
                <w:sz w:val="20"/>
                <w:szCs w:val="20"/>
                <w:color w:val="auto"/>
              </w:rPr>
            </w:pPr>
            <w:r>
              <w:rPr>
                <w:rFonts w:ascii="Arial" w:cs="Arial" w:eastAsia="Arial" w:hAnsi="Arial"/>
                <w:sz w:val="12"/>
                <w:szCs w:val="12"/>
                <w:color w:val="auto"/>
                <w:w w:val="93"/>
              </w:rPr>
              <w:t>(67,247)</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1,015,462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26,032</w:t>
            </w:r>
          </w:p>
        </w:tc>
        <w:tc>
          <w:tcPr>
            <w:tcW w:w="100" w:type="dxa"/>
            <w:vAlign w:val="bottom"/>
          </w:tcPr>
          <w:p>
            <w:pPr>
              <w:spacing w:after="0"/>
              <w:rPr>
                <w:sz w:val="13"/>
                <w:szCs w:val="13"/>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4,935,795</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449,754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447,870</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left="401"/>
              <w:spacing w:after="0"/>
              <w:rPr>
                <w:sz w:val="20"/>
                <w:szCs w:val="20"/>
                <w:color w:val="auto"/>
              </w:rPr>
            </w:pPr>
            <w:r>
              <w:rPr>
                <w:rFonts w:ascii="Arial" w:cs="Arial" w:eastAsia="Arial" w:hAnsi="Arial"/>
                <w:sz w:val="12"/>
                <w:szCs w:val="12"/>
                <w:color w:val="auto"/>
                <w:w w:val="92"/>
              </w:rPr>
              <w:t>20,489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20,489</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dividends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(14,950)</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DRSPP proceeds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738</w:t>
            </w: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Reallocation of noncontrolling interest in the Operating</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Partnership</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Arial" w:cs="Arial" w:eastAsia="Arial" w:hAnsi="Arial"/>
                <w:sz w:val="12"/>
                <w:szCs w:val="12"/>
                <w:color w:val="auto"/>
              </w:rPr>
              <w:t>Deferred compensation plan and stock awards, net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160" w:type="dxa"/>
            <w:vAlign w:val="bottom"/>
          </w:tcPr>
          <w:p>
            <w:pPr>
              <w:ind w:left="20"/>
              <w:spacing w:after="0"/>
              <w:rPr>
                <w:sz w:val="20"/>
                <w:szCs w:val="20"/>
                <w:color w:val="auto"/>
              </w:rPr>
            </w:pPr>
            <w:r>
              <w:rPr>
                <w:rFonts w:ascii="Arial" w:cs="Arial" w:eastAsia="Arial" w:hAnsi="Arial"/>
                <w:sz w:val="12"/>
                <w:szCs w:val="12"/>
                <w:color w:val="auto"/>
              </w:rPr>
              <w:t>forfeitures and tax withholdings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32,581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32,583</w:t>
            </w:r>
          </w:p>
        </w:tc>
        <w:tc>
          <w:tcPr>
            <w:tcW w:w="0" w:type="dxa"/>
            <w:vAlign w:val="bottom"/>
          </w:tcPr>
          <w:p>
            <w:pPr>
              <w:spacing w:after="0"/>
              <w:rPr>
                <w:sz w:val="1"/>
                <w:szCs w:val="1"/>
                <w:color w:val="auto"/>
              </w:rPr>
            </w:pPr>
          </w:p>
        </w:tc>
      </w:tr>
      <w:tr>
        <w:trPr>
          <w:trHeight w:val="182"/>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Repurchases of common stock</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(281,206)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(337,624)</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Proceeds from stock options exercised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to consolidated joint venture interests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Sale of interest in partially owned entity</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(4,476)</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distributions to noncontrolling interests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Arial" w:cs="Arial" w:eastAsia="Arial" w:hAnsi="Arial"/>
                <w:sz w:val="12"/>
                <w:szCs w:val="12"/>
                <w:color w:val="auto"/>
              </w:rPr>
              <w:t>Issuance of special dividend paid in</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160" w:type="dxa"/>
            <w:vAlign w:val="bottom"/>
          </w:tcPr>
          <w:p>
            <w:pPr>
              <w:ind w:left="20"/>
              <w:spacing w:after="0"/>
              <w:rPr>
                <w:sz w:val="20"/>
                <w:szCs w:val="20"/>
                <w:color w:val="auto"/>
              </w:rPr>
            </w:pPr>
            <w:r>
              <w:rPr>
                <w:rFonts w:ascii="Arial" w:cs="Arial" w:eastAsia="Arial" w:hAnsi="Arial"/>
                <w:sz w:val="12"/>
                <w:szCs w:val="12"/>
                <w:color w:val="auto"/>
              </w:rPr>
              <w:t>stock</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123,529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123,529</w:t>
            </w: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Cash distributions declared ($6.2729 per common share,</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none of which represented a return of capital for federal</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purposes)</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(410,373)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(410,373)</w:t>
            </w:r>
          </w:p>
        </w:tc>
        <w:tc>
          <w:tcPr>
            <w:tcW w:w="0" w:type="dxa"/>
            <w:vAlign w:val="bottom"/>
          </w:tcPr>
          <w:p>
            <w:pPr>
              <w:spacing w:after="0"/>
              <w:rPr>
                <w:sz w:val="1"/>
                <w:szCs w:val="1"/>
                <w:color w:val="auto"/>
              </w:rPr>
            </w:pPr>
          </w:p>
        </w:tc>
      </w:tr>
      <w:tr>
        <w:trPr>
          <w:trHeight w:val="158"/>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221,932</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64,105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672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3,739,409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(126,160)</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center"/>
              <w:ind w:left="401"/>
              <w:spacing w:after="0"/>
              <w:rPr>
                <w:sz w:val="20"/>
                <w:szCs w:val="20"/>
                <w:color w:val="auto"/>
              </w:rPr>
            </w:pPr>
            <w:r>
              <w:rPr>
                <w:rFonts w:ascii="Arial" w:cs="Arial" w:eastAsia="Arial" w:hAnsi="Arial"/>
                <w:sz w:val="12"/>
                <w:szCs w:val="12"/>
                <w:color w:val="auto"/>
                <w:w w:val="93"/>
              </w:rPr>
              <w:t>(46,758)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975,781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13,377</w:t>
            </w:r>
          </w:p>
        </w:tc>
        <w:tc>
          <w:tcPr>
            <w:tcW w:w="100" w:type="dxa"/>
            <w:vAlign w:val="bottom"/>
          </w:tcPr>
          <w:p>
            <w:pPr>
              <w:spacing w:after="0"/>
              <w:rPr>
                <w:sz w:val="13"/>
                <w:szCs w:val="13"/>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4,778,253</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(78,074)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(76,952)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Arial" w:cs="Arial" w:eastAsia="Arial" w:hAnsi="Arial"/>
                <w:sz w:val="12"/>
                <w:szCs w:val="12"/>
                <w:color w:val="auto"/>
              </w:rPr>
              <w:t>Acquisition of subsidiary interest from noncontrolling</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160" w:type="dxa"/>
            <w:vAlign w:val="bottom"/>
          </w:tcPr>
          <w:p>
            <w:pPr>
              <w:ind w:left="20"/>
              <w:spacing w:after="0"/>
              <w:rPr>
                <w:sz w:val="20"/>
                <w:szCs w:val="20"/>
                <w:color w:val="auto"/>
              </w:rPr>
            </w:pPr>
            <w:r>
              <w:rPr>
                <w:rFonts w:ascii="Arial" w:cs="Arial" w:eastAsia="Arial" w:hAnsi="Arial"/>
                <w:sz w:val="12"/>
                <w:szCs w:val="12"/>
                <w:color w:val="auto"/>
              </w:rPr>
              <w:t>interest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(29,742)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(29,817)</w:t>
            </w:r>
          </w:p>
        </w:tc>
        <w:tc>
          <w:tcPr>
            <w:tcW w:w="0" w:type="dxa"/>
            <w:vAlign w:val="bottom"/>
          </w:tcPr>
          <w:p>
            <w:pPr>
              <w:spacing w:after="0"/>
              <w:rPr>
                <w:sz w:val="1"/>
                <w:szCs w:val="1"/>
                <w:color w:val="auto"/>
              </w:rPr>
            </w:pPr>
          </w:p>
        </w:tc>
      </w:tr>
      <w:tr>
        <w:trPr>
          <w:trHeight w:val="182"/>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401"/>
              <w:spacing w:after="0"/>
              <w:rPr>
                <w:sz w:val="20"/>
                <w:szCs w:val="20"/>
                <w:color w:val="auto"/>
              </w:rPr>
            </w:pPr>
            <w:r>
              <w:rPr>
                <w:rFonts w:ascii="Arial" w:cs="Arial" w:eastAsia="Arial" w:hAnsi="Arial"/>
                <w:sz w:val="12"/>
                <w:szCs w:val="12"/>
                <w:color w:val="auto"/>
                <w:w w:val="92"/>
              </w:rPr>
              <w:t>96,362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96,362</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Preferred dividends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(14,950)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(14,950)</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DRSPP proceeds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Arial" w:cs="Arial" w:eastAsia="Arial" w:hAnsi="Arial"/>
                <w:sz w:val="12"/>
                <w:szCs w:val="12"/>
                <w:color w:val="auto"/>
              </w:rPr>
              <w:t>Reallocation of noncontrolling interest in the Operating</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160" w:type="dxa"/>
            <w:vAlign w:val="bottom"/>
          </w:tcPr>
          <w:p>
            <w:pPr>
              <w:ind w:left="20"/>
              <w:spacing w:after="0"/>
              <w:rPr>
                <w:sz w:val="20"/>
                <w:szCs w:val="20"/>
                <w:color w:val="auto"/>
              </w:rPr>
            </w:pPr>
            <w:r>
              <w:rPr>
                <w:rFonts w:ascii="Arial" w:cs="Arial" w:eastAsia="Arial" w:hAnsi="Arial"/>
                <w:sz w:val="12"/>
                <w:szCs w:val="12"/>
                <w:color w:val="auto"/>
              </w:rPr>
              <w:t>Partnership</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39,974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39,974</w:t>
            </w: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Deferred compensation plan and stock awards, net of</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forfeitures and tax withholdings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32,034</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2"/>
                <w:szCs w:val="12"/>
                <w:color w:val="auto"/>
              </w:rPr>
              <w:t>Repurchases of common stock</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(114,979)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(36,198)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(151,197)</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to consolidated joint venture interests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52,164</w:t>
            </w:r>
          </w:p>
        </w:tc>
        <w:tc>
          <w:tcPr>
            <w:tcW w:w="0" w:type="dxa"/>
            <w:vAlign w:val="bottom"/>
          </w:tcPr>
          <w:p>
            <w:pPr>
              <w:spacing w:after="0"/>
              <w:rPr>
                <w:sz w:val="1"/>
                <w:szCs w:val="1"/>
                <w:color w:val="auto"/>
              </w:rPr>
            </w:pPr>
          </w:p>
        </w:tc>
      </w:tr>
      <w:tr>
        <w:trPr>
          <w:trHeight w:val="157"/>
        </w:trPr>
        <w:tc>
          <w:tcPr>
            <w:tcW w:w="3160" w:type="dxa"/>
            <w:vAlign w:val="bottom"/>
          </w:tcPr>
          <w:p>
            <w:pPr>
              <w:ind w:left="20"/>
              <w:spacing w:after="0"/>
              <w:rPr>
                <w:sz w:val="20"/>
                <w:szCs w:val="20"/>
                <w:color w:val="auto"/>
              </w:rPr>
            </w:pPr>
            <w:r>
              <w:rPr>
                <w:rFonts w:ascii="Arial" w:cs="Arial" w:eastAsia="Arial" w:hAnsi="Arial"/>
                <w:sz w:val="12"/>
                <w:szCs w:val="12"/>
                <w:color w:val="auto"/>
              </w:rPr>
              <w:t>Cash distributions to noncontrolling interests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(4,699)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right="1040"/>
        <w:spacing w:after="0"/>
        <w:rPr>
          <w:sz w:val="20"/>
          <w:szCs w:val="20"/>
          <w:color w:val="auto"/>
        </w:rPr>
      </w:pPr>
      <w:r>
        <w:rPr>
          <w:rFonts w:ascii="Arial" w:cs="Arial" w:eastAsia="Arial" w:hAnsi="Arial"/>
          <w:sz w:val="12"/>
          <w:szCs w:val="12"/>
          <w:color w:val="auto"/>
        </w:rPr>
        <w:t>Issuance of special dividend paid in stock</w:t>
      </w:r>
    </w:p>
    <w:p>
      <w:pPr>
        <w:spacing w:after="0" w:line="30" w:lineRule="exact"/>
        <w:rPr>
          <w:sz w:val="20"/>
          <w:szCs w:val="20"/>
          <w:color w:val="auto"/>
        </w:rPr>
      </w:pPr>
    </w:p>
    <w:p>
      <w:pPr>
        <w:jc w:val="both"/>
        <w:ind w:left="20"/>
        <w:spacing w:after="0" w:line="229" w:lineRule="auto"/>
        <w:rPr>
          <w:sz w:val="20"/>
          <w:szCs w:val="20"/>
          <w:color w:val="auto"/>
        </w:rPr>
      </w:pPr>
      <w:r>
        <w:rPr>
          <w:rFonts w:ascii="Arial" w:cs="Arial" w:eastAsia="Arial" w:hAnsi="Arial"/>
          <w:sz w:val="12"/>
          <w:szCs w:val="12"/>
          <w:color w:val="auto"/>
        </w:rPr>
        <w:t>Cash distributions declared ($3.6896 per common share, none of which represented a return of capital for federal income tax purposes)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Balance at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jc w:val="center"/>
        <w:ind w:right="3140"/>
        <w:spacing w:after="0"/>
        <w:rPr>
          <w:sz w:val="20"/>
          <w:szCs w:val="20"/>
          <w:color w:val="auto"/>
        </w:rPr>
      </w:pPr>
      <w:r>
        <w:rPr>
          <w:rFonts w:ascii="Arial" w:cs="Arial" w:eastAsia="Arial" w:hAnsi="Arial"/>
          <w:sz w:val="18"/>
          <w:szCs w:val="18"/>
          <w:b w:val="1"/>
          <w:bCs w:val="1"/>
          <w:color w:val="auto"/>
        </w:rPr>
        <w:t>SL Green Realty Corp.</w:t>
      </w:r>
    </w:p>
    <w:p>
      <w:pPr>
        <w:spacing w:after="0" w:line="23" w:lineRule="exact"/>
        <w:rPr>
          <w:sz w:val="20"/>
          <w:szCs w:val="20"/>
          <w:color w:val="auto"/>
        </w:rPr>
      </w:pPr>
    </w:p>
    <w:p>
      <w:pPr>
        <w:jc w:val="center"/>
        <w:ind w:right="3140"/>
        <w:spacing w:after="0"/>
        <w:rPr>
          <w:sz w:val="20"/>
          <w:szCs w:val="20"/>
          <w:color w:val="auto"/>
        </w:rPr>
      </w:pPr>
      <w:r>
        <w:rPr>
          <w:rFonts w:ascii="Arial" w:cs="Arial" w:eastAsia="Arial" w:hAnsi="Arial"/>
          <w:sz w:val="18"/>
          <w:szCs w:val="18"/>
          <w:b w:val="1"/>
          <w:bCs w:val="1"/>
          <w:color w:val="auto"/>
        </w:rPr>
        <w:t>Consolidated Statements of Equity</w:t>
      </w:r>
    </w:p>
    <w:p>
      <w:pPr>
        <w:spacing w:after="0" w:line="6" w:lineRule="exact"/>
        <w:rPr>
          <w:sz w:val="20"/>
          <w:szCs w:val="20"/>
          <w:color w:val="auto"/>
        </w:rPr>
      </w:pPr>
    </w:p>
    <w:p>
      <w:pPr>
        <w:jc w:val="center"/>
        <w:ind w:right="31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77"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SL Green Realty Corp.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30480</wp:posOffset>
            </wp:positionV>
            <wp:extent cx="39306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30650" cy="8255"/>
                    </a:xfrm>
                    <a:prstGeom prst="rect">
                      <a:avLst/>
                    </a:prstGeom>
                    <a:noFill/>
                  </pic:spPr>
                </pic:pic>
              </a:graphicData>
            </a:graphic>
          </wp:anchor>
        </w:drawing>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25400</wp:posOffset>
            </wp:positionV>
            <wp:extent cx="8451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6"/>
              </w:rPr>
              <w:t>Series I</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Par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5"/>
              </w:rPr>
              <w:t>Treasury</w:t>
            </w: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w w:val="88"/>
              </w:rPr>
              <w:t>Other</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74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w w:val="89"/>
              </w:rPr>
              <w:t>Preferred</w:t>
            </w:r>
          </w:p>
        </w:tc>
        <w:tc>
          <w:tcPr>
            <w:tcW w:w="8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w w:val="89"/>
              </w:rPr>
              <w:t>Paid-</w:t>
            </w: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w w:val="84"/>
              </w:rPr>
              <w:t>Comprehensive</w:t>
            </w: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In-Capital</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Income (Loss)</w:t>
            </w: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1,961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163,115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160,620</w:t>
            </w:r>
          </w:p>
        </w:tc>
        <w:tc>
          <w:tcPr>
            <w:tcW w:w="0" w:type="dxa"/>
            <w:vAlign w:val="bottom"/>
          </w:tcPr>
          <w:p>
            <w:pPr>
              <w:spacing w:after="0"/>
              <w:rPr>
                <w:sz w:val="1"/>
                <w:szCs w:val="1"/>
                <w:color w:val="auto"/>
              </w:rPr>
            </w:pPr>
          </w:p>
        </w:tc>
      </w:tr>
      <w:tr>
        <w:trPr>
          <w:trHeight w:val="437"/>
        </w:trPr>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(235,395)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(235,395)</w:t>
            </w:r>
          </w:p>
        </w:tc>
        <w:tc>
          <w:tcPr>
            <w:tcW w:w="0" w:type="dxa"/>
            <w:vAlign w:val="bottom"/>
          </w:tcPr>
          <w:p>
            <w:pPr>
              <w:spacing w:after="0"/>
              <w:rPr>
                <w:sz w:val="1"/>
                <w:szCs w:val="1"/>
                <w:color w:val="auto"/>
              </w:rPr>
            </w:pPr>
          </w:p>
        </w:tc>
      </w:tr>
      <w:tr>
        <w:trPr>
          <w:trHeight w:val="166"/>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221,932</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64,380</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656</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3,790,358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(128,655)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49,604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651,138</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61,889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4,646,922</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-616585</wp:posOffset>
            </wp:positionV>
            <wp:extent cx="7134225" cy="1943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9431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-151765</wp:posOffset>
            </wp:positionV>
            <wp:extent cx="7134225" cy="135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ectPr>
          <w:pgSz w:w="11900" w:h="16838" w:orient="portrait"/>
          <w:cols w:equalWidth="0" w:num="2">
            <w:col w:w="2840" w:space="300"/>
            <w:col w:w="810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7"/>
        </w:trPr>
        <w:tc>
          <w:tcPr>
            <w:tcW w:w="70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19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(76,303)</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480,632</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414,758</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223,123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228,293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325,462</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net loss from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57,958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25,195</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Distributions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679</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net loss (gain) on sale of interest in unconsolidated joint venture interest/real estate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Purchase price and other fair value adjustments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(210,070)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(187,522)</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Depreciable real estate reserves and impairments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60,454</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Loss (gain) on sale of real estate,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84,485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(287,417)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(215,506)</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 loss reserves and other investment reserves, net of recoveries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35,298</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(7,582)</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22,403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11,984</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15,178</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Tenant and other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(17,074)</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Related party receivables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6,666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1,451</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lease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(20,900)</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(26,137)</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expenses, other liabilities and security deposits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132,171</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20,657</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lease liability - operating leases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r>
      <w:tr>
        <w:trPr>
          <w:trHeight w:val="204"/>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276,088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255,979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554,236</w:t>
            </w:r>
          </w:p>
        </w:tc>
      </w:tr>
      <w:tr>
        <w:trPr>
          <w:trHeight w:val="19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Acquisitions of real estate property</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(64,491)</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(152,791)</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(86,846)</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land, buildings and improvements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(300,770)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(458,140)</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(184,518)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(88,872)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(70,315)</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141,742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770,604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124,572</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626,364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651,594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1,112,382</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restricted cash assumed from acquisition of real estate investment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60,494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Cash assumed from consolidation of real estate investment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or redemption of marketable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32,479</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Origination of debt and preferred equity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(51,367)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(95,695)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(360,953)</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181,293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763,251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0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425,805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993,581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1,056,430</w:t>
            </w:r>
          </w:p>
        </w:tc>
      </w:tr>
      <w:tr>
        <w:trPr>
          <w:trHeight w:val="235"/>
        </w:trPr>
        <w:tc>
          <w:tcPr>
            <w:tcW w:w="7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mortgages and other loans payable</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381,980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1,181,892</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Repayments of mortgages and other loans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(292,364)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(375,044)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(1,186,828)</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revolving credit facility and senior unsecured notes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1,524,000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1,495,000</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Repayments of revolving credit facility and senior unsecured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(1,864,000)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(1,808,000)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(1,875,000)</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options exercised and DRSPP issuance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(151,197)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(341,403)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(528,483)</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(82,750)</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Redemption of OP units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(40,901)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(27,342)</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in other partnerships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(85,468)</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Contributions from noncontrolling interests in other partnerships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52,164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12,477</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subsidiary interest from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(29,817)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 in the Operating Partnership</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(16,272)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(12,652)</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on common and preferred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(293,996)</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Other obligation related to secured borrowing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77,874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51,862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withholdings related to restricted share awards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Deferred loan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(8,098)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(70,036)</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of on financing lease liabilities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r>
      <w:tr>
        <w:trPr>
          <w:trHeight w:val="204"/>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(654,823)</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(1,285,371)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(1,479,301)</w:t>
            </w:r>
          </w:p>
        </w:tc>
      </w:tr>
      <w:tr>
        <w:trPr>
          <w:trHeight w:val="20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131,365</w:t>
            </w:r>
          </w:p>
        </w:tc>
      </w:tr>
      <w:tr>
        <w:trPr>
          <w:trHeight w:val="211"/>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336,984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372,795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241,430</w:t>
            </w:r>
          </w:p>
        </w:tc>
      </w:tr>
      <w:tr>
        <w:trPr>
          <w:trHeight w:val="23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384,054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336,984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372,795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169,519</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152,773</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201,348</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r>
      <w:tr>
        <w:trPr>
          <w:trHeight w:val="253"/>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Conversion of units in the Operating Partnership</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8,744</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units in the Operating Partnership for a joint venture sale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Exchange of preferred equity investment for real estate or equity in joint venture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190,652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119,497</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of debt investment for real estate or equity in joint venture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193,995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122,796</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Assumption of mortgage and mezzanine loans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1,712,750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special dividend paid in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160,620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Tenant improvements and capital expenditures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18,518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adjustment to noncontrolling interest in the Operating Partnership</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39,974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32,598</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Investment in joint venture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47,135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Deconsolidation of a subsidiary</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854,437</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Deconsolidation of a subsidiary mortgage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5,593</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Mortgages assumed in connection with sale of real estate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Seller financed purchases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and preferred equity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r>
      <w:tr>
        <w:trPr>
          <w:trHeight w:val="208"/>
        </w:trPr>
        <w:tc>
          <w:tcPr>
            <w:tcW w:w="7080" w:type="dxa"/>
            <w:vAlign w:val="bottom"/>
          </w:tcPr>
          <w:p>
            <w:pPr>
              <w:ind w:left="20"/>
              <w:spacing w:after="0"/>
              <w:rPr>
                <w:sz w:val="20"/>
                <w:szCs w:val="20"/>
                <w:color w:val="auto"/>
              </w:rPr>
            </w:pPr>
            <w:r>
              <w:rPr>
                <w:rFonts w:ascii="Arial" w:cs="Arial" w:eastAsia="Arial" w:hAnsi="Arial"/>
                <w:sz w:val="16"/>
                <w:szCs w:val="16"/>
                <w:color w:val="auto"/>
              </w:rPr>
              <w:t>Transfer of assets related to assets held for sale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140,855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3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7"/>
        </w:trPr>
        <w:tc>
          <w:tcPr>
            <w:tcW w:w="7080" w:type="dxa"/>
            <w:vAlign w:val="bottom"/>
          </w:tcPr>
          <w:p>
            <w:pPr>
              <w:spacing w:after="0"/>
              <w:rPr>
                <w:sz w:val="17"/>
                <w:szCs w:val="17"/>
                <w:color w:val="auto"/>
              </w:rPr>
            </w:pPr>
          </w:p>
        </w:tc>
        <w:tc>
          <w:tcPr>
            <w:tcW w:w="1580" w:type="dxa"/>
            <w:vAlign w:val="bottom"/>
          </w:tcPr>
          <w:p>
            <w:pPr>
              <w:jc w:val="right"/>
              <w:ind w:right="680"/>
              <w:spacing w:after="0"/>
              <w:rPr>
                <w:sz w:val="20"/>
                <w:szCs w:val="20"/>
                <w:color w:val="auto"/>
              </w:rPr>
            </w:pPr>
            <w:r>
              <w:rPr>
                <w:rFonts w:ascii="Arial" w:cs="Arial" w:eastAsia="Arial" w:hAnsi="Arial"/>
                <w:sz w:val="16"/>
                <w:szCs w:val="16"/>
                <w:b w:val="1"/>
                <w:bCs w:val="1"/>
                <w:color w:val="auto"/>
              </w:rPr>
              <w:t>2022</w:t>
            </w:r>
          </w:p>
        </w:tc>
        <w:tc>
          <w:tcPr>
            <w:tcW w:w="1580" w:type="dxa"/>
            <w:vAlign w:val="bottom"/>
          </w:tcPr>
          <w:p>
            <w:pPr>
              <w:jc w:val="right"/>
              <w:ind w:right="840"/>
              <w:spacing w:after="0"/>
              <w:rPr>
                <w:sz w:val="20"/>
                <w:szCs w:val="20"/>
                <w:color w:val="auto"/>
              </w:rPr>
            </w:pPr>
            <w:r>
              <w:rPr>
                <w:rFonts w:ascii="Arial" w:cs="Arial" w:eastAsia="Arial" w:hAnsi="Arial"/>
                <w:sz w:val="16"/>
                <w:szCs w:val="16"/>
                <w:b w:val="1"/>
                <w:bCs w:val="1"/>
                <w:color w:val="auto"/>
              </w:rPr>
              <w:t>2021</w:t>
            </w:r>
          </w:p>
        </w:tc>
        <w:tc>
          <w:tcPr>
            <w:tcW w:w="1000" w:type="dxa"/>
            <w:vAlign w:val="bottom"/>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Reversal of assets held for sale</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391,664</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Transfer of liabilities related to assets held for sale</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64,120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Extinguishment of debt in connection with property dispositions</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53,548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Consolidation of real estate investment</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119,444</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Removal of fully depreciated commercial real estate properties</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30,359</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19,831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66,169</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Sale of interest in partially owned entity</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4,476</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358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6,613</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Share repurchase payable</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3,779</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Recognition of sales-type leases and related lease liabilities</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119,725</w:t>
            </w:r>
          </w:p>
        </w:tc>
      </w:tr>
      <w:tr>
        <w:trPr>
          <w:trHeight w:val="208"/>
        </w:trPr>
        <w:tc>
          <w:tcPr>
            <w:tcW w:w="7080" w:type="dxa"/>
            <w:vAlign w:val="bottom"/>
          </w:tcPr>
          <w:p>
            <w:pPr>
              <w:ind w:left="20"/>
              <w:spacing w:after="0"/>
              <w:rPr>
                <w:sz w:val="20"/>
                <w:szCs w:val="20"/>
                <w:color w:val="auto"/>
              </w:rPr>
            </w:pPr>
            <w:r>
              <w:rPr>
                <w:rFonts w:ascii="Arial" w:cs="Arial" w:eastAsia="Arial" w:hAnsi="Arial"/>
                <w:sz w:val="16"/>
                <w:szCs w:val="16"/>
                <w:color w:val="auto"/>
              </w:rPr>
              <w:t>Recognition of right of use assets and related lease liabilities</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57,938</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537,344</w:t>
            </w:r>
          </w:p>
        </w:tc>
        <w:tc>
          <w:tcPr>
            <w:tcW w:w="1000" w:type="dxa"/>
            <w:vAlign w:val="bottom"/>
          </w:tcPr>
          <w:p>
            <w:pPr>
              <w:jc w:val="right"/>
              <w:spacing w:after="0"/>
              <w:rPr>
                <w:sz w:val="20"/>
                <w:szCs w:val="20"/>
                <w:color w:val="auto"/>
              </w:rPr>
            </w:pPr>
            <w:r>
              <w:rPr>
                <w:rFonts w:ascii="Arial" w:cs="Arial" w:eastAsia="Arial" w:hAnsi="Arial"/>
                <w:sz w:val="16"/>
                <w:szCs w:val="16"/>
                <w:color w:val="auto"/>
              </w:rPr>
              <w:t>61,990</w:t>
            </w:r>
          </w:p>
        </w:tc>
      </w:tr>
    </w:tbl>
    <w:p>
      <w:pPr>
        <w:spacing w:after="0" w:line="219"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In December 2022, the Company declared a regular monthly distribution per share of $0.2708. This distribution was paid in January 2023. In December 2021, the Company declared a regular monthly distribution per share of $0.3108 that was paid in cash and a special distribution per share of $2.4392 that was paid entirely in stock. These distributions were paid in January 2022. In December 2020, the Company declared a regular monthly distribution per share of $0.3217 that was paid in cash and a special distribution per share of $1.7996 that was paid entirely in stock. These distributions were paid in January 2021.</w:t>
      </w:r>
    </w:p>
    <w:p>
      <w:pPr>
        <w:spacing w:after="0" w:line="129"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Year Ended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7"/>
        </w:trPr>
        <w:tc>
          <w:tcPr>
            <w:tcW w:w="7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266,059</w:t>
            </w:r>
          </w:p>
        </w:tc>
      </w:tr>
      <w:tr>
        <w:trPr>
          <w:trHeight w:val="21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180,781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106,736</w:t>
            </w:r>
          </w:p>
        </w:tc>
      </w:tr>
      <w:tr>
        <w:trPr>
          <w:trHeight w:val="209"/>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cash equivalents, and restricted cash</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384,054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372,795</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400" w:firstLine="3397"/>
        <w:spacing w:after="0" w:line="43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Partners of SL Green Operating Partnership, L.P.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audited the accompanying consolidated balance sheets of SL Green Operating Partnership, L.P. (the Operating Partnership) as of December 31, 2022 and 2021, the related consolidated statements of operations, comprehensive income, capital and cash flows for each of the three years in the period ended December 31, 2022, and the related notes and financial statement schedule listed in the Index at Item 15(a)(2) (collectively referred to as the "consolidated financial statements"). In our opinion, the consolidated financial statements present fairly, in all material respects, the financial position of the Operating Partnership at December 31, 2022 and 2021, and the results of its operations and its cash flows for each of the three years in the period ended December 31, 2022, in conformity with U.S. generally accepted accounting principles.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Operating Partnership's internal control over financial reporting as of December 31, 2022, based on criteria established in Internal Control-Integrated Framework issued by the Committee of Sponsoring Organizations of the Treadway Commission (2013 framework), and our report dated February 16, 2023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Operating Partnership's management. Our responsibility is to express an opinion on the Operating Partnership's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right="100"/>
        <w:spacing w:after="0" w:line="230"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line="25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i w:val="1"/>
          <w:iCs w:val="1"/>
          <w:color w:val="auto"/>
        </w:rPr>
        <w:t>Joint Venture Consolidation Assessment</w:t>
      </w:r>
    </w:p>
    <w:p>
      <w:pPr>
        <w:spacing w:after="0" w:line="1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Operating Partnership accounted for certain investments in real estate joint ventures under the equity method of accounting and consolidated certain other investments in real estate joint ventures. At December 31, 2022, the Operating Partnership’s investments in unconsolidated joint ventures was $3.2 billion and noncontrolling interests in consolidated other partnerships was $61.9 million. As discussed in Note 2 to the consolidated financial statements, for each joint venture, the Operating Partnership evaluated the rights provided to each party in the venture to assess the consolidation of the venture.</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Auditing management’s joint venture consolidation analyses was complex and highly judgmental due to the subjectivity in assessing which activities most significantly impact a joint venture’s economic performance based on the purpose and design of the entity over the duration of its expected life and assessing which party has rights to direct those activities. We tested the Operating Partnership’s controls over the assessment of joint venture consolidation. For example, we tested controls over management's review of the consolidation analyses for newly formed ventures as well as controls over management's identification of reconsideration events which could trigger modified consolidation conclusions for existing ventures.</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To test the Operating Partnership’s consolidation assessment for real estate joint ventures, our procedures included, among others, reviewing new and amended joint venture agreements and discussing with management the nature of the rights conveyed to the Operating Partnership through the joint venture agreements as well as the business purpose of the joint venture transactions. We reviewed management’s assessment of the activities that would most significantly impact the joint venture’s economic performance and evaluated whether the joint venture agreements provided participating or protective rights to the Operating Partnership. We also evaluated transactions with the joint ventures for events which would require a reconsideration of previous consolidation conclusions.</w:t>
      </w:r>
    </w:p>
    <w:p>
      <w:pPr>
        <w:spacing w:after="0" w:line="200" w:lineRule="exact"/>
        <w:rPr>
          <w:sz w:val="20"/>
          <w:szCs w:val="20"/>
          <w:color w:val="auto"/>
        </w:rPr>
      </w:pPr>
    </w:p>
    <w:p>
      <w:pPr>
        <w:sectPr>
          <w:pgSz w:w="11900" w:h="16838" w:orient="portrait"/>
          <w:cols w:equalWidth="0" w:num="2">
            <w:col w:w="1400" w:space="200"/>
            <w:col w:w="9620"/>
          </w:cols>
          <w:pgMar w:left="320" w:top="127" w:right="35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Operating Partnership's auditor since 2010.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unit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746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7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Commercial real estate properties, at cost:</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Land and land interests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1,576,927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1,350,701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Building and improvements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4,903,776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3,671,402</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Building leasehold and improvements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1,691,831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1,645,081</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Right of use asset - operating leases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1,026,265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983,723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9,198,799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7,650,907</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(2,039,554)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(1,896,199)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7,159,245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5,754,708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140,855</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180,781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85,567</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Investments in marketable securities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Tenant and other receivables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34,497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47,616</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Related party receivables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Deferred rents receivable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257,887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248,313</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460" w:type="dxa"/>
            <w:vAlign w:val="bottom"/>
            <w:gridSpan w:val="3"/>
            <w:shd w:val="clear" w:color="auto" w:fill="CCEEFF"/>
          </w:tcPr>
          <w:p>
            <w:pPr>
              <w:spacing w:after="0" w:line="165" w:lineRule="exact"/>
              <w:rPr>
                <w:sz w:val="20"/>
                <w:szCs w:val="20"/>
                <w:color w:val="auto"/>
              </w:rPr>
            </w:pPr>
            <w:r>
              <w:rPr>
                <w:rFonts w:ascii="Arial" w:cs="Arial" w:eastAsia="Arial" w:hAnsi="Arial"/>
                <w:sz w:val="16"/>
                <w:szCs w:val="16"/>
                <w:color w:val="auto"/>
                <w:w w:val="94"/>
              </w:rPr>
              <w:t>Debt and preferred equity investments, net of discounts and deferred origination fees of $1,811 and $5,057 and</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623,280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1,088,723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allowances of $6,630 and $6,630 in 2022 and 2021, respectively</w:t>
            </w: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3,190,137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2,997,934</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costs,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124,495</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546,945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262,841</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gridSpan w:val="3"/>
            <w:shd w:val="clear" w:color="auto" w:fill="CCEEFF"/>
          </w:tcPr>
          <w:p>
            <w:pPr>
              <w:ind w:left="120"/>
              <w:spacing w:after="0" w:line="208"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0"/>
                <w:szCs w:val="20"/>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12,355,794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11,066,629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7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Mortgages and other loans payable,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3,227,563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1,394,386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Revolving credit facility,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443,217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381,334</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Unsecured term loans,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1,641,552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1,242,002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Unsecured notes,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99,692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899,308</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236,211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195,390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154,867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272,248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107,275</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 liability - financing leases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104,218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Lease liability - operating leases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895,100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851,370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Dividend and distributions payable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Security deposits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50,472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52,309</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related to assets held for sale</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64,120</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Junior subordinated deferrable interest debentures held by trusts that issued trust preferred securities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ind w:left="120"/>
              <w:spacing w:after="0" w:line="208" w:lineRule="exact"/>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7,260,936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5,748,049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7460" w:type="dxa"/>
            <w:vAlign w:val="bottom"/>
            <w:gridSpan w:val="3"/>
            <w:shd w:val="clear" w:color="auto" w:fill="CCEEFF"/>
          </w:tcPr>
          <w:p>
            <w:pPr>
              <w:spacing w:after="0" w:line="166" w:lineRule="exact"/>
              <w:rPr>
                <w:sz w:val="20"/>
                <w:szCs w:val="20"/>
                <w:color w:val="auto"/>
              </w:rPr>
            </w:pPr>
            <w:r>
              <w:rPr>
                <w:rFonts w:ascii="Arial" w:cs="Arial" w:eastAsia="Arial" w:hAnsi="Arial"/>
                <w:sz w:val="16"/>
                <w:szCs w:val="16"/>
                <w:color w:val="auto"/>
                <w:w w:val="93"/>
              </w:rPr>
              <w:t>Limited partner interests in SLGOP (3,670 and 3,782 limited partner common units outstanding at December 31,</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269,993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344,252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2022 and 2021, respectively)</w:t>
            </w: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6"/>
                <w:szCs w:val="16"/>
                <w:color w:val="auto"/>
              </w:rPr>
              <w:t>Preferred units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177,943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196,075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unit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3"/>
              </w:rPr>
              <w:t>Capital</w:t>
            </w:r>
          </w:p>
        </w:tc>
        <w:tc>
          <w:tcPr>
            <w:tcW w:w="69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6"/>
                <w:szCs w:val="16"/>
                <w:color w:val="auto"/>
              </w:rPr>
              <w:t>SLGOP partners' capital:</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746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w w:val="93"/>
              </w:rPr>
              <w:t>Series I Preferred Units, $25.00 liquidation preference, 9,200 issued and outstanding at both December 31, 2022</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221,932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221,932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 2021</w:t>
            </w: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gridSpan w:val="2"/>
          </w:tcPr>
          <w:p>
            <w:pPr>
              <w:spacing w:after="0" w:line="163" w:lineRule="exact"/>
              <w:rPr>
                <w:sz w:val="20"/>
                <w:szCs w:val="20"/>
                <w:color w:val="auto"/>
              </w:rPr>
            </w:pPr>
            <w:r>
              <w:rPr>
                <w:rFonts w:ascii="Arial" w:cs="Arial" w:eastAsia="Arial" w:hAnsi="Arial"/>
                <w:sz w:val="16"/>
                <w:szCs w:val="16"/>
                <w:color w:val="auto"/>
                <w:w w:val="95"/>
              </w:rPr>
              <w:t>SL Green partners' capital (680 and 677 general partner common units, and 63,700 and 63,428 limited partner</w:t>
            </w: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4,313,497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4,589,702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Arial" w:cs="Arial" w:eastAsia="Arial" w:hAnsi="Arial"/>
                <w:sz w:val="16"/>
                <w:szCs w:val="16"/>
                <w:color w:val="auto"/>
              </w:rPr>
              <w:t>common units outstanding at December 31, 2022 and 2021, respectively)</w:t>
            </w: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Arial" w:cs="Arial" w:eastAsia="Arial" w:hAnsi="Arial"/>
                <w:sz w:val="16"/>
                <w:szCs w:val="16"/>
                <w:color w:val="auto"/>
              </w:rPr>
              <w:t>Total SLGOP partners' capital</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4,585,033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4,764,876</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Noncontrolling interests in other partnerships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61,889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13,377</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7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Total capital</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4,646,922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4,778,253</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and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12,355,794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11,066,629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20" w:right="20" w:firstLine="4"/>
        <w:spacing w:after="0" w:line="223" w:lineRule="auto"/>
        <w:tabs>
          <w:tab w:leader="none" w:pos="169" w:val="left"/>
        </w:tabs>
        <w:numPr>
          <w:ilvl w:val="0"/>
          <w:numId w:val="40"/>
        </w:numPr>
        <w:rPr>
          <w:rFonts w:ascii="Arial" w:cs="Arial" w:eastAsia="Arial" w:hAnsi="Arial"/>
          <w:sz w:val="17"/>
          <w:szCs w:val="17"/>
          <w:color w:val="auto"/>
          <w:vertAlign w:val="superscript"/>
        </w:rPr>
      </w:pPr>
      <w:r>
        <w:rPr>
          <w:rFonts w:ascii="Arial" w:cs="Arial" w:eastAsia="Arial" w:hAnsi="Arial"/>
          <w:sz w:val="13"/>
          <w:szCs w:val="13"/>
          <w:color w:val="auto"/>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$41.2 million and $193.4 million of land, $41.0 million and $336.9 million of building and improvements, $— million and $— million of building and leasehold improvements, $— million and $15.4 million of right of use assets, $4.4 million and $11.7 million of accumulated depreciation, $599.2 million and $574.4 million of other assets included in other line items, $49.8 million and $418.9 million of real estate debt, net, $0.2 million and $0.8 million of accrued interest payable, $— million and $15.3 million of lease liabilities, and $146.4 million and $145.2 million of other liabilities included in other line items as of December 31, 2022 and December 31, 2021,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unit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9"/>
              </w:rPr>
              <w:t>Year Ended 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Rental revenue, net</w:t>
            </w:r>
          </w:p>
        </w:tc>
        <w:tc>
          <w:tcPr>
            <w:tcW w:w="960" w:type="dxa"/>
            <w:vAlign w:val="bottom"/>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86"/>
              </w:rPr>
              <w:t>671,500</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678,176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804,423</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120,163</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74,126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85,475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128,158</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826,739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843,991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1,052,744</w:t>
            </w:r>
          </w:p>
        </w:tc>
        <w:tc>
          <w:tcPr>
            <w:tcW w:w="0" w:type="dxa"/>
            <w:vAlign w:val="bottom"/>
          </w:tcPr>
          <w:p>
            <w:pPr>
              <w:spacing w:after="0"/>
              <w:rPr>
                <w:sz w:val="1"/>
                <w:szCs w:val="1"/>
                <w:color w:val="auto"/>
              </w:rPr>
            </w:pPr>
          </w:p>
        </w:tc>
      </w:tr>
      <w:tr>
        <w:trPr>
          <w:trHeight w:val="191"/>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63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5"/>
              </w:rPr>
              <w:t>Operating expenses, including related party expenses of $5,701 in 2022, $12,377 in 2021 and</w:t>
            </w:r>
          </w:p>
        </w:tc>
        <w:tc>
          <w:tcPr>
            <w:tcW w:w="9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174,063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167,153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183,200</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$12,643 in 2020</w:t>
            </w:r>
          </w:p>
        </w:tc>
        <w:tc>
          <w:tcPr>
            <w:tcW w:w="9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Real estate taxes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86"/>
              </w:rPr>
              <w:t>138,228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152,835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176,315</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29,043</w:t>
            </w:r>
          </w:p>
        </w:tc>
        <w:tc>
          <w:tcPr>
            <w:tcW w:w="0" w:type="dxa"/>
            <w:vAlign w:val="bottom"/>
          </w:tcPr>
          <w:p>
            <w:pPr>
              <w:spacing w:after="0"/>
              <w:rPr>
                <w:sz w:val="1"/>
                <w:szCs w:val="1"/>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Interest expense, net of interest income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89,473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70,891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116,679</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11,794</w:t>
            </w:r>
          </w:p>
        </w:tc>
        <w:tc>
          <w:tcPr>
            <w:tcW w:w="0" w:type="dxa"/>
            <w:vAlign w:val="bottom"/>
          </w:tcPr>
          <w:p>
            <w:pPr>
              <w:spacing w:after="0"/>
              <w:rPr>
                <w:sz w:val="1"/>
                <w:szCs w:val="1"/>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86"/>
              </w:rPr>
              <w:t>215,306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216,869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313,668</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 loss and other investment reserves, net of recoveries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35,298</w:t>
            </w:r>
          </w:p>
        </w:tc>
        <w:tc>
          <w:tcPr>
            <w:tcW w:w="0" w:type="dxa"/>
            <w:vAlign w:val="bottom"/>
          </w:tcPr>
          <w:p>
            <w:pPr>
              <w:spacing w:after="0"/>
              <w:rPr>
                <w:sz w:val="1"/>
                <w:szCs w:val="1"/>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Transaction related costs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general and administrative</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93,798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94,912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91,826</w:t>
            </w: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expenses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746,037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747,342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958,326</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loss from unconsolidated joint ventures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(57,958)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(25,195)</w:t>
            </w:r>
          </w:p>
        </w:tc>
        <w:tc>
          <w:tcPr>
            <w:tcW w:w="0" w:type="dxa"/>
            <w:vAlign w:val="bottom"/>
          </w:tcPr>
          <w:p>
            <w:pPr>
              <w:spacing w:after="0"/>
              <w:rPr>
                <w:sz w:val="1"/>
                <w:szCs w:val="1"/>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Equity in net (loss) gain on sale of interest in unconsolidated joint venture/real estate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2,961</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 and other fair value adjustments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187,522</w:t>
            </w:r>
          </w:p>
        </w:tc>
        <w:tc>
          <w:tcPr>
            <w:tcW w:w="0" w:type="dxa"/>
            <w:vAlign w:val="bottom"/>
          </w:tcPr>
          <w:p>
            <w:pPr>
              <w:spacing w:after="0"/>
              <w:rPr>
                <w:sz w:val="1"/>
                <w:szCs w:val="1"/>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(Loss) gain on sale of real estate,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0"/>
              </w:rPr>
              <w:t>(84,485)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287,417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215,506</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Depreciable real estate reserves and impairments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(60,454)</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on early extinguishment of debt</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(76,303)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414,758</w:t>
            </w:r>
          </w:p>
        </w:tc>
        <w:tc>
          <w:tcPr>
            <w:tcW w:w="0" w:type="dxa"/>
            <w:vAlign w:val="bottom"/>
          </w:tcPr>
          <w:p>
            <w:pPr>
              <w:spacing w:after="0"/>
              <w:rPr>
                <w:sz w:val="1"/>
                <w:szCs w:val="1"/>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Net loss (income) attributable to noncontrolling interests in other partnerships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(1,122)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unit distributions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(6,443)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(8,747)</w:t>
            </w:r>
          </w:p>
        </w:tc>
        <w:tc>
          <w:tcPr>
            <w:tcW w:w="0" w:type="dxa"/>
            <w:vAlign w:val="bottom"/>
          </w:tcPr>
          <w:p>
            <w:pPr>
              <w:spacing w:after="0"/>
              <w:rPr>
                <w:sz w:val="1"/>
                <w:szCs w:val="1"/>
                <w:color w:val="auto"/>
              </w:rPr>
            </w:pP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Net (loss) income attributable to SLGOP</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0"/>
              </w:rPr>
              <w:t>(83,868)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475,211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391,071</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Perpetual preferred stock dividends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(14,950)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(14,950)</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Net (loss) income attributable to SLGOP common unitholders</w:t>
            </w:r>
          </w:p>
        </w:tc>
        <w:tc>
          <w:tcPr>
            <w:tcW w:w="960" w:type="dxa"/>
            <w:vAlign w:val="bottom"/>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0"/>
              </w:rPr>
              <w:t>(98,818)</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460,261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376,121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color w:val="auto"/>
              </w:rPr>
              <w:t>Basic (loss) earnings per unit</w:t>
            </w:r>
          </w:p>
        </w:tc>
        <w:tc>
          <w:tcPr>
            <w:tcW w:w="960" w:type="dxa"/>
            <w:vAlign w:val="bottom"/>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(loss) earnings per unit</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53"/>
        </w:trPr>
        <w:tc>
          <w:tcPr>
            <w:tcW w:w="6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units outstanding</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67,929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74,493</w:t>
            </w:r>
          </w:p>
        </w:tc>
        <w:tc>
          <w:tcPr>
            <w:tcW w:w="0" w:type="dxa"/>
            <w:vAlign w:val="bottom"/>
          </w:tcPr>
          <w:p>
            <w:pPr>
              <w:spacing w:after="0"/>
              <w:rPr>
                <w:sz w:val="1"/>
                <w:szCs w:val="1"/>
                <w:color w:val="auto"/>
              </w:rPr>
            </w:pPr>
          </w:p>
        </w:tc>
      </w:tr>
      <w:tr>
        <w:trPr>
          <w:trHeight w:val="208"/>
        </w:trPr>
        <w:tc>
          <w:tcPr>
            <w:tcW w:w="6360" w:type="dxa"/>
            <w:vAlign w:val="bottom"/>
          </w:tcPr>
          <w:p>
            <w:pPr>
              <w:ind w:left="20"/>
              <w:spacing w:after="0"/>
              <w:rPr>
                <w:sz w:val="20"/>
                <w:szCs w:val="20"/>
                <w:color w:val="auto"/>
              </w:rPr>
            </w:pPr>
            <w:r>
              <w:rPr>
                <w:rFonts w:ascii="Arial" w:cs="Arial" w:eastAsia="Arial" w:hAnsi="Arial"/>
                <w:sz w:val="16"/>
                <w:szCs w:val="16"/>
                <w:color w:val="auto"/>
              </w:rPr>
              <w:t>Diluted weighted average common units and common unit equivalents outstanding</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67,929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75,078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Operating Partnership, L.P.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9"/>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(76,303)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414,758</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3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2"/>
              </w:rPr>
              <w:t>Increase (decrease) in unrealized value of derivative instruments, including SL Green's share of</w:t>
            </w:r>
          </w:p>
        </w:tc>
        <w:tc>
          <w:tcPr>
            <w:tcW w:w="9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103,629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21,427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(39,743)</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derivative instruments</w:t>
            </w:r>
          </w:p>
        </w:tc>
        <w:tc>
          <w:tcPr>
            <w:tcW w:w="9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(Decrease) increase in unrealized value of marketable securities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102,189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(41,061)</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25,886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502,163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373,697</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11"/>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attributable to noncontrolling interests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(5,827)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SLGOP</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18,937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361,056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SL Green Operating Partnership, L.P.</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Consolidated Statements of Capital</w:t>
      </w:r>
    </w:p>
    <w:p>
      <w:pPr>
        <w:spacing w:after="0" w:line="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per unit data)</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gridSpan w:val="10"/>
          </w:tcPr>
          <w:p>
            <w:pPr>
              <w:ind w:left="560"/>
              <w:spacing w:after="0"/>
              <w:rPr>
                <w:sz w:val="20"/>
                <w:szCs w:val="20"/>
                <w:color w:val="auto"/>
              </w:rPr>
            </w:pPr>
            <w:r>
              <w:rPr>
                <w:rFonts w:ascii="Arial" w:cs="Arial" w:eastAsia="Arial" w:hAnsi="Arial"/>
                <w:sz w:val="14"/>
                <w:szCs w:val="14"/>
                <w:b w:val="1"/>
                <w:bCs w:val="1"/>
                <w:color w:val="auto"/>
              </w:rPr>
              <w:t>SL Green Operating Partnership Unitholders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ind w:left="440"/>
              <w:spacing w:after="0"/>
              <w:rPr>
                <w:sz w:val="20"/>
                <w:szCs w:val="20"/>
                <w:color w:val="auto"/>
              </w:rPr>
            </w:pPr>
            <w:r>
              <w:rPr>
                <w:rFonts w:ascii="Arial" w:cs="Arial" w:eastAsia="Arial" w:hAnsi="Arial"/>
                <w:sz w:val="12"/>
                <w:szCs w:val="12"/>
                <w:b w:val="1"/>
                <w:bCs w:val="1"/>
                <w:color w:val="auto"/>
              </w:rPr>
              <w:t>Partners' Interest</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8"/>
              </w:rPr>
              <w:t>Series I</w:t>
            </w: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center"/>
              <w:ind w:right="280"/>
              <w:spacing w:after="0" w:line="107"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6"/>
              </w:rPr>
              <w:t>Common</w:t>
            </w:r>
          </w:p>
        </w:tc>
        <w:tc>
          <w:tcPr>
            <w:tcW w:w="160" w:type="dxa"/>
            <w:vAlign w:val="bottom"/>
          </w:tcPr>
          <w:p>
            <w:pPr>
              <w:spacing w:after="0"/>
              <w:rPr>
                <w:sz w:val="10"/>
                <w:szCs w:val="10"/>
                <w:color w:val="auto"/>
              </w:rPr>
            </w:pPr>
          </w:p>
        </w:tc>
        <w:tc>
          <w:tcPr>
            <w:tcW w:w="122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3"/>
              </w:rPr>
              <w:t>Noncontrolling</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Preferred</w:t>
            </w: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Units</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Units</w:t>
            </w: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Unitholders</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Income (Loss)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Interests</w:t>
            </w:r>
          </w:p>
        </w:tc>
        <w:tc>
          <w:tcPr>
            <w:tcW w:w="180" w:type="dxa"/>
            <w:vAlign w:val="bottom"/>
          </w:tcPr>
          <w:p>
            <w:pPr>
              <w:spacing w:after="0"/>
              <w:rPr>
                <w:sz w:val="15"/>
                <w:szCs w:val="15"/>
                <w:color w:val="auto"/>
              </w:rPr>
            </w:pPr>
          </w:p>
        </w:tc>
        <w:tc>
          <w:tcPr>
            <w:tcW w:w="640" w:type="dxa"/>
            <w:vAlign w:val="bottom"/>
          </w:tcPr>
          <w:p>
            <w:pPr>
              <w:jc w:val="right"/>
              <w:ind w:right="19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221,932</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74,672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5,247,868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center"/>
              <w:ind w:left="578"/>
              <w:spacing w:after="0"/>
              <w:rPr>
                <w:sz w:val="20"/>
                <w:szCs w:val="20"/>
                <w:color w:val="auto"/>
              </w:rPr>
            </w:pPr>
            <w:r>
              <w:rPr>
                <w:rFonts w:ascii="Arial" w:cs="Arial" w:eastAsia="Arial" w:hAnsi="Arial"/>
                <w:sz w:val="12"/>
                <w:szCs w:val="12"/>
                <w:color w:val="auto"/>
                <w:w w:val="93"/>
              </w:rPr>
              <w:t>(28,485)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75,883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5,517,198</w:t>
            </w:r>
          </w:p>
        </w:tc>
        <w:tc>
          <w:tcPr>
            <w:tcW w:w="0" w:type="dxa"/>
            <w:vAlign w:val="bottom"/>
          </w:tcPr>
          <w:p>
            <w:pPr>
              <w:spacing w:after="0"/>
              <w:rPr>
                <w:sz w:val="1"/>
                <w:szCs w:val="1"/>
                <w:color w:val="auto"/>
              </w:rPr>
            </w:pPr>
          </w:p>
        </w:tc>
      </w:tr>
      <w:tr>
        <w:trPr>
          <w:trHeight w:val="16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Cumulative adjustment upon adoption of ASC 326</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(39,184)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(39,184)</w:t>
            </w:r>
          </w:p>
        </w:tc>
        <w:tc>
          <w:tcPr>
            <w:tcW w:w="0" w:type="dxa"/>
            <w:vAlign w:val="bottom"/>
          </w:tcPr>
          <w:p>
            <w:pPr>
              <w:spacing w:after="0"/>
              <w:rPr>
                <w:sz w:val="1"/>
                <w:szCs w:val="1"/>
                <w:color w:val="auto"/>
              </w:rPr>
            </w:pPr>
          </w:p>
        </w:tc>
      </w:tr>
      <w:tr>
        <w:trPr>
          <w:trHeight w:val="173"/>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January 1, 2020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221,932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5,208,684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center"/>
              <w:ind w:left="578"/>
              <w:spacing w:after="0"/>
              <w:rPr>
                <w:sz w:val="20"/>
                <w:szCs w:val="20"/>
                <w:color w:val="auto"/>
              </w:rPr>
            </w:pPr>
            <w:r>
              <w:rPr>
                <w:rFonts w:ascii="Arial" w:cs="Arial" w:eastAsia="Arial" w:hAnsi="Arial"/>
                <w:sz w:val="12"/>
                <w:szCs w:val="12"/>
                <w:color w:val="auto"/>
                <w:w w:val="93"/>
              </w:rPr>
              <w:t>(28,485)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5,478,014</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371,055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14,940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385,995</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Acquisition of subsidiary interest from noncontrolling interest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(1,536)</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left="578"/>
              <w:spacing w:after="0"/>
              <w:rPr>
                <w:sz w:val="20"/>
                <w:szCs w:val="20"/>
                <w:color w:val="auto"/>
              </w:rPr>
            </w:pPr>
            <w:r>
              <w:rPr>
                <w:rFonts w:ascii="Arial" w:cs="Arial" w:eastAsia="Arial" w:hAnsi="Arial"/>
                <w:sz w:val="12"/>
                <w:szCs w:val="12"/>
                <w:color w:val="auto"/>
                <w:w w:val="93"/>
              </w:rPr>
              <w:t>(38,762)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(38,762)</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distributions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(14,950)</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DRSPP proceeds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1,006</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Conversion of common units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8,744</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Reallocation of noncontrolling interests in the operating partnership</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32,598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32,598</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compensation plan and stock awards, net of forfeitures and tax withholdings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25,271</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Repurchases of common units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(8,276)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(532,262)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(532,262)</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to consolidated joint venture interests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12,477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12,477</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Cash distributions to noncontrolling interests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(78,855)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(78,855)</w:t>
            </w:r>
          </w:p>
        </w:tc>
        <w:tc>
          <w:tcPr>
            <w:tcW w:w="0" w:type="dxa"/>
            <w:vAlign w:val="bottom"/>
          </w:tcPr>
          <w:p>
            <w:pPr>
              <w:spacing w:after="0"/>
              <w:rPr>
                <w:sz w:val="1"/>
                <w:szCs w:val="1"/>
                <w:color w:val="auto"/>
              </w:rPr>
            </w:pPr>
          </w:p>
        </w:tc>
      </w:tr>
      <w:tr>
        <w:trPr>
          <w:trHeight w:val="128"/>
        </w:trPr>
        <w:tc>
          <w:tcPr>
            <w:tcW w:w="50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Cash distributions declared ($4.9374 per common unit, none of which represented a return of</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 for federal income tax purposes)</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(341,945)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(341,945)</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221,932</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66,474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4,755,078</w:t>
            </w:r>
          </w:p>
        </w:tc>
        <w:tc>
          <w:tcPr>
            <w:tcW w:w="100" w:type="dxa"/>
            <w:vAlign w:val="bottom"/>
          </w:tcPr>
          <w:p>
            <w:pPr>
              <w:spacing w:after="0"/>
              <w:rPr>
                <w:sz w:val="13"/>
                <w:szCs w:val="13"/>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100" w:type="dxa"/>
            <w:vAlign w:val="bottom"/>
          </w:tcPr>
          <w:p>
            <w:pPr>
              <w:jc w:val="center"/>
              <w:ind w:left="578"/>
              <w:spacing w:after="0"/>
              <w:rPr>
                <w:sz w:val="20"/>
                <w:szCs w:val="20"/>
                <w:color w:val="auto"/>
              </w:rPr>
            </w:pPr>
            <w:r>
              <w:rPr>
                <w:rFonts w:ascii="Arial" w:cs="Arial" w:eastAsia="Arial" w:hAnsi="Arial"/>
                <w:sz w:val="12"/>
                <w:szCs w:val="12"/>
                <w:color w:val="auto"/>
                <w:w w:val="93"/>
              </w:rPr>
              <w:t>(67,247)</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26,032</w:t>
            </w:r>
          </w:p>
        </w:tc>
        <w:tc>
          <w:tcPr>
            <w:tcW w:w="100" w:type="dxa"/>
            <w:vAlign w:val="bottom"/>
          </w:tcPr>
          <w:p>
            <w:pPr>
              <w:spacing w:after="0"/>
              <w:rPr>
                <w:sz w:val="13"/>
                <w:szCs w:val="13"/>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4,935,795</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449,754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447,870</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left="578"/>
              <w:spacing w:after="0"/>
              <w:rPr>
                <w:sz w:val="20"/>
                <w:szCs w:val="20"/>
                <w:color w:val="auto"/>
              </w:rPr>
            </w:pPr>
            <w:r>
              <w:rPr>
                <w:rFonts w:ascii="Arial" w:cs="Arial" w:eastAsia="Arial" w:hAnsi="Arial"/>
                <w:sz w:val="12"/>
                <w:szCs w:val="12"/>
                <w:color w:val="auto"/>
                <w:w w:val="92"/>
              </w:rPr>
              <w:t>20,489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20,489</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distributions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(14,950)</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DRSPP proceeds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738</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Reallocation of noncontrolling interest in the operating partnership</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(9,851)</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Deferred compensation plan and stock awards, net of forfeitures and tax withholdings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32,583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32,583</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Repurchases of common units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(337,624)</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Proceeds from stock options exercised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to consolidated joint venture interests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Sale of interest in partially owned entity</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(4,476)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(4,476)</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distributions to noncontrolling interests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(6,631)</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Issuance of special distribution paid in units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123,529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123,529</w:t>
            </w:r>
          </w:p>
        </w:tc>
        <w:tc>
          <w:tcPr>
            <w:tcW w:w="0" w:type="dxa"/>
            <w:vAlign w:val="bottom"/>
          </w:tcPr>
          <w:p>
            <w:pPr>
              <w:spacing w:after="0"/>
              <w:rPr>
                <w:sz w:val="1"/>
                <w:szCs w:val="1"/>
                <w:color w:val="auto"/>
              </w:rPr>
            </w:pPr>
          </w:p>
        </w:tc>
      </w:tr>
      <w:tr>
        <w:trPr>
          <w:trHeight w:val="128"/>
        </w:trPr>
        <w:tc>
          <w:tcPr>
            <w:tcW w:w="50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Cash distributions declared ($6.2729 per common unit, none of which represented a return of</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 for federal income tax purposes)</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(410,373)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(410,373)</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221,932</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64,105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4,589,702</w:t>
            </w:r>
          </w:p>
        </w:tc>
        <w:tc>
          <w:tcPr>
            <w:tcW w:w="100" w:type="dxa"/>
            <w:vAlign w:val="bottom"/>
          </w:tcPr>
          <w:p>
            <w:pPr>
              <w:spacing w:after="0"/>
              <w:rPr>
                <w:sz w:val="13"/>
                <w:szCs w:val="13"/>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100" w:type="dxa"/>
            <w:vAlign w:val="bottom"/>
          </w:tcPr>
          <w:p>
            <w:pPr>
              <w:jc w:val="center"/>
              <w:ind w:left="578"/>
              <w:spacing w:after="0"/>
              <w:rPr>
                <w:sz w:val="20"/>
                <w:szCs w:val="20"/>
                <w:color w:val="auto"/>
              </w:rPr>
            </w:pPr>
            <w:r>
              <w:rPr>
                <w:rFonts w:ascii="Arial" w:cs="Arial" w:eastAsia="Arial" w:hAnsi="Arial"/>
                <w:sz w:val="12"/>
                <w:szCs w:val="12"/>
                <w:color w:val="auto"/>
                <w:w w:val="93"/>
              </w:rPr>
              <w:t>(46,758)</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13,377</w:t>
            </w:r>
          </w:p>
        </w:tc>
        <w:tc>
          <w:tcPr>
            <w:tcW w:w="100" w:type="dxa"/>
            <w:vAlign w:val="bottom"/>
          </w:tcPr>
          <w:p>
            <w:pPr>
              <w:spacing w:after="0"/>
              <w:rPr>
                <w:sz w:val="13"/>
                <w:szCs w:val="13"/>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4,778,253</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(76,952)</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Acquisition of subsidiary interest from noncontrolling interest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(29,742)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(29,817)</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578"/>
              <w:spacing w:after="0"/>
              <w:rPr>
                <w:sz w:val="20"/>
                <w:szCs w:val="20"/>
                <w:color w:val="auto"/>
              </w:rPr>
            </w:pPr>
            <w:r>
              <w:rPr>
                <w:rFonts w:ascii="Arial" w:cs="Arial" w:eastAsia="Arial" w:hAnsi="Arial"/>
                <w:sz w:val="12"/>
                <w:szCs w:val="12"/>
                <w:color w:val="auto"/>
                <w:w w:val="92"/>
              </w:rPr>
              <w:t>96,362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96,362</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Preferred distributions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(14,950)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(14,950)</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DRSPP proceeds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Reallocation of noncontrolling interest in the operating partnership</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39,974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39,974</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compensation plan and stock awards, net of forfeitures and tax withholdings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32,034</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Repurchases of common units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(151,197)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(151,197)</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to consolidated joint venture interests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52,164</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Arial" w:cs="Arial" w:eastAsia="Arial" w:hAnsi="Arial"/>
                <w:sz w:val="12"/>
                <w:szCs w:val="12"/>
                <w:color w:val="auto"/>
              </w:rPr>
              <w:t>Cash distributions to noncontrolling interests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(4,699)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(4,699)</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special distribution paid in units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160,620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160,620</w:t>
            </w:r>
          </w:p>
        </w:tc>
        <w:tc>
          <w:tcPr>
            <w:tcW w:w="0" w:type="dxa"/>
            <w:vAlign w:val="bottom"/>
          </w:tcPr>
          <w:p>
            <w:pPr>
              <w:spacing w:after="0"/>
              <w:rPr>
                <w:sz w:val="1"/>
                <w:szCs w:val="1"/>
                <w:color w:val="auto"/>
              </w:rPr>
            </w:pPr>
          </w:p>
        </w:tc>
      </w:tr>
      <w:tr>
        <w:trPr>
          <w:trHeight w:val="120"/>
        </w:trPr>
        <w:tc>
          <w:tcPr>
            <w:tcW w:w="5020" w:type="dxa"/>
            <w:vAlign w:val="bottom"/>
          </w:tcPr>
          <w:p>
            <w:pPr>
              <w:ind w:left="20"/>
              <w:spacing w:after="0" w:line="120" w:lineRule="exact"/>
              <w:rPr>
                <w:sz w:val="20"/>
                <w:szCs w:val="20"/>
                <w:color w:val="auto"/>
              </w:rPr>
            </w:pPr>
            <w:r>
              <w:rPr>
                <w:rFonts w:ascii="Arial" w:cs="Arial" w:eastAsia="Arial" w:hAnsi="Arial"/>
                <w:sz w:val="12"/>
                <w:szCs w:val="12"/>
                <w:color w:val="auto"/>
              </w:rPr>
              <w:t>Cash distributions declared ($3.6896 per common unit, none of which represented a return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capital for federal income tax purposes)</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(235,395)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(235,395)</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221,932</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64,380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4,313,497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bottom w:val="single" w:sz="8" w:color="auto"/>
            </w:tcBorders>
            <w:shd w:val="clear" w:color="auto" w:fill="CCEEFF"/>
          </w:tcPr>
          <w:p>
            <w:pPr>
              <w:jc w:val="center"/>
              <w:ind w:left="578"/>
              <w:spacing w:after="0"/>
              <w:rPr>
                <w:sz w:val="20"/>
                <w:szCs w:val="20"/>
                <w:color w:val="auto"/>
              </w:rPr>
            </w:pPr>
            <w:r>
              <w:rPr>
                <w:rFonts w:ascii="Arial" w:cs="Arial" w:eastAsia="Arial" w:hAnsi="Arial"/>
                <w:sz w:val="12"/>
                <w:szCs w:val="12"/>
                <w:b w:val="1"/>
                <w:bCs w:val="1"/>
                <w:color w:val="auto"/>
                <w:w w:val="92"/>
              </w:rPr>
              <w:t>49,604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61,889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4,646,922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7"/>
        </w:trPr>
        <w:tc>
          <w:tcPr>
            <w:tcW w:w="70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0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(76,303)</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480,632</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414,758</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223,123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228,293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325,462</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net loss from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57,958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25,195</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Distributions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679</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net loss (gain) on sale of interest in unconsolidated joint venture interest/real estate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Purchase price and other fair value adjustments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(210,070)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(187,522)</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Depreciable real estate reserves and impairments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60,454</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Loss (gain) on sale of real estate,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84,485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(287,417)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(215,506)</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 loss reserves and other investment reserves, net of recoveries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35,298</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(7,582)</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22,403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11,984</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15,178</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Tenant and other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(17,074)</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Related party receivables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6,666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1,451</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lease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(20,900)</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(26,137)</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expenses, other liabilities and security deposits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132,171</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20,657</w:t>
            </w: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lease liability - operating leases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r>
      <w:tr>
        <w:trPr>
          <w:trHeight w:val="204"/>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276,088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255,979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554,236</w:t>
            </w:r>
          </w:p>
        </w:tc>
      </w:tr>
      <w:tr>
        <w:trPr>
          <w:trHeight w:val="20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Acquisitions of real estate property</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(64,491)</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(152,791)</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(86,846)</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land, buildings and improvements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(300,770)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(458,140)</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(184,518)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(88,872)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(70,315)</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141,742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770,604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124,572</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626,364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651,594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1,112,382</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restricted cash assumed from acquisition of real estate investment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60,494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Cash assumed from consolidation of real estate investment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or redemption of marketable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32,479</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Origination of debt and preferred equity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(51,367)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(95,695)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(360,953)</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181,293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763,251</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0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425,805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993,581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1,056,430</w:t>
            </w:r>
          </w:p>
        </w:tc>
      </w:tr>
      <w:tr>
        <w:trPr>
          <w:trHeight w:val="235"/>
        </w:trPr>
        <w:tc>
          <w:tcPr>
            <w:tcW w:w="7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mortgages and other loans payable</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381,980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1,181,892</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Repayments of mortgages and other loans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(292,364)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(375,044)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(1,186,828)</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revolving credit facility and senior unsecured notes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1,524,000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1,495,000</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Repayments of revolving credit facility and senior unsecured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(1,864,000)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(1,808,000)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(1,875,000)</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options exercised and DRSPP issuance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Repurchase of common units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(151,197)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(341,403)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(528,483)</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units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(82,750)</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Redemption of OP units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(40,901)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(27,342)</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in other partnerships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(85,468)</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Contributions from noncontrolling interests in other partnerships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52,164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12,477</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subsidiary interest from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(29,817)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Distributions paid on common and preferred units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(278,408)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(306,648)</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obligation related to secured borrowing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77,874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Tax withholdings related to restricted share awards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(3,915)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(4,752)</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loan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(70,036)</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Principal payments of on financing lease liabilities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(833)</w:t>
            </w:r>
          </w:p>
        </w:tc>
      </w:tr>
      <w:tr>
        <w:trPr>
          <w:trHeight w:val="209"/>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(654,823)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(1,285,371)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(1,479,301)</w:t>
            </w:r>
          </w:p>
        </w:tc>
      </w:tr>
      <w:tr>
        <w:trPr>
          <w:trHeight w:val="204"/>
        </w:trPr>
        <w:tc>
          <w:tcPr>
            <w:tcW w:w="708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47,070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131,365</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336,984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372,795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241,430</w:t>
            </w:r>
          </w:p>
        </w:tc>
      </w:tr>
      <w:tr>
        <w:trPr>
          <w:trHeight w:val="209"/>
        </w:trPr>
        <w:tc>
          <w:tcPr>
            <w:tcW w:w="70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384,054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336,984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372,795</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0"/>
        </w:trPr>
        <w:tc>
          <w:tcPr>
            <w:tcW w:w="7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169,519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201,348</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5,358</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4,405</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2,296</w:t>
            </w:r>
          </w:p>
        </w:tc>
      </w:tr>
      <w:tr>
        <w:trPr>
          <w:trHeight w:val="255"/>
        </w:trPr>
        <w:tc>
          <w:tcPr>
            <w:tcW w:w="7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units in the Operating Partnership</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8,744</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Redemption of units in the Operating Partnership for a joint venture sale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of preferred equity investment for real estate or equity in joint venture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190,652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119,497</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Exchange of debt investment for real estate or equity in joint venture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193,995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122,796</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 of mortgage and mezzanine loans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1,712,750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Issuance of special distribution paid in units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160,620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121,418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 and capital expenditures payable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Fair value adjustment to noncontrolling interest in the Operating Partnership</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39,974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32,598</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joint venture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47,135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Deconsolidation of a subsidiary</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66,837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854,437</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Deconsolidation of a subsidiary mortgage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Mortgages assumed in connection with sale of real estate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Seller financed purchases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Debt and preferred equity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9,014</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of assets related to assets held for sale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3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080" w:type="dxa"/>
            <w:vAlign w:val="bottom"/>
          </w:tcPr>
          <w:p>
            <w:pPr>
              <w:spacing w:after="0"/>
              <w:rPr>
                <w:sz w:val="17"/>
                <w:szCs w:val="17"/>
                <w:color w:val="auto"/>
              </w:rPr>
            </w:pPr>
          </w:p>
        </w:tc>
        <w:tc>
          <w:tcPr>
            <w:tcW w:w="1580" w:type="dxa"/>
            <w:vAlign w:val="bottom"/>
          </w:tcPr>
          <w:p>
            <w:pPr>
              <w:jc w:val="right"/>
              <w:ind w:right="680"/>
              <w:spacing w:after="0"/>
              <w:rPr>
                <w:sz w:val="20"/>
                <w:szCs w:val="20"/>
                <w:color w:val="auto"/>
              </w:rPr>
            </w:pPr>
            <w:r>
              <w:rPr>
                <w:rFonts w:ascii="Arial" w:cs="Arial" w:eastAsia="Arial" w:hAnsi="Arial"/>
                <w:sz w:val="16"/>
                <w:szCs w:val="16"/>
                <w:b w:val="1"/>
                <w:bCs w:val="1"/>
                <w:color w:val="auto"/>
              </w:rPr>
              <w:t>2022</w:t>
            </w:r>
          </w:p>
        </w:tc>
        <w:tc>
          <w:tcPr>
            <w:tcW w:w="1580" w:type="dxa"/>
            <w:vAlign w:val="bottom"/>
          </w:tcPr>
          <w:p>
            <w:pPr>
              <w:jc w:val="right"/>
              <w:ind w:right="840"/>
              <w:spacing w:after="0"/>
              <w:rPr>
                <w:sz w:val="20"/>
                <w:szCs w:val="20"/>
                <w:color w:val="auto"/>
              </w:rPr>
            </w:pPr>
            <w:r>
              <w:rPr>
                <w:rFonts w:ascii="Arial" w:cs="Arial" w:eastAsia="Arial" w:hAnsi="Arial"/>
                <w:sz w:val="16"/>
                <w:szCs w:val="16"/>
                <w:b w:val="1"/>
                <w:bCs w:val="1"/>
                <w:color w:val="auto"/>
              </w:rPr>
              <w:t>2021</w:t>
            </w:r>
          </w:p>
        </w:tc>
        <w:tc>
          <w:tcPr>
            <w:tcW w:w="1000" w:type="dxa"/>
            <w:vAlign w:val="bottom"/>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Reversal of assets held for sale</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391,664</w:t>
            </w:r>
          </w:p>
        </w:tc>
      </w:tr>
      <w:tr>
        <w:trPr>
          <w:trHeight w:val="216"/>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of liabilities related to assets held for sale</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64,120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Extinguishment of debt in connection with property dispositions</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53,548</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Consolidation of real estate investment</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119,444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Removal of fully depreciated commercial real estate properties</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30,359</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19,831</w:t>
            </w:r>
          </w:p>
        </w:tc>
        <w:tc>
          <w:tcPr>
            <w:tcW w:w="1000" w:type="dxa"/>
            <w:vAlign w:val="bottom"/>
          </w:tcPr>
          <w:p>
            <w:pPr>
              <w:jc w:val="right"/>
              <w:spacing w:after="0"/>
              <w:rPr>
                <w:sz w:val="20"/>
                <w:szCs w:val="20"/>
                <w:color w:val="auto"/>
              </w:rPr>
            </w:pPr>
            <w:r>
              <w:rPr>
                <w:rFonts w:ascii="Arial" w:cs="Arial" w:eastAsia="Arial" w:hAnsi="Arial"/>
                <w:sz w:val="16"/>
                <w:szCs w:val="16"/>
                <w:color w:val="auto"/>
              </w:rPr>
              <w:t>66,169</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interest in partially owned entity</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4,476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358</w:t>
            </w:r>
          </w:p>
        </w:tc>
        <w:tc>
          <w:tcPr>
            <w:tcW w:w="1000" w:type="dxa"/>
            <w:vAlign w:val="bottom"/>
          </w:tcPr>
          <w:p>
            <w:pPr>
              <w:jc w:val="right"/>
              <w:spacing w:after="0"/>
              <w:rPr>
                <w:sz w:val="20"/>
                <w:szCs w:val="20"/>
                <w:color w:val="auto"/>
              </w:rPr>
            </w:pPr>
            <w:r>
              <w:rPr>
                <w:rFonts w:ascii="Arial" w:cs="Arial" w:eastAsia="Arial" w:hAnsi="Arial"/>
                <w:sz w:val="16"/>
                <w:szCs w:val="16"/>
                <w:color w:val="auto"/>
              </w:rPr>
              <w:t>6,613</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payable</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w:t>
            </w:r>
          </w:p>
        </w:tc>
      </w:tr>
      <w:tr>
        <w:trPr>
          <w:trHeight w:val="211"/>
        </w:trPr>
        <w:tc>
          <w:tcPr>
            <w:tcW w:w="7080" w:type="dxa"/>
            <w:vAlign w:val="bottom"/>
          </w:tcPr>
          <w:p>
            <w:pPr>
              <w:ind w:left="20"/>
              <w:spacing w:after="0"/>
              <w:rPr>
                <w:sz w:val="20"/>
                <w:szCs w:val="20"/>
                <w:color w:val="auto"/>
              </w:rPr>
            </w:pPr>
            <w:r>
              <w:rPr>
                <w:rFonts w:ascii="Arial" w:cs="Arial" w:eastAsia="Arial" w:hAnsi="Arial"/>
                <w:sz w:val="16"/>
                <w:szCs w:val="16"/>
                <w:color w:val="auto"/>
              </w:rPr>
              <w:t>Recognition of sales-type leases and related lease liabilities</w:t>
            </w:r>
          </w:p>
        </w:tc>
        <w:tc>
          <w:tcPr>
            <w:tcW w:w="15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119,725</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Recognition of right of use assets and related lease liabilities</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57,938</w:t>
            </w:r>
          </w:p>
        </w:tc>
        <w:tc>
          <w:tcPr>
            <w:tcW w:w="1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537,344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61,990</w:t>
            </w:r>
          </w:p>
        </w:tc>
      </w:tr>
    </w:tbl>
    <w:p>
      <w:pPr>
        <w:spacing w:after="0" w:line="214"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In December 2022, the Company declared a regular monthly distribution per share of $0.2708. This distribution was paid in January 2023. In December 2021, the Company declared a regular monthly distribution per share of $0.3108 that was paid in cash and a special distribution per share of $2.4392 that was paid entirely in stock. These distributions were paid in January 2022. In December 2020, the Company declared a regular monthly distribution per share of $0.3217 that was paid in cash and a special distribution per share of $1.7996 that was paid entirely in stock. These distributions were paid in January 2021.</w:t>
      </w:r>
    </w:p>
    <w:p>
      <w:pPr>
        <w:spacing w:after="0" w:line="89"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Year Ended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7"/>
        </w:trPr>
        <w:tc>
          <w:tcPr>
            <w:tcW w:w="7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266,059</w:t>
            </w:r>
          </w:p>
        </w:tc>
      </w:tr>
      <w:tr>
        <w:trPr>
          <w:trHeight w:val="21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180,781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106,736</w:t>
            </w:r>
          </w:p>
        </w:tc>
      </w:tr>
      <w:tr>
        <w:trPr>
          <w:trHeight w:val="209"/>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cash equivalents, and restricted cash</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384,054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372,795</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18"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S.L. Green Management Corp, or the Service Corporation. All of the management, leasing and construction services that are provided to the properties that are wholly-owned by us and that are provided to certain joint ventures are conducted through SL Green Management LLC and S.L. Green Management Corp., respectively, which are 100% owned by the Operating Partnership.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spacing w:after="0" w:line="63"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Substantially all of our assets are held by, and all of our operations are conducted through, the Operating Partnership. The Company is the sole managing general partner of the Operating Partnership. As of December 31, 2022, noncontrolling investors held, in the aggregate, a 5.39%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spacing w:after="0" w:line="89"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On December 31, 2022, we owned the following interests in properties in the New York metropolitan area, primarily in midtown Manhattan. Our investments located outside of Manhattan are referred to as the Suburban properties: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4"/>
          </w:tcPr>
          <w:p>
            <w:pPr>
              <w:ind w:left="720"/>
              <w:spacing w:after="0"/>
              <w:rPr>
                <w:sz w:val="20"/>
                <w:szCs w:val="20"/>
                <w:color w:val="auto"/>
              </w:rPr>
            </w:pPr>
            <w:r>
              <w:rPr>
                <w:rFonts w:ascii="Arial" w:cs="Arial" w:eastAsia="Arial" w:hAnsi="Arial"/>
                <w:sz w:val="14"/>
                <w:szCs w:val="14"/>
                <w:b w:val="1"/>
                <w:bCs w:val="1"/>
                <w:color w:val="auto"/>
              </w:rPr>
              <w:t>Consolidated</w:t>
            </w:r>
          </w:p>
        </w:tc>
        <w:tc>
          <w:tcPr>
            <w:tcW w:w="2220" w:type="dxa"/>
            <w:vAlign w:val="bottom"/>
            <w:gridSpan w:val="4"/>
          </w:tcPr>
          <w:p>
            <w:pPr>
              <w:ind w:left="580"/>
              <w:spacing w:after="0"/>
              <w:rPr>
                <w:sz w:val="20"/>
                <w:szCs w:val="20"/>
                <w:color w:val="auto"/>
              </w:rPr>
            </w:pPr>
            <w:r>
              <w:rPr>
                <w:rFonts w:ascii="Arial" w:cs="Arial" w:eastAsia="Arial" w:hAnsi="Arial"/>
                <w:sz w:val="14"/>
                <w:szCs w:val="14"/>
                <w:b w:val="1"/>
                <w:bCs w:val="1"/>
                <w:color w:val="auto"/>
              </w:rPr>
              <w:t>Unconsolidated</w:t>
            </w:r>
          </w:p>
        </w:tc>
        <w:tc>
          <w:tcPr>
            <w:tcW w:w="880" w:type="dxa"/>
            <w:vAlign w:val="bottom"/>
          </w:tcPr>
          <w:p>
            <w:pPr>
              <w:spacing w:after="0"/>
              <w:rPr>
                <w:sz w:val="16"/>
                <w:szCs w:val="16"/>
                <w:color w:val="auto"/>
              </w:rPr>
            </w:pPr>
          </w:p>
        </w:tc>
        <w:tc>
          <w:tcPr>
            <w:tcW w:w="1240" w:type="dxa"/>
            <w:vAlign w:val="bottom"/>
            <w:gridSpan w:val="3"/>
          </w:tcPr>
          <w:p>
            <w:pPr>
              <w:jc w:val="right"/>
              <w:ind w:right="849"/>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0"/>
        </w:trPr>
        <w:tc>
          <w:tcPr>
            <w:tcW w:w="1000" w:type="dxa"/>
            <w:vAlign w:val="bottom"/>
          </w:tcPr>
          <w:p>
            <w:pPr>
              <w:spacing w:after="0"/>
              <w:rPr>
                <w:sz w:val="11"/>
                <w:szCs w:val="11"/>
                <w:color w:val="auto"/>
              </w:rPr>
            </w:pPr>
          </w:p>
        </w:tc>
        <w:tc>
          <w:tcPr>
            <w:tcW w:w="18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Property</w:t>
            </w:r>
          </w:p>
        </w:tc>
        <w:tc>
          <w:tcPr>
            <w:tcW w:w="320" w:type="dxa"/>
            <w:vAlign w:val="bottom"/>
          </w:tcPr>
          <w:p>
            <w:pPr>
              <w:spacing w:after="0"/>
              <w:rPr>
                <w:sz w:val="11"/>
                <w:szCs w:val="11"/>
                <w:color w:val="auto"/>
              </w:rPr>
            </w:pPr>
          </w:p>
        </w:tc>
        <w:tc>
          <w:tcPr>
            <w:tcW w:w="118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3"/>
              </w:rPr>
              <w:t>Approximate</w:t>
            </w:r>
          </w:p>
        </w:tc>
        <w:tc>
          <w:tcPr>
            <w:tcW w:w="120" w:type="dxa"/>
            <w:vAlign w:val="bottom"/>
          </w:tcPr>
          <w:p>
            <w:pPr>
              <w:spacing w:after="0"/>
              <w:rPr>
                <w:sz w:val="11"/>
                <w:szCs w:val="11"/>
                <w:color w:val="auto"/>
              </w:rPr>
            </w:pPr>
          </w:p>
        </w:tc>
        <w:tc>
          <w:tcPr>
            <w:tcW w:w="10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3"/>
              </w:rPr>
              <w:t>Approximate</w:t>
            </w:r>
          </w:p>
        </w:tc>
        <w:tc>
          <w:tcPr>
            <w:tcW w:w="120" w:type="dxa"/>
            <w:vAlign w:val="bottom"/>
          </w:tcPr>
          <w:p>
            <w:pPr>
              <w:spacing w:after="0"/>
              <w:rPr>
                <w:sz w:val="11"/>
                <w:szCs w:val="11"/>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b w:val="1"/>
                <w:bCs w:val="1"/>
                <w:color w:val="auto"/>
              </w:rPr>
              <w:t>Number of</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3"/>
              </w:rPr>
              <w:t>Approximate</w:t>
            </w: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8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Square Feet</w:t>
            </w:r>
          </w:p>
        </w:tc>
        <w:tc>
          <w:tcPr>
            <w:tcW w:w="102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2"/>
              </w:rPr>
              <w:t>Square Feet</w:t>
            </w: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Square Feet</w:t>
            </w:r>
          </w:p>
        </w:tc>
        <w:tc>
          <w:tcPr>
            <w:tcW w:w="100" w:type="dxa"/>
            <w:vAlign w:val="bottom"/>
          </w:tcPr>
          <w:p>
            <w:pPr>
              <w:spacing w:after="0"/>
              <w:rPr>
                <w:sz w:val="12"/>
                <w:szCs w:val="12"/>
                <w:color w:val="auto"/>
              </w:rPr>
            </w:pPr>
          </w:p>
        </w:tc>
        <w:tc>
          <w:tcPr>
            <w:tcW w:w="12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Occupancy</w:t>
            </w:r>
            <w:r>
              <w:rPr>
                <w:rFonts w:ascii="Arial" w:cs="Arial" w:eastAsia="Arial" w:hAnsi="Arial"/>
                <w:sz w:val="10"/>
                <w:szCs w:val="10"/>
                <w:b w:val="1"/>
                <w:bCs w:val="1"/>
                <w:color w:val="auto"/>
                <w:w w:val="91"/>
              </w:rPr>
              <w:t>(1)</w:t>
            </w:r>
          </w:p>
        </w:tc>
        <w:tc>
          <w:tcPr>
            <w:tcW w:w="0" w:type="dxa"/>
            <w:vAlign w:val="bottom"/>
          </w:tcPr>
          <w:p>
            <w:pPr>
              <w:spacing w:after="0"/>
              <w:rPr>
                <w:sz w:val="1"/>
                <w:szCs w:val="1"/>
                <w:color w:val="auto"/>
              </w:rPr>
            </w:pPr>
          </w:p>
        </w:tc>
      </w:tr>
      <w:tr>
        <w:trPr>
          <w:trHeight w:val="194"/>
        </w:trPr>
        <w:tc>
          <w:tcPr>
            <w:tcW w:w="1000" w:type="dxa"/>
            <w:vAlign w:val="bottom"/>
            <w:vMerge w:val="continue"/>
          </w:tcPr>
          <w:p>
            <w:pPr>
              <w:spacing w:after="0"/>
              <w:rPr>
                <w:sz w:val="16"/>
                <w:szCs w:val="16"/>
                <w:color w:val="auto"/>
              </w:rPr>
            </w:pPr>
          </w:p>
        </w:tc>
        <w:tc>
          <w:tcPr>
            <w:tcW w:w="1860" w:type="dxa"/>
            <w:vAlign w:val="bottom"/>
          </w:tcPr>
          <w:p>
            <w:pPr>
              <w:ind w:left="860"/>
              <w:spacing w:after="0"/>
              <w:rPr>
                <w:sz w:val="20"/>
                <w:szCs w:val="20"/>
                <w:color w:val="auto"/>
              </w:rPr>
            </w:pPr>
            <w:r>
              <w:rPr>
                <w:rFonts w:ascii="Arial" w:cs="Arial" w:eastAsia="Arial" w:hAnsi="Arial"/>
                <w:sz w:val="14"/>
                <w:szCs w:val="14"/>
                <w:b w:val="1"/>
                <w:bCs w:val="1"/>
                <w:color w:val="auto"/>
              </w:rPr>
              <w:t>Type</w:t>
            </w:r>
          </w:p>
        </w:tc>
        <w:tc>
          <w:tcPr>
            <w:tcW w:w="3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Buildings</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(unaudited)</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Buildings</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(unaudited)</w:t>
            </w:r>
          </w:p>
        </w:tc>
        <w:tc>
          <w:tcPr>
            <w:tcW w:w="880" w:type="dxa"/>
            <w:vAlign w:val="bottom"/>
          </w:tcPr>
          <w:p>
            <w:pPr>
              <w:jc w:val="right"/>
              <w:ind w:right="69"/>
              <w:spacing w:after="0"/>
              <w:rPr>
                <w:sz w:val="20"/>
                <w:szCs w:val="20"/>
                <w:color w:val="auto"/>
              </w:rPr>
            </w:pPr>
            <w:r>
              <w:rPr>
                <w:rFonts w:ascii="Arial" w:cs="Arial" w:eastAsia="Arial" w:hAnsi="Arial"/>
                <w:sz w:val="14"/>
                <w:szCs w:val="14"/>
                <w:b w:val="1"/>
                <w:bCs w:val="1"/>
                <w:color w:val="auto"/>
              </w:rPr>
              <w:t>Buildings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9"/>
        </w:trPr>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Commercial:</w:t>
            </w:r>
          </w:p>
        </w:tc>
        <w:tc>
          <w:tcPr>
            <w:tcW w:w="1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0" w:type="dxa"/>
            <w:vAlign w:val="bottom"/>
          </w:tcPr>
          <w:p>
            <w:pPr>
              <w:ind w:left="20"/>
              <w:spacing w:after="0"/>
              <w:rPr>
                <w:sz w:val="20"/>
                <w:szCs w:val="20"/>
                <w:color w:val="auto"/>
              </w:rPr>
            </w:pPr>
            <w:r>
              <w:rPr>
                <w:rFonts w:ascii="Arial" w:cs="Arial" w:eastAsia="Arial" w:hAnsi="Arial"/>
                <w:sz w:val="14"/>
                <w:szCs w:val="14"/>
                <w:color w:val="auto"/>
              </w:rPr>
              <w:t>Manhattan</w:t>
            </w:r>
          </w:p>
        </w:tc>
        <w:tc>
          <w:tcPr>
            <w:tcW w:w="1860" w:type="dxa"/>
            <w:vAlign w:val="bottom"/>
          </w:tcPr>
          <w:p>
            <w:pPr>
              <w:ind w:left="160"/>
              <w:spacing w:after="0"/>
              <w:rPr>
                <w:sz w:val="20"/>
                <w:szCs w:val="20"/>
                <w:color w:val="auto"/>
              </w:rPr>
            </w:pPr>
            <w:r>
              <w:rPr>
                <w:rFonts w:ascii="Arial" w:cs="Arial" w:eastAsia="Arial" w:hAnsi="Arial"/>
                <w:sz w:val="14"/>
                <w:szCs w:val="14"/>
                <w:color w:val="auto"/>
              </w:rPr>
              <w:t>Office</w:t>
            </w: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9,963,138</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13,998,381</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c>
          <w:tcPr>
            <w:tcW w:w="1240" w:type="dxa"/>
            <w:vAlign w:val="bottom"/>
            <w:gridSpan w:val="3"/>
          </w:tcPr>
          <w:p>
            <w:pPr>
              <w:jc w:val="right"/>
              <w:ind w:right="9"/>
              <w:spacing w:after="0"/>
              <w:rPr>
                <w:sz w:val="20"/>
                <w:szCs w:val="20"/>
                <w:color w:val="auto"/>
              </w:rPr>
            </w:pPr>
            <w:r>
              <w:rPr>
                <w:rFonts w:ascii="Arial" w:cs="Arial" w:eastAsia="Arial" w:hAnsi="Arial"/>
                <w:sz w:val="14"/>
                <w:szCs w:val="14"/>
                <w:color w:val="auto"/>
              </w:rPr>
              <w:t>23,961,519</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90.7 %</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Retail</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301,996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4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319,884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91.2 %</w:t>
            </w: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w w:val="91"/>
              </w:rPr>
              <w:t>Development/Redevelopment</w:t>
            </w:r>
          </w:p>
        </w:tc>
        <w:tc>
          <w:tcPr>
            <w:tcW w:w="320" w:type="dxa"/>
            <w:vAlign w:val="bottom"/>
          </w:tcPr>
          <w:p>
            <w:pPr>
              <w:jc w:val="right"/>
              <w:ind w:right="47"/>
              <w:spacing w:after="0"/>
              <w:rPr>
                <w:sz w:val="20"/>
                <w:szCs w:val="20"/>
                <w:color w:val="auto"/>
              </w:rPr>
            </w:pPr>
            <w:r>
              <w:rPr>
                <w:rFonts w:ascii="Arial" w:cs="Arial" w:eastAsia="Arial" w:hAnsi="Arial"/>
                <w:sz w:val="11"/>
                <w:szCs w:val="11"/>
                <w:color w:val="auto"/>
              </w:rPr>
              <w:t>(1)</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1,685,215</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2,746,241</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240" w:type="dxa"/>
            <w:vAlign w:val="bottom"/>
            <w:gridSpan w:val="3"/>
          </w:tcPr>
          <w:p>
            <w:pPr>
              <w:jc w:val="right"/>
              <w:ind w:right="9"/>
              <w:spacing w:after="0"/>
              <w:rPr>
                <w:sz w:val="20"/>
                <w:szCs w:val="20"/>
                <w:color w:val="auto"/>
              </w:rPr>
            </w:pPr>
            <w:r>
              <w:rPr>
                <w:rFonts w:ascii="Arial" w:cs="Arial" w:eastAsia="Arial" w:hAnsi="Arial"/>
                <w:sz w:val="14"/>
                <w:szCs w:val="14"/>
                <w:color w:val="auto"/>
              </w:rPr>
              <w:t>4,431,456</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0"/>
        </w:trPr>
        <w:tc>
          <w:tcPr>
            <w:tcW w:w="10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11,666,241</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17,046,618</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28,712,859</w:t>
            </w:r>
          </w:p>
        </w:tc>
        <w:tc>
          <w:tcPr>
            <w:tcW w:w="13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90.7 %</w:t>
            </w:r>
          </w:p>
        </w:tc>
        <w:tc>
          <w:tcPr>
            <w:tcW w:w="0" w:type="dxa"/>
            <w:vAlign w:val="bottom"/>
          </w:tcPr>
          <w:p>
            <w:pPr>
              <w:spacing w:after="0"/>
              <w:rPr>
                <w:sz w:val="1"/>
                <w:szCs w:val="1"/>
                <w:color w:val="auto"/>
              </w:rPr>
            </w:pPr>
          </w:p>
        </w:tc>
      </w:tr>
      <w:tr>
        <w:trPr>
          <w:trHeight w:val="193"/>
        </w:trPr>
        <w:tc>
          <w:tcPr>
            <w:tcW w:w="1000" w:type="dxa"/>
            <w:vAlign w:val="bottom"/>
          </w:tcPr>
          <w:p>
            <w:pPr>
              <w:ind w:left="20"/>
              <w:spacing w:after="0"/>
              <w:rPr>
                <w:sz w:val="20"/>
                <w:szCs w:val="20"/>
                <w:color w:val="auto"/>
              </w:rPr>
            </w:pPr>
            <w:r>
              <w:rPr>
                <w:rFonts w:ascii="Arial" w:cs="Arial" w:eastAsia="Arial" w:hAnsi="Arial"/>
                <w:sz w:val="14"/>
                <w:szCs w:val="14"/>
                <w:color w:val="auto"/>
              </w:rPr>
              <w:t>Suburban</w:t>
            </w:r>
          </w:p>
        </w:tc>
        <w:tc>
          <w:tcPr>
            <w:tcW w:w="1860" w:type="dxa"/>
            <w:vAlign w:val="bottom"/>
          </w:tcPr>
          <w:p>
            <w:pPr>
              <w:ind w:left="160"/>
              <w:spacing w:after="0"/>
              <w:rPr>
                <w:sz w:val="20"/>
                <w:szCs w:val="20"/>
                <w:color w:val="auto"/>
              </w:rPr>
            </w:pPr>
            <w:r>
              <w:rPr>
                <w:rFonts w:ascii="Arial" w:cs="Arial" w:eastAsia="Arial" w:hAnsi="Arial"/>
                <w:sz w:val="14"/>
                <w:szCs w:val="14"/>
                <w:color w:val="auto"/>
              </w:rPr>
              <w:t>Office</w:t>
            </w: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862,800</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240" w:type="dxa"/>
            <w:vAlign w:val="bottom"/>
            <w:gridSpan w:val="3"/>
          </w:tcPr>
          <w:p>
            <w:pPr>
              <w:jc w:val="right"/>
              <w:ind w:right="9"/>
              <w:spacing w:after="0"/>
              <w:rPr>
                <w:sz w:val="20"/>
                <w:szCs w:val="20"/>
                <w:color w:val="auto"/>
              </w:rPr>
            </w:pPr>
            <w:r>
              <w:rPr>
                <w:rFonts w:ascii="Arial" w:cs="Arial" w:eastAsia="Arial" w:hAnsi="Arial"/>
                <w:sz w:val="14"/>
                <w:szCs w:val="14"/>
                <w:color w:val="auto"/>
              </w:rPr>
              <w:t>862,800</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79.3 %</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commercial properties</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12,529,041</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17,046,618</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29,575,659</w:t>
            </w:r>
          </w:p>
        </w:tc>
        <w:tc>
          <w:tcPr>
            <w:tcW w:w="13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90.3 %</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Residential:</w:t>
            </w: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Manhattan</w:t>
            </w: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Residential</w:t>
            </w:r>
          </w:p>
        </w:tc>
        <w:tc>
          <w:tcPr>
            <w:tcW w:w="3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140,382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4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140,382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89.5 %</w:t>
            </w:r>
          </w:p>
        </w:tc>
        <w:tc>
          <w:tcPr>
            <w:tcW w:w="0" w:type="dxa"/>
            <w:vAlign w:val="bottom"/>
          </w:tcPr>
          <w:p>
            <w:pPr>
              <w:spacing w:after="0"/>
              <w:rPr>
                <w:sz w:val="1"/>
                <w:szCs w:val="1"/>
                <w:color w:val="auto"/>
              </w:rPr>
            </w:pPr>
          </w:p>
        </w:tc>
      </w:tr>
      <w:tr>
        <w:trPr>
          <w:trHeight w:val="193"/>
        </w:trPr>
        <w:tc>
          <w:tcPr>
            <w:tcW w:w="1000" w:type="dxa"/>
            <w:vAlign w:val="bottom"/>
          </w:tcPr>
          <w:p>
            <w:pPr>
              <w:ind w:left="20"/>
              <w:spacing w:after="0"/>
              <w:rPr>
                <w:sz w:val="20"/>
                <w:szCs w:val="20"/>
                <w:color w:val="auto"/>
              </w:rPr>
            </w:pPr>
            <w:r>
              <w:rPr>
                <w:rFonts w:ascii="Arial" w:cs="Arial" w:eastAsia="Arial" w:hAnsi="Arial"/>
                <w:sz w:val="14"/>
                <w:szCs w:val="14"/>
                <w:color w:val="auto"/>
              </w:rPr>
              <w:t>Total portfolio</w:t>
            </w: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12,669,423</w:t>
            </w: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17,046,618</w:t>
            </w:r>
          </w:p>
        </w:tc>
        <w:tc>
          <w:tcPr>
            <w:tcW w:w="1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29,716,041</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90.3 %</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400" w:hanging="394"/>
        <w:spacing w:after="0" w:line="255" w:lineRule="auto"/>
        <w:tabs>
          <w:tab w:leader="none" w:pos="392"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footage divided by the total square footage at acquisition. The weighted average occupancy for residential properties represents the total occupied units divided by the total available units. Properties under construction are not included in the calculation of weighted average occupancy.</w:t>
      </w:r>
    </w:p>
    <w:p>
      <w:pPr>
        <w:jc w:val="both"/>
        <w:ind w:left="400" w:hanging="394"/>
        <w:spacing w:after="0" w:line="257" w:lineRule="auto"/>
        <w:tabs>
          <w:tab w:leader="none" w:pos="392"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of December 31, 2022, we owned a building at 7 Dey Street / 185 Broadway that was comprised of approximately 140,382 square feet (unaudited) of residential space and approximately 50,206 square feet (unaudited) of office and retail space that is under development.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39"/>
        <w:spacing w:after="0" w:line="303" w:lineRule="auto"/>
        <w:rPr>
          <w:sz w:val="20"/>
          <w:szCs w:val="20"/>
          <w:color w:val="auto"/>
        </w:rPr>
      </w:pPr>
      <w:r>
        <w:rPr>
          <w:rFonts w:ascii="Arial" w:cs="Arial" w:eastAsia="Arial" w:hAnsi="Arial"/>
          <w:sz w:val="16"/>
          <w:szCs w:val="16"/>
          <w:color w:val="auto"/>
        </w:rPr>
        <w:t>As of December 31, 2022, we also managed one office building owned by a third party encompassing approximately 0.3 million square feet (unaudited), and held debt and preferred equity investments with a book value of $623.3 million, excluding debt and preferred equity investments and other financing receivables totaling $8.5 million that are included in balance sheet line items other than the Debt and preferred equity investments line item.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Agreement</w:t>
      </w:r>
    </w:p>
    <w:p>
      <w:pPr>
        <w:spacing w:after="0" w:line="118"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Long Term Incentive Plan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spacing w:after="0" w:line="82" w:lineRule="exact"/>
        <w:rPr>
          <w:sz w:val="20"/>
          <w:szCs w:val="20"/>
          <w:color w:val="auto"/>
        </w:rPr>
      </w:pPr>
    </w:p>
    <w:p>
      <w:pPr>
        <w:ind w:right="8720" w:firstLine="6"/>
        <w:spacing w:after="0" w:line="480" w:lineRule="auto"/>
        <w:tabs>
          <w:tab w:leader="none" w:pos="178"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 Principles of Consolidation</w:t>
      </w:r>
    </w:p>
    <w:p>
      <w:pPr>
        <w:spacing w:after="0" w:line="1"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The consolidated financial statements include our accounts and those of our subsidiaries, which are wholly-owned or controlled by us. Entities which we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86"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consolidate a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83"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A noncontrolling interest in a consolidated subsidiary is defined as the portion of the equity (net assets) in a subsidiary not attributable, directly or indirectly, to us. Noncontrolling interests are required to be presented as a separate component of equity in the consolidated balance sheet and the presentation of net income is modified to present earnings and other comprehensive income attributed to controlling and noncontrolling interests.</w:t>
      </w:r>
    </w:p>
    <w:p>
      <w:pPr>
        <w:spacing w:after="0" w:line="64" w:lineRule="exact"/>
        <w:rPr>
          <w:sz w:val="20"/>
          <w:szCs w:val="20"/>
          <w:color w:val="auto"/>
        </w:rPr>
      </w:pPr>
    </w:p>
    <w:p>
      <w:pPr>
        <w:jc w:val="both"/>
        <w:ind w:firstLine="439"/>
        <w:spacing w:after="0" w:line="284" w:lineRule="auto"/>
        <w:rPr>
          <w:sz w:val="20"/>
          <w:szCs w:val="20"/>
          <w:color w:val="auto"/>
        </w:rPr>
      </w:pPr>
      <w:r>
        <w:rPr>
          <w:rFonts w:ascii="Arial" w:cs="Arial" w:eastAsia="Arial" w:hAnsi="Arial"/>
          <w:sz w:val="16"/>
          <w:szCs w:val="16"/>
          <w:color w:val="auto"/>
        </w:rPr>
        <w:t>We assess the accounting treatment for each joint venture and debt and preferred equity investment. This assessment includes a review of each joint venture or limited liability company agreement to determine the rights provided to each party and whether those rights are protective or participating. For all VIEs, we review such agreements in order to determine which party has the power to direct the activities that most significantly impact the entity's economic performance. In situations where we and our partner approve, among other things, the annual budget, receive a detailed monthly reporting package, meet on a quarterly basis to review the results of the joint venture, review and approve the joint venture's tax return before filing, and approve all leases that cover more than a nominal amount of space relative to the total rentable space at each property, we do not consolidate the joint venture as we consider these to be substantive participation rights that result in shared power of the activities that most significantly impact the performance of the joint venture. Our joint venture agreements typically contain certain protective rights such as requiring partner approval to sell, finance or refinance the property and the payment of capital expenditures and operating expenditures outside of the approved budget or operating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Commercial Real Estate Properties</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Real estate properties are presented at cost less accumulated depreciation and amortization. Costs directly related to the development or redevelopment of properties are capitalized. Ordinary repairs and maintenance are expensed as incurred; major replacements and betterments, which improve or extend the life of the asset, are capitalized and depreciated over their estimated useful lives.</w:t>
      </w:r>
    </w:p>
    <w:p>
      <w:pPr>
        <w:spacing w:after="0" w:line="83"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We recognize the assets acquired, liabilities assumed (including contingencies) and any noncontrolling interests in an acquired entity at their respective fair values on the acquisition date. When we acquire our partner's equity interest in an existing unconsolidated joint venture and gain control over the investment, we record the consolidated investment at fair value. The difference between the book value of our equity investment on the purchase date and our share of the fair value of the investment's purchase price is recorded as a purchase price fair value adjustment in our consolidated statements of operations. See Note 3, "Property Acquisitions."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jc w:val="both"/>
        <w:ind w:firstLine="439"/>
        <w:spacing w:after="0" w:line="281" w:lineRule="auto"/>
        <w:rPr>
          <w:sz w:val="20"/>
          <w:szCs w:val="20"/>
          <w:color w:val="auto"/>
        </w:rPr>
      </w:pPr>
      <w:r>
        <w:rPr>
          <w:rFonts w:ascii="Arial" w:cs="Arial" w:eastAsia="Arial" w:hAnsi="Arial"/>
          <w:sz w:val="16"/>
          <w:szCs w:val="16"/>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3 years to 40 years. We amortize the amount allocated to the above- and below-market leases over the remaining term of the associated lease, which generally range from 1 year to 15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1 year to 15 years.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its contractual expiration date).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 As of December 31, 2022, the weighted average amortization period for above-market leases, below-market leases, and in-place lease costs is 6.3 years, 7.4 years, and 8.1 years, respectively.</w:t>
      </w:r>
    </w:p>
    <w:p>
      <w:pPr>
        <w:spacing w:after="0" w:line="72"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6"/>
          <w:szCs w:val="16"/>
          <w:color w:val="auto"/>
        </w:rPr>
        <w:t>The Company classifies those leases under which the Company is the lessee at lease commencement as finance or operating leases. Leases qualify as finance leases if the lease transfers ownership of the asset at the end of the lease term, the lease grants an option to purchase the asset that we are reasonably certain to exercise, the lease term is for a major part of the remaining economic life of the asset, or the present value of the lease payments exceeds substantially all of the fair value of the asset.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When applicable, the Company combines the consideration for lease and non-lease components in the calculation of the value of the lease obligation and right-of-use asset.</w:t>
      </w:r>
    </w:p>
    <w:p>
      <w:pPr>
        <w:spacing w:after="0" w:line="68"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We incur a variety of costs in the development and leasing of our properties. After the determination is made to capitalize a cost, it is allocated to the specific component of a project that is benefited. Determination of when a development project is substantially complete and capitalization must cease involves a degree of judgment. The costs of land and building under development include specifically identifiable costs. The capitalized costs include, but are not limited to, pre-construction costs essential to the development of the property, development costs, construction costs, interest costs, real estate taxes, salaries and related costs and other costs incurred during the period of development. We consider a construction project as substantially completed and held available for occupancy upon the completion of tenant improvements, but no later than one year after major construction activity ceases. We cease capitalization on the portions substantially completed and occupied or held available for occupancy, and capitalize only those costs associated with the portions under construction.</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Properties other than Right of use assets - operating leases are depreciated using the straight-line method over the estimated useful lives of the assets.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Category</w:t>
            </w:r>
          </w:p>
        </w:tc>
        <w:tc>
          <w:tcPr>
            <w:tcW w:w="100" w:type="dxa"/>
            <w:vAlign w:val="bottom"/>
            <w:tcBorders>
              <w:bottom w:val="single" w:sz="8" w:color="CCEEFF"/>
            </w:tcBorders>
          </w:tcPr>
          <w:p>
            <w:pPr>
              <w:spacing w:after="0"/>
              <w:rPr>
                <w:sz w:val="18"/>
                <w:szCs w:val="18"/>
                <w:color w:val="auto"/>
              </w:rPr>
            </w:pPr>
          </w:p>
        </w:tc>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w:t>
            </w:r>
          </w:p>
        </w:tc>
      </w:tr>
      <w:tr>
        <w:trPr>
          <w:trHeight w:val="20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Building (fee ownership)</w:t>
            </w:r>
          </w:p>
        </w:tc>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 years</w:t>
            </w:r>
          </w:p>
        </w:tc>
      </w:tr>
      <w:tr>
        <w:trPr>
          <w:trHeight w:val="210"/>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Building improvements</w:t>
            </w:r>
          </w:p>
        </w:tc>
        <w:tc>
          <w:tcPr>
            <w:tcW w:w="7360" w:type="dxa"/>
            <w:vAlign w:val="bottom"/>
          </w:tcPr>
          <w:p>
            <w:pPr>
              <w:ind w:left="20"/>
              <w:spacing w:after="0"/>
              <w:rPr>
                <w:sz w:val="20"/>
                <w:szCs w:val="20"/>
                <w:color w:val="auto"/>
              </w:rPr>
            </w:pPr>
            <w:r>
              <w:rPr>
                <w:rFonts w:ascii="Arial" w:cs="Arial" w:eastAsia="Arial" w:hAnsi="Arial"/>
                <w:sz w:val="16"/>
                <w:szCs w:val="16"/>
                <w:color w:val="auto"/>
              </w:rPr>
              <w:t>shorter of remaining life of the building or useful life</w:t>
            </w: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Building (leasehold interest)</w:t>
            </w:r>
          </w:p>
        </w:tc>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lesser of 40 years or remaining term of the lease</w:t>
            </w:r>
          </w:p>
        </w:tc>
      </w:tr>
      <w:tr>
        <w:trPr>
          <w:trHeight w:val="210"/>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Right of use assets - financing leases</w:t>
            </w:r>
          </w:p>
        </w:tc>
        <w:tc>
          <w:tcPr>
            <w:tcW w:w="7360" w:type="dxa"/>
            <w:vAlign w:val="bottom"/>
          </w:tcPr>
          <w:p>
            <w:pPr>
              <w:ind w:left="20"/>
              <w:spacing w:after="0"/>
              <w:rPr>
                <w:sz w:val="20"/>
                <w:szCs w:val="20"/>
                <w:color w:val="auto"/>
              </w:rPr>
            </w:pPr>
            <w:r>
              <w:rPr>
                <w:rFonts w:ascii="Arial" w:cs="Arial" w:eastAsia="Arial" w:hAnsi="Arial"/>
                <w:sz w:val="16"/>
                <w:szCs w:val="16"/>
                <w:color w:val="auto"/>
              </w:rPr>
              <w:t>lesser of 40 years or remaining lease term</w:t>
            </w: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4 to 7 years</w:t>
            </w:r>
          </w:p>
        </w:tc>
      </w:tr>
      <w:tr>
        <w:trPr>
          <w:trHeight w:val="208"/>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Tenant improvements</w:t>
            </w:r>
          </w:p>
        </w:tc>
        <w:tc>
          <w:tcPr>
            <w:tcW w:w="7360" w:type="dxa"/>
            <w:vAlign w:val="bottom"/>
          </w:tcPr>
          <w:p>
            <w:pPr>
              <w:ind w:left="20"/>
              <w:spacing w:after="0"/>
              <w:rPr>
                <w:sz w:val="20"/>
                <w:szCs w:val="20"/>
                <w:color w:val="auto"/>
              </w:rPr>
            </w:pPr>
            <w:r>
              <w:rPr>
                <w:rFonts w:ascii="Arial" w:cs="Arial" w:eastAsia="Arial" w:hAnsi="Arial"/>
                <w:sz w:val="16"/>
                <w:szCs w:val="16"/>
                <w:color w:val="auto"/>
              </w:rPr>
              <w:t>shorter of remaining term of the lease or useful life</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Right of use assets - operating leases are amortized over the remaining lease term. The amortization is made up of the principal amortization under the lease liability plus or minus the straight-line adjustment of the operating lease rent under ASC 842.</w:t>
      </w:r>
    </w:p>
    <w:p>
      <w:pPr>
        <w:spacing w:after="0" w:line="74"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Depreciation expense (including amortization of right of use assets - financing leases) totaled $190.1 million, $187.3 million, and $277.5 million for the years ended December 31, 2022, 2021 and 2020, respectively.</w:t>
      </w:r>
    </w:p>
    <w:p>
      <w:pPr>
        <w:spacing w:after="0" w:line="74"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On a periodic basis, we assess whether there are any indications that the value of our real estate properties may be impaired or that their carrying value may not be recoverable. A property's value is considered impaired if management's estimate of the aggregate future cash flows (undiscounted) to be generated by the property is less than the carrying value of the property. To the extent impairment has occurred, the loss will be measured as the excess of the carrying amount of the property over the fair value of the property as calculated in accordance with Accounting Standards Codification, or ASC 820. We also evaluate our real estate properties for impairment when a property has been classified as held for sale. Real estate assets held for sale are valued at the lower of their carrying value or fair value less costs to sell and depreciation expense is no longer recorded.</w:t>
      </w:r>
    </w:p>
    <w:p>
      <w:pPr>
        <w:spacing w:after="0" w:line="60"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For the years ended December 31, 2022 and 2020, we recognized $5.7 million and $5.9 million, respectively, of rental revenue for the amortization of aggregate below-market leases in excess of above-market leases resulting from the allocation of the purchase price of the applicable properties. For the year ended December 31, 2021, we recognized a reduction of rental revenue of ($4.2 million) for the amortization of aggregate above-market leases in excess of below-market leases.</w:t>
      </w:r>
    </w:p>
    <w:p>
      <w:pPr>
        <w:spacing w:after="0" w:line="86"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following summarizes our identified intangible assets (acquired above-market leases and in-place leases) and intangible liabilities (acquired below-market leases) as of December 31, 2022 and 2021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Borders>
              <w:bottom w:val="single" w:sz="8" w:color="auto"/>
            </w:tcBorders>
          </w:tcPr>
          <w:p>
            <w:pPr>
              <w:spacing w:after="0"/>
              <w:rPr>
                <w:sz w:val="18"/>
                <w:szCs w:val="18"/>
                <w:color w:val="auto"/>
              </w:rPr>
            </w:pPr>
          </w:p>
        </w:tc>
      </w:tr>
      <w:tr>
        <w:trPr>
          <w:trHeight w:val="207"/>
        </w:trPr>
        <w:tc>
          <w:tcPr>
            <w:tcW w:w="71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2021</w:t>
            </w:r>
          </w:p>
        </w:tc>
      </w:tr>
      <w:tr>
        <w:trPr>
          <w:trHeight w:val="195"/>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Identified intangible assets (included in other assets):</w:t>
            </w:r>
          </w:p>
        </w:tc>
        <w:tc>
          <w:tcPr>
            <w:tcW w:w="1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1"/>
        </w:trPr>
        <w:tc>
          <w:tcPr>
            <w:tcW w:w="7140" w:type="dxa"/>
            <w:vAlign w:val="bottom"/>
          </w:tcPr>
          <w:p>
            <w:pPr>
              <w:ind w:left="20"/>
              <w:spacing w:after="0"/>
              <w:rPr>
                <w:sz w:val="20"/>
                <w:szCs w:val="20"/>
                <w:color w:val="auto"/>
              </w:rPr>
            </w:pPr>
            <w:r>
              <w:rPr>
                <w:rFonts w:ascii="Arial" w:cs="Arial" w:eastAsia="Arial" w:hAnsi="Arial"/>
                <w:sz w:val="16"/>
                <w:szCs w:val="16"/>
                <w:color w:val="auto"/>
              </w:rPr>
              <w:t>Gross amount</w:t>
            </w:r>
          </w:p>
        </w:tc>
        <w:tc>
          <w:tcPr>
            <w:tcW w:w="1240" w:type="dxa"/>
            <w:vAlign w:val="bottom"/>
          </w:tcPr>
          <w:p>
            <w:pPr>
              <w:jc w:val="right"/>
              <w:ind w:right="106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center"/>
              <w:ind w:left="20"/>
              <w:spacing w:after="0"/>
              <w:rPr>
                <w:sz w:val="20"/>
                <w:szCs w:val="20"/>
                <w:color w:val="auto"/>
              </w:rPr>
            </w:pPr>
            <w:r>
              <w:rPr>
                <w:rFonts w:ascii="Arial" w:cs="Arial" w:eastAsia="Arial" w:hAnsi="Arial"/>
                <w:sz w:val="16"/>
                <w:szCs w:val="16"/>
                <w:b w:val="1"/>
                <w:bCs w:val="1"/>
                <w:color w:val="auto"/>
                <w:w w:val="89"/>
              </w:rPr>
              <w:t>403,552</w:t>
            </w:r>
          </w:p>
        </w:tc>
        <w:tc>
          <w:tcPr>
            <w:tcW w:w="120" w:type="dxa"/>
            <w:vAlign w:val="bottom"/>
          </w:tcPr>
          <w:p>
            <w:pPr>
              <w:spacing w:after="0"/>
              <w:rPr>
                <w:sz w:val="18"/>
                <w:szCs w:val="18"/>
                <w:color w:val="auto"/>
              </w:rPr>
            </w:pP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199,722</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(190,066)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(182,643)</w:t>
            </w:r>
          </w:p>
        </w:tc>
      </w:tr>
      <w:tr>
        <w:trPr>
          <w:trHeight w:val="209"/>
        </w:trPr>
        <w:tc>
          <w:tcPr>
            <w:tcW w:w="7140" w:type="dxa"/>
            <w:vAlign w:val="bottom"/>
          </w:tcPr>
          <w:p>
            <w:pPr>
              <w:ind w:left="20"/>
              <w:spacing w:after="0" w:line="208" w:lineRule="exact"/>
              <w:rPr>
                <w:sz w:val="20"/>
                <w:szCs w:val="20"/>
                <w:color w:val="auto"/>
              </w:rPr>
            </w:pPr>
            <w:r>
              <w:rPr>
                <w:rFonts w:ascii="Arial" w:cs="Arial" w:eastAsia="Arial" w:hAnsi="Arial"/>
                <w:sz w:val="16"/>
                <w:szCs w:val="16"/>
                <w:color w:val="auto"/>
              </w:rPr>
              <w:t xml:space="preserve">Net </w:t>
            </w:r>
            <w:r>
              <w:rPr>
                <w:rFonts w:ascii="Arial" w:cs="Arial" w:eastAsia="Arial" w:hAnsi="Arial"/>
                <w:sz w:val="20"/>
                <w:szCs w:val="20"/>
                <w:color w:val="auto"/>
                <w:vertAlign w:val="superscript"/>
              </w:rPr>
              <w:t>(1)</w:t>
            </w:r>
          </w:p>
        </w:tc>
        <w:tc>
          <w:tcPr>
            <w:tcW w:w="124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89"/>
              </w:rPr>
              <w:t>213,486</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17,079</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0"/>
        </w:trPr>
        <w:tc>
          <w:tcPr>
            <w:tcW w:w="71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Identified intangible liabilities (included in deferred revenue):</w:t>
            </w:r>
          </w:p>
        </w:tc>
        <w:tc>
          <w:tcPr>
            <w:tcW w:w="1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1"/>
        </w:trPr>
        <w:tc>
          <w:tcPr>
            <w:tcW w:w="7140" w:type="dxa"/>
            <w:vAlign w:val="bottom"/>
          </w:tcPr>
          <w:p>
            <w:pPr>
              <w:ind w:left="20"/>
              <w:spacing w:after="0"/>
              <w:rPr>
                <w:sz w:val="20"/>
                <w:szCs w:val="20"/>
                <w:color w:val="auto"/>
              </w:rPr>
            </w:pPr>
            <w:r>
              <w:rPr>
                <w:rFonts w:ascii="Arial" w:cs="Arial" w:eastAsia="Arial" w:hAnsi="Arial"/>
                <w:sz w:val="16"/>
                <w:szCs w:val="16"/>
                <w:color w:val="auto"/>
              </w:rPr>
              <w:t>Gross amount</w:t>
            </w:r>
          </w:p>
        </w:tc>
        <w:tc>
          <w:tcPr>
            <w:tcW w:w="1240" w:type="dxa"/>
            <w:vAlign w:val="bottom"/>
          </w:tcPr>
          <w:p>
            <w:pPr>
              <w:jc w:val="right"/>
              <w:ind w:right="106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center"/>
              <w:ind w:left="20"/>
              <w:spacing w:after="0"/>
              <w:rPr>
                <w:sz w:val="20"/>
                <w:szCs w:val="20"/>
                <w:color w:val="auto"/>
              </w:rPr>
            </w:pPr>
            <w:r>
              <w:rPr>
                <w:rFonts w:ascii="Arial" w:cs="Arial" w:eastAsia="Arial" w:hAnsi="Arial"/>
                <w:sz w:val="16"/>
                <w:szCs w:val="16"/>
                <w:b w:val="1"/>
                <w:bCs w:val="1"/>
                <w:color w:val="auto"/>
                <w:w w:val="89"/>
              </w:rPr>
              <w:t>361,338</w:t>
            </w:r>
          </w:p>
        </w:tc>
        <w:tc>
          <w:tcPr>
            <w:tcW w:w="120" w:type="dxa"/>
            <w:vAlign w:val="bottom"/>
          </w:tcPr>
          <w:p>
            <w:pPr>
              <w:spacing w:after="0"/>
              <w:rPr>
                <w:sz w:val="18"/>
                <w:szCs w:val="18"/>
                <w:color w:val="auto"/>
              </w:rPr>
            </w:pP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212,767</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(212,191)</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(210,262)</w:t>
            </w:r>
          </w:p>
        </w:tc>
      </w:tr>
      <w:tr>
        <w:trPr>
          <w:trHeight w:val="209"/>
        </w:trPr>
        <w:tc>
          <w:tcPr>
            <w:tcW w:w="7140" w:type="dxa"/>
            <w:vAlign w:val="bottom"/>
          </w:tcPr>
          <w:p>
            <w:pPr>
              <w:ind w:left="20"/>
              <w:spacing w:after="0" w:line="209" w:lineRule="exact"/>
              <w:rPr>
                <w:sz w:val="20"/>
                <w:szCs w:val="20"/>
                <w:color w:val="auto"/>
              </w:rPr>
            </w:pPr>
            <w:r>
              <w:rPr>
                <w:rFonts w:ascii="Arial" w:cs="Arial" w:eastAsia="Arial" w:hAnsi="Arial"/>
                <w:sz w:val="24"/>
                <w:szCs w:val="24"/>
                <w:color w:val="auto"/>
                <w:vertAlign w:val="subscript"/>
              </w:rPr>
              <w:t>Net</w:t>
            </w:r>
            <w:r>
              <w:rPr>
                <w:rFonts w:ascii="Arial" w:cs="Arial" w:eastAsia="Arial" w:hAnsi="Arial"/>
                <w:sz w:val="9"/>
                <w:szCs w:val="9"/>
                <w:color w:val="auto"/>
              </w:rPr>
              <w:t xml:space="preserve"> (1)</w:t>
            </w:r>
          </w:p>
        </w:tc>
        <w:tc>
          <w:tcPr>
            <w:tcW w:w="124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89"/>
              </w:rPr>
              <w:t>149,147</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w:t>
            </w:r>
          </w:p>
        </w:tc>
      </w:tr>
      <w:tr>
        <w:trPr>
          <w:trHeight w:val="20"/>
        </w:trPr>
        <w:tc>
          <w:tcPr>
            <w:tcW w:w="7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line="267" w:lineRule="auto"/>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2022, no net intangible assets and no net intangible liabilities were reclassified to assets held for sale and liabilities related to assets held for sale. As of December 31, 2021, $1.8 million of net intangible assets and no net intangible liabilities were reclassified to assets held for sale and liabilities related to assets held for sale.</w:t>
      </w:r>
    </w:p>
    <w:p>
      <w:pPr>
        <w:spacing w:after="0" w:line="220"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The estimated annual amortization of acquired above-market leases, net of acquired (below-market) leases (a component of rental revenue), for each of the five succeeding years is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shd w:val="clear" w:color="auto" w:fill="CCEEFF"/>
          </w:tcPr>
          <w:p>
            <w:pPr>
              <w:jc w:val="right"/>
              <w:ind w:right="4860"/>
              <w:spacing w:after="0"/>
              <w:rPr>
                <w:sz w:val="20"/>
                <w:szCs w:val="20"/>
                <w:color w:val="auto"/>
              </w:rPr>
            </w:pPr>
            <w:r>
              <w:rPr>
                <w:rFonts w:ascii="Arial" w:cs="Arial" w:eastAsia="Arial" w:hAnsi="Arial"/>
                <w:sz w:val="16"/>
                <w:szCs w:val="16"/>
                <w:color w:val="auto"/>
                <w:w w:val="89"/>
              </w:rPr>
              <w:t>2023</w:t>
            </w:r>
          </w:p>
        </w:tc>
        <w:tc>
          <w:tcPr>
            <w:tcW w:w="52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(23,580)</w:t>
            </w:r>
          </w:p>
        </w:tc>
      </w:tr>
      <w:tr>
        <w:trPr>
          <w:trHeight w:val="210"/>
        </w:trPr>
        <w:tc>
          <w:tcPr>
            <w:tcW w:w="5280" w:type="dxa"/>
            <w:vAlign w:val="bottom"/>
          </w:tcPr>
          <w:p>
            <w:pPr>
              <w:jc w:val="right"/>
              <w:ind w:right="4860"/>
              <w:spacing w:after="0"/>
              <w:rPr>
                <w:sz w:val="20"/>
                <w:szCs w:val="20"/>
                <w:color w:val="auto"/>
              </w:rPr>
            </w:pPr>
            <w:r>
              <w:rPr>
                <w:rFonts w:ascii="Arial" w:cs="Arial" w:eastAsia="Arial" w:hAnsi="Arial"/>
                <w:sz w:val="16"/>
                <w:szCs w:val="16"/>
                <w:color w:val="auto"/>
                <w:w w:val="89"/>
              </w:rPr>
              <w:t>2024</w:t>
            </w:r>
          </w:p>
        </w:tc>
        <w:tc>
          <w:tcPr>
            <w:tcW w:w="5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(14,878)</w:t>
            </w:r>
          </w:p>
        </w:tc>
      </w:tr>
      <w:tr>
        <w:trPr>
          <w:trHeight w:val="216"/>
        </w:trPr>
        <w:tc>
          <w:tcPr>
            <w:tcW w:w="5280" w:type="dxa"/>
            <w:vAlign w:val="bottom"/>
            <w:shd w:val="clear" w:color="auto" w:fill="CCEEFF"/>
          </w:tcPr>
          <w:p>
            <w:pPr>
              <w:jc w:val="right"/>
              <w:ind w:right="4860"/>
              <w:spacing w:after="0"/>
              <w:rPr>
                <w:sz w:val="20"/>
                <w:szCs w:val="20"/>
                <w:color w:val="auto"/>
              </w:rPr>
            </w:pPr>
            <w:r>
              <w:rPr>
                <w:rFonts w:ascii="Arial" w:cs="Arial" w:eastAsia="Arial" w:hAnsi="Arial"/>
                <w:sz w:val="16"/>
                <w:szCs w:val="16"/>
                <w:color w:val="auto"/>
                <w:w w:val="89"/>
              </w:rPr>
              <w:t>2025</w:t>
            </w:r>
          </w:p>
        </w:tc>
        <w:tc>
          <w:tcPr>
            <w:tcW w:w="5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w:t>
            </w:r>
          </w:p>
        </w:tc>
      </w:tr>
      <w:tr>
        <w:trPr>
          <w:trHeight w:val="210"/>
        </w:trPr>
        <w:tc>
          <w:tcPr>
            <w:tcW w:w="5280" w:type="dxa"/>
            <w:vAlign w:val="bottom"/>
          </w:tcPr>
          <w:p>
            <w:pPr>
              <w:jc w:val="right"/>
              <w:ind w:right="4860"/>
              <w:spacing w:after="0"/>
              <w:rPr>
                <w:sz w:val="20"/>
                <w:szCs w:val="20"/>
                <w:color w:val="auto"/>
              </w:rPr>
            </w:pPr>
            <w:r>
              <w:rPr>
                <w:rFonts w:ascii="Arial" w:cs="Arial" w:eastAsia="Arial" w:hAnsi="Arial"/>
                <w:sz w:val="16"/>
                <w:szCs w:val="16"/>
                <w:color w:val="auto"/>
                <w:w w:val="89"/>
              </w:rPr>
              <w:t>2026</w:t>
            </w:r>
          </w:p>
        </w:tc>
        <w:tc>
          <w:tcPr>
            <w:tcW w:w="5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(11,775)</w:t>
            </w:r>
          </w:p>
        </w:tc>
      </w:tr>
      <w:tr>
        <w:trPr>
          <w:trHeight w:val="216"/>
        </w:trPr>
        <w:tc>
          <w:tcPr>
            <w:tcW w:w="5280" w:type="dxa"/>
            <w:vAlign w:val="bottom"/>
            <w:shd w:val="clear" w:color="auto" w:fill="CCEEFF"/>
          </w:tcPr>
          <w:p>
            <w:pPr>
              <w:jc w:val="right"/>
              <w:ind w:right="4860"/>
              <w:spacing w:after="0"/>
              <w:rPr>
                <w:sz w:val="20"/>
                <w:szCs w:val="20"/>
                <w:color w:val="auto"/>
              </w:rPr>
            </w:pPr>
            <w:r>
              <w:rPr>
                <w:rFonts w:ascii="Arial" w:cs="Arial" w:eastAsia="Arial" w:hAnsi="Arial"/>
                <w:sz w:val="16"/>
                <w:szCs w:val="16"/>
                <w:color w:val="auto"/>
                <w:w w:val="89"/>
              </w:rPr>
              <w:t>2027</w:t>
            </w:r>
          </w:p>
        </w:tc>
        <w:tc>
          <w:tcPr>
            <w:tcW w:w="5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(11,029)</w:t>
            </w:r>
          </w:p>
        </w:tc>
      </w:tr>
    </w:tbl>
    <w:p>
      <w:pPr>
        <w:spacing w:after="0" w:line="187"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estimated annual amortization of all other identifiable assets (a component of depreciation and amortization expense) including tenant improvements for each of the five succeeding years is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shd w:val="clear" w:color="auto" w:fill="CCEEFF"/>
          </w:tcPr>
          <w:p>
            <w:pPr>
              <w:jc w:val="right"/>
              <w:ind w:right="4860"/>
              <w:spacing w:after="0"/>
              <w:rPr>
                <w:sz w:val="20"/>
                <w:szCs w:val="20"/>
                <w:color w:val="auto"/>
              </w:rPr>
            </w:pPr>
            <w:r>
              <w:rPr>
                <w:rFonts w:ascii="Arial" w:cs="Arial" w:eastAsia="Arial" w:hAnsi="Arial"/>
                <w:sz w:val="16"/>
                <w:szCs w:val="16"/>
                <w:color w:val="auto"/>
                <w:w w:val="89"/>
              </w:rPr>
              <w:t>2023</w:t>
            </w:r>
          </w:p>
        </w:tc>
        <w:tc>
          <w:tcPr>
            <w:tcW w:w="5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65,130</w:t>
            </w:r>
          </w:p>
        </w:tc>
      </w:tr>
      <w:tr>
        <w:trPr>
          <w:trHeight w:val="210"/>
        </w:trPr>
        <w:tc>
          <w:tcPr>
            <w:tcW w:w="5280" w:type="dxa"/>
            <w:vAlign w:val="bottom"/>
          </w:tcPr>
          <w:p>
            <w:pPr>
              <w:jc w:val="right"/>
              <w:ind w:right="4860"/>
              <w:spacing w:after="0"/>
              <w:rPr>
                <w:sz w:val="20"/>
                <w:szCs w:val="20"/>
                <w:color w:val="auto"/>
              </w:rPr>
            </w:pPr>
            <w:r>
              <w:rPr>
                <w:rFonts w:ascii="Arial" w:cs="Arial" w:eastAsia="Arial" w:hAnsi="Arial"/>
                <w:sz w:val="16"/>
                <w:szCs w:val="16"/>
                <w:color w:val="auto"/>
                <w:w w:val="89"/>
              </w:rPr>
              <w:t>2024</w:t>
            </w:r>
          </w:p>
        </w:tc>
        <w:tc>
          <w:tcPr>
            <w:tcW w:w="5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38,982</w:t>
            </w:r>
          </w:p>
        </w:tc>
      </w:tr>
      <w:tr>
        <w:trPr>
          <w:trHeight w:val="216"/>
        </w:trPr>
        <w:tc>
          <w:tcPr>
            <w:tcW w:w="5280" w:type="dxa"/>
            <w:vAlign w:val="bottom"/>
            <w:shd w:val="clear" w:color="auto" w:fill="CCEEFF"/>
          </w:tcPr>
          <w:p>
            <w:pPr>
              <w:jc w:val="right"/>
              <w:ind w:right="4860"/>
              <w:spacing w:after="0"/>
              <w:rPr>
                <w:sz w:val="20"/>
                <w:szCs w:val="20"/>
                <w:color w:val="auto"/>
              </w:rPr>
            </w:pPr>
            <w:r>
              <w:rPr>
                <w:rFonts w:ascii="Arial" w:cs="Arial" w:eastAsia="Arial" w:hAnsi="Arial"/>
                <w:sz w:val="16"/>
                <w:szCs w:val="16"/>
                <w:color w:val="auto"/>
                <w:w w:val="89"/>
              </w:rPr>
              <w:t>2025</w:t>
            </w:r>
          </w:p>
        </w:tc>
        <w:tc>
          <w:tcPr>
            <w:tcW w:w="5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37,298</w:t>
            </w:r>
          </w:p>
        </w:tc>
      </w:tr>
      <w:tr>
        <w:trPr>
          <w:trHeight w:val="210"/>
        </w:trPr>
        <w:tc>
          <w:tcPr>
            <w:tcW w:w="5280" w:type="dxa"/>
            <w:vAlign w:val="bottom"/>
          </w:tcPr>
          <w:p>
            <w:pPr>
              <w:jc w:val="right"/>
              <w:ind w:right="4860"/>
              <w:spacing w:after="0"/>
              <w:rPr>
                <w:sz w:val="20"/>
                <w:szCs w:val="20"/>
                <w:color w:val="auto"/>
              </w:rPr>
            </w:pPr>
            <w:r>
              <w:rPr>
                <w:rFonts w:ascii="Arial" w:cs="Arial" w:eastAsia="Arial" w:hAnsi="Arial"/>
                <w:sz w:val="16"/>
                <w:szCs w:val="16"/>
                <w:color w:val="auto"/>
                <w:w w:val="89"/>
              </w:rPr>
              <w:t>2026</w:t>
            </w:r>
          </w:p>
        </w:tc>
        <w:tc>
          <w:tcPr>
            <w:tcW w:w="5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31,381</w:t>
            </w:r>
          </w:p>
        </w:tc>
      </w:tr>
      <w:tr>
        <w:trPr>
          <w:trHeight w:val="216"/>
        </w:trPr>
        <w:tc>
          <w:tcPr>
            <w:tcW w:w="5280" w:type="dxa"/>
            <w:vAlign w:val="bottom"/>
            <w:shd w:val="clear" w:color="auto" w:fill="CCEEFF"/>
          </w:tcPr>
          <w:p>
            <w:pPr>
              <w:jc w:val="right"/>
              <w:ind w:right="4860"/>
              <w:spacing w:after="0"/>
              <w:rPr>
                <w:sz w:val="20"/>
                <w:szCs w:val="20"/>
                <w:color w:val="auto"/>
              </w:rPr>
            </w:pPr>
            <w:r>
              <w:rPr>
                <w:rFonts w:ascii="Arial" w:cs="Arial" w:eastAsia="Arial" w:hAnsi="Arial"/>
                <w:sz w:val="16"/>
                <w:szCs w:val="16"/>
                <w:color w:val="auto"/>
                <w:w w:val="89"/>
              </w:rPr>
              <w:t>2027</w:t>
            </w:r>
          </w:p>
        </w:tc>
        <w:tc>
          <w:tcPr>
            <w:tcW w:w="5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25,058</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consider all highly liquid investments with maturity of three months or less when purchased to be cash equivalents.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Restricted cash primarily consists of security deposits held on behalf of our tenants, interest reserves, as well as capital improvement and real estate tax escrows required under certain loan agreements.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16, "Fair Value Measurements."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Marketable Securities</w:t>
      </w:r>
    </w:p>
    <w:p>
      <w:pPr>
        <w:spacing w:after="0" w:line="118"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At acquisition, we designate a debt security as held-to-maturity, available-for-sale, or trading. As of December 31, 2022, we did not have any debt securities designated as held-to-maturity or trading. We account for our available-for-sale securities at fair value pursuant to ASC 820-10, with the net unrealized gains or losses reported as a component of accumulated other comprehensive income or loss. The cost of marketable securities sold and the amount reclassified out of accumulated other comprehensive income (loss) into earnings is determined using the specific identification method. Credit losses are recognized in accordance with ASC 326. We account for our equity marketable securities at fair value pursuant to ASC 820-10, with the net unrealized gains or losses reported in net income.</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2022 and 2021, we held the following marketable securities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Borders>
              <w:bottom w:val="single" w:sz="8" w:color="auto"/>
            </w:tcBorders>
          </w:tcPr>
          <w:p>
            <w:pPr>
              <w:spacing w:after="0"/>
              <w:rPr>
                <w:sz w:val="18"/>
                <w:szCs w:val="18"/>
                <w:color w:val="auto"/>
              </w:rPr>
            </w:pPr>
          </w:p>
        </w:tc>
      </w:tr>
      <w:tr>
        <w:trPr>
          <w:trHeight w:val="207"/>
        </w:trPr>
        <w:tc>
          <w:tcPr>
            <w:tcW w:w="7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2021</w:t>
            </w:r>
          </w:p>
        </w:tc>
      </w:tr>
      <w:tr>
        <w:trPr>
          <w:trHeight w:val="20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mortgage-backed securities</w:t>
            </w:r>
          </w:p>
        </w:tc>
        <w:tc>
          <w:tcPr>
            <w:tcW w:w="1320" w:type="dxa"/>
            <w:vAlign w:val="bottom"/>
            <w:tcBorders>
              <w:bottom w:val="single" w:sz="8" w:color="auto"/>
            </w:tcBorders>
            <w:shd w:val="clear" w:color="auto" w:fill="CCEEFF"/>
          </w:tcPr>
          <w:p>
            <w:pPr>
              <w:jc w:val="right"/>
              <w:ind w:right="1140"/>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11,240</w:t>
            </w: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24,146</w:t>
            </w:r>
          </w:p>
        </w:tc>
      </w:tr>
      <w:tr>
        <w:trPr>
          <w:trHeight w:val="209"/>
        </w:trPr>
        <w:tc>
          <w:tcPr>
            <w:tcW w:w="7140" w:type="dxa"/>
            <w:vAlign w:val="bottom"/>
          </w:tcPr>
          <w:p>
            <w:pPr>
              <w:ind w:left="20"/>
              <w:spacing w:after="0"/>
              <w:rPr>
                <w:sz w:val="20"/>
                <w:szCs w:val="20"/>
                <w:color w:val="auto"/>
              </w:rPr>
            </w:pPr>
            <w:r>
              <w:rPr>
                <w:rFonts w:ascii="Arial" w:cs="Arial" w:eastAsia="Arial" w:hAnsi="Arial"/>
                <w:sz w:val="16"/>
                <w:szCs w:val="16"/>
                <w:color w:val="auto"/>
              </w:rPr>
              <w:t>Total marketable securities available-for-sale</w:t>
            </w:r>
          </w:p>
        </w:tc>
        <w:tc>
          <w:tcPr>
            <w:tcW w:w="1320" w:type="dxa"/>
            <w:vAlign w:val="bottom"/>
            <w:tcBorders>
              <w:bottom w:val="single" w:sz="8" w:color="auto"/>
            </w:tcBorders>
          </w:tcPr>
          <w:p>
            <w:pPr>
              <w:jc w:val="right"/>
              <w:ind w:right="1140"/>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11,240</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24,146</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0"/>
        </w:trPr>
        <w:tc>
          <w:tcPr>
            <w:tcW w:w="7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1"/>
        </w:trPr>
        <w:tc>
          <w:tcPr>
            <w:tcW w:w="7140" w:type="dxa"/>
            <w:vAlign w:val="bottom"/>
          </w:tcPr>
          <w:p>
            <w:pPr>
              <w:ind w:left="20"/>
              <w:spacing w:after="0"/>
              <w:rPr>
                <w:sz w:val="20"/>
                <w:szCs w:val="20"/>
                <w:color w:val="auto"/>
              </w:rPr>
            </w:pPr>
            <w:r>
              <w:rPr>
                <w:rFonts w:ascii="Arial" w:cs="Arial" w:eastAsia="Arial" w:hAnsi="Arial"/>
                <w:sz w:val="16"/>
                <w:szCs w:val="16"/>
                <w:color w:val="auto"/>
              </w:rPr>
              <w:t>Equity marketable securities</w:t>
            </w:r>
          </w:p>
        </w:tc>
        <w:tc>
          <w:tcPr>
            <w:tcW w:w="1320" w:type="dxa"/>
            <w:vAlign w:val="bottom"/>
          </w:tcPr>
          <w:p>
            <w:pPr>
              <w:jc w:val="right"/>
              <w:ind w:right="1140"/>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10,606</w:t>
            </w:r>
          </w:p>
        </w:tc>
      </w:tr>
      <w:tr>
        <w:trPr>
          <w:trHeight w:val="234"/>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investment in marketable securities</w:t>
            </w:r>
          </w:p>
        </w:tc>
        <w:tc>
          <w:tcPr>
            <w:tcW w:w="1320" w:type="dxa"/>
            <w:vAlign w:val="bottom"/>
            <w:tcBorders>
              <w:top w:val="single" w:sz="8" w:color="auto"/>
              <w:bottom w:val="single" w:sz="8" w:color="auto"/>
            </w:tcBorders>
            <w:shd w:val="clear" w:color="auto" w:fill="CCEEFF"/>
          </w:tcPr>
          <w:p>
            <w:pPr>
              <w:jc w:val="right"/>
              <w:ind w:right="1140"/>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The cost basis of the commercial mortgage-backed securities was $11.5 million and $23.0 million as of December 31, 2022 and 2021, respectively. These securities mature at various times through 2030. All securities were in an unrealized loss position as of December 31, 2022 with an unrealized loss of $0.3 million and fair market value of $11.2 million. The securities were in a continuous loss position for less than 12 months. All securities were in an unrealized gain position as of December 31, 2021 except for one security, which had an unrealized loss of $0.6 million and a fair market value of $7.2 million, and was in a continuous unrealized loss position for more than 12 months. This marketable security was sold at par during the year ended December 31, 2022. We do not intend to sell our other securities, and it is more likely than not that we will not be required to sell the investment before the recovery of their amortized cost basis.</w:t>
      </w:r>
    </w:p>
    <w:p>
      <w:pPr>
        <w:spacing w:after="0" w:line="8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During the year ended December 31, 2022, we received aggregate net proceeds of $7.8 million from the sale of one debt marketable security and $3.7 million from the repayment of one debt marketable security. During the year ended December 31, 2021, we received aggregate net proceeds of $4.5 million from the repayment of one debt marketable security. During the year ended December 31, 2020, we did not dispose of any debt marketable securities.</w:t>
      </w:r>
    </w:p>
    <w:p>
      <w:pPr>
        <w:spacing w:after="0" w:line="86"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We held no equity marketable securities as of December 31, 2022 as we sold the one equity marketable security that was held as of December 31, 2021 during the year ended December 31, 2022, for which we received aggregate net proceeds of $4.2 million. We did not dispose of any equity marketable securities during the year ended December 31, 2021. We recognized $6.5 million of realized losses and $0.6 million of unrealized gains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Joint Ventures</w:t>
      </w:r>
    </w:p>
    <w:p>
      <w:pPr>
        <w:spacing w:after="0" w:line="118"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6"/>
          <w:szCs w:val="16"/>
          <w:color w:val="auto"/>
        </w:rPr>
        <w:t>We account for our investments in unconsolidated joint ventures under the equity method of accounting in cases where we exercise significant influence over, but do not control, these entities and are not considered to be the primary beneficiary. We consolidate those joint ventures that we control or which are variable interest entities (each, a "VIE") and where we are considered to be the primary beneficiary. In all these joint ventures, the rights of the joint venture partner are both protective as well as participating. Unless we are determined to be the primary beneficiary in a VIE, these participating rights preclude us from consolidating these VIE entities. These investments are recorded initially at cost, as investments in unconsolidated joint ventures, and subsequently adjusted for equity in net income (loss) and cash contributions and distributions. Equity in net income (loss) from unconsolidated joint ventures is allocated based on our ownership or economic interest in each joint venture and includes adjustments related to basis differences in accounting for the investment. When a capital event (as defined in each joint venture agreement) such as a refinancing occurs, if return thresholds are met, future equity income will be allocated at our increased economic interest. We recognize incentive income from unconsolidated real estate joint ventures as income to the extent it is earned and not subject to a clawback feature. Distributions we receive from unconsolidated real estate joint ventures in excess of our basis in the investment are recorded as offsets to our investment balance if we remain liable for future obligations of the joint venture or may otherwise be committed to provide future additional financial support. We generally finance our joint ventures with non-recourse debt. In certain cases we may provide guarantees or master leases, which terminate upon the satisfaction of specified circumstances or repayment of the underlying loans.</w:t>
      </w:r>
    </w:p>
    <w:p>
      <w:pPr>
        <w:spacing w:after="0" w:line="65"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We do not believe that the values of any of our equity investments were impaired at December 31, 2022.</w:t>
      </w:r>
    </w:p>
    <w:p>
      <w:pPr>
        <w:spacing w:after="0" w:line="64"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We may originate loans for real estate acquisition, development and construction ("ADC loans"), where we expect to receive some of the residual profit from such projects. When the risk and rewards of these arrangements are essentially the same as an investor or joint venture partner, we account for these arrangements as real estate investments under the equity method of accounting for investments. Otherwise, we account for these arrangements consistent with the accounting for our debt and preferred equity investments.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Costs</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Deferred lease costs consist of incremental fees and direct costs that would not have been incurred if the lease had not been obtained and are amortized on a straight-line basis over the related lease term. Certain of our employees provide leasing services to the wholly-owned properties. For the years ended December 31, 2022, 2021 and 2020, $6.6 million, $6.2 million, and $5.4 million of their compensation, respectively, was capitalized and is amortized over an estimated average lease term of seven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118"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Deferred financing costs represent commitment fees, legal, title and other third party costs associated with obtaining commitments for financing which result in a closing of such financing. These costs are amortized over the terms of the respective agreements. Unamortized deferred financing costs are expensed when the associated debt is refinanced or repaid before maturity. Costs incurred in seeking financing transactions, which do not close, are expensed in the period in which it is determined that the financing will not close. Deferred financing costs related to a recognized debt liability are presented in the consolidated balance sheet as a direct deduction from the carrying amount of that debt liability.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Classification</w:t>
      </w:r>
    </w:p>
    <w:p>
      <w:pPr>
        <w:spacing w:after="0" w:line="118"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jc w:val="both"/>
        <w:ind w:right="20" w:firstLine="439"/>
        <w:spacing w:after="0" w:line="266" w:lineRule="auto"/>
        <w:rPr>
          <w:sz w:val="20"/>
          <w:szCs w:val="20"/>
          <w:color w:val="auto"/>
        </w:rPr>
      </w:pPr>
      <w:r>
        <w:rPr>
          <w:rFonts w:ascii="Arial" w:cs="Arial" w:eastAsia="Arial" w:hAnsi="Arial"/>
          <w:sz w:val="18"/>
          <w:szCs w:val="18"/>
          <w:color w:val="auto"/>
        </w:rPr>
        <w:t>Rental revenue for operating leases is recognized on a straight-line basis over the term of the lease. Rental revenue recognition commences when the leased space is available for its intended use by the lessee.</w:t>
      </w:r>
    </w:p>
    <w:p>
      <w:pPr>
        <w:spacing w:after="0" w:line="74"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To determine whether the leased space is available for its intended use by the lessee, management evaluates whether we or the tenant are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w:t>
      </w:r>
    </w:p>
    <w:p>
      <w:pPr>
        <w:spacing w:after="0" w:line="89"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excess of rents recognized over amounts contractually due pursuant to the underlying leases are included in deferred rents receivable on the consolidated balance sheets.</w:t>
      </w:r>
    </w:p>
    <w:p>
      <w:pPr>
        <w:spacing w:after="0" w:line="74" w:lineRule="exact"/>
        <w:rPr>
          <w:sz w:val="20"/>
          <w:szCs w:val="20"/>
          <w:color w:val="auto"/>
        </w:rPr>
      </w:pPr>
    </w:p>
    <w:p>
      <w:pPr>
        <w:jc w:val="both"/>
        <w:ind w:firstLine="439"/>
        <w:spacing w:after="0" w:line="329" w:lineRule="auto"/>
        <w:rPr>
          <w:sz w:val="20"/>
          <w:szCs w:val="20"/>
          <w:color w:val="auto"/>
        </w:rPr>
      </w:pPr>
      <w:r>
        <w:rPr>
          <w:rFonts w:ascii="Arial" w:cs="Arial" w:eastAsia="Arial" w:hAnsi="Arial"/>
          <w:sz w:val="14"/>
          <w:szCs w:val="14"/>
          <w:color w:val="auto"/>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250"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89"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842.</w:t>
      </w:r>
    </w:p>
    <w:p>
      <w:pPr>
        <w:spacing w:after="0" w:line="83" w:lineRule="exact"/>
        <w:rPr>
          <w:sz w:val="20"/>
          <w:szCs w:val="20"/>
          <w:color w:val="auto"/>
        </w:rPr>
      </w:pPr>
    </w:p>
    <w:p>
      <w:pPr>
        <w:jc w:val="both"/>
        <w:ind w:right="20" w:firstLine="439"/>
        <w:spacing w:after="0" w:line="266" w:lineRule="auto"/>
        <w:rPr>
          <w:sz w:val="20"/>
          <w:szCs w:val="20"/>
          <w:color w:val="auto"/>
        </w:rPr>
      </w:pPr>
      <w:r>
        <w:rPr>
          <w:rFonts w:ascii="Arial" w:cs="Arial" w:eastAsia="Arial" w:hAnsi="Arial"/>
          <w:sz w:val="18"/>
          <w:szCs w:val="18"/>
          <w:color w:val="auto"/>
        </w:rPr>
        <w:t>We record a gain or loss on sale of real estate assets when we no longer have a controlling financial interest in the entity owning the real estate, a contract exists with a third party and that third party has control of the assets acquired.</w:t>
      </w:r>
    </w:p>
    <w:p>
      <w:pPr>
        <w:spacing w:after="0" w:line="74"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spacing w:after="0" w:line="86"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spacing w:after="0" w:line="54"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management fees are recognized on a straight-line basis over the term of the asset management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Preferred Equity Investments</w:t>
      </w:r>
    </w:p>
    <w:p>
      <w:pPr>
        <w:spacing w:after="0" w:line="118"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spacing w:after="0" w:line="89"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w:t>
      </w:r>
    </w:p>
    <w:p>
      <w:pPr>
        <w:spacing w:after="0" w:line="91"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w:t>
      </w:r>
    </w:p>
    <w:p>
      <w:pPr>
        <w:spacing w:after="0" w:line="83"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spacing w:after="0" w:line="7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expected amount to be collected.</w:t>
      </w:r>
    </w:p>
    <w:p>
      <w:pPr>
        <w:spacing w:after="0" w:line="86"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Other financing receivables that are included in balance sheet line items other than the Debt and preferred equity investments line are also measured at the net amount expected to be collected.</w:t>
      </w:r>
    </w:p>
    <w:p>
      <w:pPr>
        <w:spacing w:after="0" w:line="7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Accrued interest receivable amounts related to these debt and preferred equity investment and other financing receivables are recorded at the net amount expected to be collected within Other assets in the consolidated balance sheets. Accrued interest receivables that are written off are recognized as an expense in loan loss and other investment reserves.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Expense</w:t>
      </w:r>
    </w:p>
    <w:p>
      <w:pPr>
        <w:spacing w:after="0" w:line="118" w:lineRule="exact"/>
        <w:rPr>
          <w:sz w:val="20"/>
          <w:szCs w:val="20"/>
          <w:color w:val="auto"/>
        </w:rPr>
      </w:pPr>
    </w:p>
    <w:p>
      <w:pPr>
        <w:jc w:val="both"/>
        <w:ind w:firstLine="439"/>
        <w:spacing w:after="0" w:line="296" w:lineRule="auto"/>
        <w:rPr>
          <w:sz w:val="20"/>
          <w:szCs w:val="20"/>
          <w:color w:val="auto"/>
        </w:rPr>
      </w:pPr>
      <w:r>
        <w:rPr>
          <w:rFonts w:ascii="Arial" w:cs="Arial" w:eastAsia="Arial" w:hAnsi="Arial"/>
          <w:sz w:val="17"/>
          <w:szCs w:val="17"/>
          <w:color w:val="auto"/>
        </w:rPr>
        <w:t>Rent expense is recognized on a straight-line basis over the initial term of the lease. The excess of the rent expense recognized over the amounts contractually due pursuant to the underlying lease is included in the lease liability - operating leases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Commissions and Costs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Underwriting commissions and costs incurred in connection with our stock offerings are reflected as a reduction of additional paid-in-capital.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05" w:lineRule="exact"/>
        <w:rPr>
          <w:sz w:val="20"/>
          <w:szCs w:val="20"/>
          <w:color w:val="auto"/>
        </w:rPr>
      </w:pPr>
    </w:p>
    <w:p>
      <w:pPr>
        <w:ind w:right="140" w:firstLine="639"/>
        <w:spacing w:after="0" w:line="382" w:lineRule="auto"/>
        <w:rPr>
          <w:sz w:val="20"/>
          <w:szCs w:val="20"/>
          <w:color w:val="auto"/>
        </w:rPr>
      </w:pPr>
      <w:r>
        <w:rPr>
          <w:rFonts w:ascii="Arial" w:cs="Arial" w:eastAsia="Arial" w:hAnsi="Arial"/>
          <w:sz w:val="14"/>
          <w:szCs w:val="14"/>
          <w:color w:val="auto"/>
        </w:rPr>
        <w:t>Transaction costs for asset acquisitions are capitalized to the investment basis, which is then subject to a purchase price allocation based on relative fair value. Transaction costs for business combinations or costs incurred on potential transactions that are not consummated are expensed as incurred.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spacing w:after="0" w:line="89"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spacing w:after="0" w:line="49"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and state income tax liability for these entities.</w:t>
      </w:r>
    </w:p>
    <w:p>
      <w:pPr>
        <w:spacing w:after="0" w:line="64"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During the years ended December 31, 2022, 2021 and 2020, we recorded Federal, state and local tax provisions of $3.7 million, $2.8 million, and $1.2 million, respectively. For the year ended December 31, 2022, the Company paid distributions on its common stock of $6.17 per share which represented $2.56 per share of ordinary income and $1.17 per share of capital gains. For the year ended December 31, 2021, the Company paid distributions on its common stock of $8.09 per share which represented $0.50 per share of ordinary income, and $5.92 per share of capital gains. For the year ended December 31, 2020, the Company paid distributions on its common stock of $5.54 per share which represented $1.84 per share of ordinary income and $3.06 per share of capital gains.</w:t>
      </w:r>
    </w:p>
    <w:p>
      <w:pPr>
        <w:spacing w:after="0" w:line="91"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Employee Compensation Plans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 stock-based employee compensation plan, described more fully in Note 14, "Share-based Compensation."</w:t>
      </w:r>
    </w:p>
    <w:p>
      <w:pPr>
        <w:spacing w:after="0" w:line="112"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For share-based awards with a performance or market measure, we recognize compensation cost over the requisite service period, using the accelerated attribution expense method. The requisite service period begins on the date the compensation committee of our Board of Directors authorizes the award, adopts any relevant performance measures and communicates the award to the employees. For programs with awards that vest based on the achievement of a performance condition or market condition, we determine whether it is probable that the performance condition will be met, and estimate compensation cost based on the fair value of the award at the applicable award date estimated using a binomial model or market quotes. For share-based awards for which there is no pre-established performance measure, we recognize compensation cost over the service vesting period, which represents the requisite service period, on a straight-line basis. In accordance with the provisions of our share-based incentive compensation plans, we accept the return of shares of the Company's common stock, at the current quoted market price, from certain key employees to satisfy minimum statutory tax-withholding requirements related to shares that vested during the period.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Awards can also be made in the form of a separate series of units of limited partnership interest in the Operating Partnership called long-term incentive plan units, or LTIP units. LTIP units, which can be granted either as free-standing awards or in tandem with other awards under our stock incentive plan, are valued by reference to the value of the Company's common stock at the time of grant and are subject to such conditions and restrictions as the compensation committee of the Company's board of directors may determine, including continued employment or service, computation of financial metrics and/or achievement of pre-established performance goals and objectives.</w:t>
      </w:r>
    </w:p>
    <w:p>
      <w:pPr>
        <w:spacing w:after="0" w:line="89"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The Company's stock options are recorded at fair value at the time of issuance. Fair value of the stock options is determined using the Black-Scholes option pricing model. The Black-Scholes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plan has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 employee stock options.</w:t>
      </w:r>
    </w:p>
    <w:p>
      <w:pPr>
        <w:spacing w:after="0" w:line="91"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Compensation cost for stock options, if any, is recognized over the vesting period of the award. Our policy is to grant options with an exercise price equal to the quoted closing market price of the Company's common stock on either the grant date or the date immediately preceding the grant date. Awards of stock or restricted stock are expensed as compensation over the benefit period based on the fair value of the stock on the grant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18"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In the normal course of business, we use a variety of commonly used derivative instruments, such as interest rate swaps, caps, collars and floors, to manage, or hedge, interest rate risk. Effectiveness is essential for those derivatives that we intend to qualify for hedge accounting. Some derivative instruments are associated with an anticipated transaction. In those cases, hedge effectiveness criteria also require that it be probable that the underlying transaction occurs. Instruments that meet these hedging criteria are formally designated as hedges at the inception of the derivative contract.</w:t>
      </w:r>
    </w:p>
    <w:p>
      <w:pPr>
        <w:spacing w:after="0" w:line="54"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To determine the fair values of derivative instruments, we use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 pricing models, replacement cost, and termination cost are used to determine fair value. All methods of assessing fair value result in a general approximation of value, and such value may never actually be realized.</w:t>
      </w:r>
    </w:p>
    <w:p>
      <w:pPr>
        <w:spacing w:after="0" w:line="5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In the normal course of business, we are exposed to the effect of interest rate changes and limit these risks by following established risk management policies and procedures including the use of derivatives. To address exposure to interest rates, derivatives are used primarily to fix the rate on debt based on floating-rate indices and manage the cost of borrowing obligations.</w:t>
      </w:r>
    </w:p>
    <w:p>
      <w:pPr>
        <w:spacing w:after="0" w:line="83"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use a variety of conventional derivative products. These derivatives typically include interest rate swaps, caps, collars and floors. We expressly prohibit the use of unconventional derivative instruments and using derivative instruments for trading or speculative purposes. Further, we have a policy of only entering into contracts with major financial institutions based upon their credit ratings and other factors.</w:t>
      </w:r>
    </w:p>
    <w:p>
      <w:pPr>
        <w:spacing w:after="0" w:line="83"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may employ swaps, forwards or purchased options to hedge qualifying forecasted transactions. Gains and losses related to these transactions are deferred and recognized in net income as interest expense in the same period or periods that the underlying transaction occurs, expires or is otherwise terminated.</w:t>
      </w:r>
    </w:p>
    <w:p>
      <w:pPr>
        <w:spacing w:after="0" w:line="83"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Hedges that are reported at fair value and presented on the balance sheet could be characterized as cash flow hedges or fair value hedges. Interest rate caps and collars are examples of cash flow hedges. Cash flow hedges address the risk associated with future cash flows of interest payments. For all hedges held by us that meet the hedging objectives established by our corporate policy governing interest rate risk management, no net gains or losses were reported in earnings. The changes in fair value of derivative instruments designated as hedge instruments are reflected in accumulated other comprehensive income (loss). For derivative instruments not designated as hedging instruments, the gain or loss, resulting from the change in the estimated fair value of the derivative instruments, is recognized in current earnings during the period of change.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of the Company</w:t>
      </w:r>
    </w:p>
    <w:p>
      <w:pPr>
        <w:spacing w:after="0" w:line="118" w:lineRule="exact"/>
        <w:rPr>
          <w:sz w:val="20"/>
          <w:szCs w:val="20"/>
          <w:color w:val="auto"/>
        </w:rPr>
      </w:pPr>
    </w:p>
    <w:p>
      <w:pPr>
        <w:jc w:val="both"/>
        <w:ind w:firstLine="439"/>
        <w:spacing w:after="0" w:line="286" w:lineRule="auto"/>
        <w:rPr>
          <w:sz w:val="20"/>
          <w:szCs w:val="20"/>
          <w:color w:val="auto"/>
        </w:rPr>
      </w:pPr>
      <w:r>
        <w:rPr>
          <w:rFonts w:ascii="Arial" w:cs="Arial" w:eastAsia="Arial" w:hAnsi="Arial"/>
          <w:sz w:val="16"/>
          <w:szCs w:val="16"/>
          <w:color w:val="auto"/>
        </w:rPr>
        <w:t>The Company presents both basic and diluted earnings per share ("EPS") using the two-class method,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Basic EPS includes participating securities, consisting of unvested restricted stock that receive nonforfeitable dividends similar to shares of common stock. Diluted EPS reflects the potential dilution that could occur if securities or other contracts to issue common stock were exercised or converted into common stock, where such exercise or conversion would result in a lower EPS amount. Diluted EPS also includes units of limited partnership interest. The dilutive effect of stock options is reflected in the weighted average diluted outstanding shares calculation by application of the treasury stock method.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 of the Operating Partnership</w:t>
      </w:r>
    </w:p>
    <w:p>
      <w:pPr>
        <w:spacing w:after="0" w:line="118"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The Operating Partnership presents both basic and diluted earnings per unit ("EPU") using the two-class method, which is an earnings allocation formula that determines EPU for common units and any participating securities according to dividends declared (whether paid or unpaid). Under the two-class method, basic EPU is computed by dividing the income available to common unitholders by the weighted-average number of common units outstanding for the period. Basic EPU includes participating securities, consisting of unvested restricted units that receive nonforfeitable dividends similar to shares of common units. Diluted EPU reflects the potential dilution that could occur if securities or other contracts to issue common units were exercised or converted into common units, where such exercise or conversion would result in a lower EPU amount. The dilutive effect of unit options is reflected in the weighted average diluted outstanding units calculation by application of the treasury stock method.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New York City. See Note 5, "Debt and Preferred Equity Investments."</w:t>
      </w:r>
    </w:p>
    <w:p>
      <w:pPr>
        <w:spacing w:after="0" w:line="83"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potential source of funds to offset the economic costs associated with lost revenue from that tenant and the costs associated with re-tenanting a space. The properties in our real estate portfolio are located in the New York metropolitan area, principally in Manhattan. Our tenants operate in various industries. Other than one tenant, Paramount Global (formerly ViacomCBS Inc.), which accounted for 5.4% of our share of annualized cash rent as of December 31, 2022, no other tenant in our portfolio accounted for more than 5.0% of our share of annualized cash rent, including our share of joint venture annualized cash rent, as of December 31, 2022.</w:t>
      </w:r>
    </w:p>
    <w:p>
      <w:pPr>
        <w:spacing w:after="0" w:line="8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For the years ended December 31, 2022, 2021, and 2020, the following properties contributed more than 5.0% of our annualized cash rent from office properties, including our share of annualized cash rent from joint venture office properties: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Property</w:t>
            </w:r>
          </w:p>
        </w:tc>
        <w:tc>
          <w:tcPr>
            <w:tcW w:w="1120" w:type="dxa"/>
            <w:vAlign w:val="bottom"/>
            <w:tcBorders>
              <w:bottom w:val="single" w:sz="8" w:color="auto"/>
            </w:tcBorders>
          </w:tcPr>
          <w:p>
            <w:pPr>
              <w:jc w:val="center"/>
              <w:ind w:left="440"/>
              <w:spacing w:after="0"/>
              <w:rPr>
                <w:sz w:val="20"/>
                <w:szCs w:val="20"/>
                <w:color w:val="auto"/>
              </w:rPr>
            </w:pPr>
            <w:r>
              <w:rPr>
                <w:rFonts w:ascii="Arial" w:cs="Arial" w:eastAsia="Arial" w:hAnsi="Arial"/>
                <w:sz w:val="16"/>
                <w:szCs w:val="16"/>
                <w:b w:val="1"/>
                <w:bCs w:val="1"/>
                <w:color w:val="auto"/>
                <w:w w:val="89"/>
              </w:rPr>
              <w:t>2022</w:t>
            </w:r>
          </w:p>
        </w:tc>
        <w:tc>
          <w:tcPr>
            <w:tcW w:w="26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Property</w:t>
            </w:r>
          </w:p>
        </w:tc>
        <w:tc>
          <w:tcPr>
            <w:tcW w:w="1120" w:type="dxa"/>
            <w:vAlign w:val="bottom"/>
            <w:tcBorders>
              <w:bottom w:val="single" w:sz="8" w:color="auto"/>
            </w:tcBorders>
          </w:tcPr>
          <w:p>
            <w:pPr>
              <w:jc w:val="center"/>
              <w:ind w:left="440"/>
              <w:spacing w:after="0"/>
              <w:rPr>
                <w:sz w:val="20"/>
                <w:szCs w:val="20"/>
                <w:color w:val="auto"/>
              </w:rPr>
            </w:pPr>
            <w:r>
              <w:rPr>
                <w:rFonts w:ascii="Arial" w:cs="Arial" w:eastAsia="Arial" w:hAnsi="Arial"/>
                <w:sz w:val="16"/>
                <w:szCs w:val="16"/>
                <w:b w:val="1"/>
                <w:bCs w:val="1"/>
                <w:color w:val="auto"/>
                <w:w w:val="89"/>
              </w:rPr>
              <w:t>2021</w:t>
            </w:r>
          </w:p>
        </w:tc>
        <w:tc>
          <w:tcPr>
            <w:tcW w:w="2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Property</w:t>
            </w: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2020</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 Vanderbilt Avenue</w:t>
            </w:r>
          </w:p>
        </w:tc>
        <w:tc>
          <w:tcPr>
            <w:tcW w:w="112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2"/>
              </w:rPr>
              <w:t>14.1%</w:t>
            </w: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11 Madison Avenue</w:t>
            </w:r>
          </w:p>
        </w:tc>
        <w:tc>
          <w:tcPr>
            <w:tcW w:w="112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2"/>
              </w:rPr>
              <w:t>10.8%</w:t>
            </w: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11 Madison Avenue</w:t>
            </w: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8.2%</w:t>
            </w: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245 Park Avenue</w:t>
            </w:r>
          </w:p>
        </w:tc>
        <w:tc>
          <w:tcPr>
            <w:tcW w:w="1120" w:type="dxa"/>
            <w:vAlign w:val="bottom"/>
          </w:tcPr>
          <w:p>
            <w:pPr>
              <w:jc w:val="center"/>
              <w:ind w:left="420"/>
              <w:spacing w:after="0"/>
              <w:rPr>
                <w:sz w:val="20"/>
                <w:szCs w:val="20"/>
                <w:color w:val="auto"/>
              </w:rPr>
            </w:pPr>
            <w:r>
              <w:rPr>
                <w:rFonts w:ascii="Arial" w:cs="Arial" w:eastAsia="Arial" w:hAnsi="Arial"/>
                <w:sz w:val="16"/>
                <w:szCs w:val="16"/>
                <w:color w:val="auto"/>
                <w:w w:val="92"/>
              </w:rPr>
              <w:t>10.0%</w:t>
            </w:r>
          </w:p>
        </w:tc>
        <w:tc>
          <w:tcPr>
            <w:tcW w:w="360" w:type="dxa"/>
            <w:vAlign w:val="bottom"/>
          </w:tcPr>
          <w:p>
            <w:pPr>
              <w:ind w:left="100"/>
              <w:spacing w:after="0"/>
              <w:rPr>
                <w:sz w:val="20"/>
                <w:szCs w:val="20"/>
                <w:color w:val="auto"/>
              </w:rPr>
            </w:pPr>
            <w:r>
              <w:rPr>
                <w:rFonts w:ascii="Arial" w:cs="Arial" w:eastAsia="Arial" w:hAnsi="Arial"/>
                <w:sz w:val="16"/>
                <w:szCs w:val="16"/>
                <w:color w:val="auto"/>
                <w:w w:val="89"/>
              </w:rPr>
              <w:t>420</w:t>
            </w:r>
          </w:p>
        </w:tc>
        <w:tc>
          <w:tcPr>
            <w:tcW w:w="2260" w:type="dxa"/>
            <w:vAlign w:val="bottom"/>
          </w:tcPr>
          <w:p>
            <w:pPr>
              <w:ind w:left="20"/>
              <w:spacing w:after="0"/>
              <w:rPr>
                <w:sz w:val="20"/>
                <w:szCs w:val="20"/>
                <w:color w:val="auto"/>
              </w:rPr>
            </w:pPr>
            <w:r>
              <w:rPr>
                <w:rFonts w:ascii="Arial" w:cs="Arial" w:eastAsia="Arial" w:hAnsi="Arial"/>
                <w:sz w:val="16"/>
                <w:szCs w:val="16"/>
                <w:color w:val="auto"/>
              </w:rPr>
              <w:t>Lexington Avenue</w:t>
            </w:r>
          </w:p>
        </w:tc>
        <w:tc>
          <w:tcPr>
            <w:tcW w:w="1120" w:type="dxa"/>
            <w:vAlign w:val="bottom"/>
          </w:tcPr>
          <w:p>
            <w:pPr>
              <w:jc w:val="center"/>
              <w:ind w:left="420"/>
              <w:spacing w:after="0"/>
              <w:rPr>
                <w:sz w:val="20"/>
                <w:szCs w:val="20"/>
                <w:color w:val="auto"/>
              </w:rPr>
            </w:pPr>
            <w:r>
              <w:rPr>
                <w:rFonts w:ascii="Arial" w:cs="Arial" w:eastAsia="Arial" w:hAnsi="Arial"/>
                <w:sz w:val="16"/>
                <w:szCs w:val="16"/>
                <w:color w:val="auto"/>
                <w:w w:val="93"/>
              </w:rPr>
              <w:t>8.3%</w:t>
            </w:r>
          </w:p>
        </w:tc>
        <w:tc>
          <w:tcPr>
            <w:tcW w:w="360" w:type="dxa"/>
            <w:vAlign w:val="bottom"/>
          </w:tcPr>
          <w:p>
            <w:pPr>
              <w:ind w:left="100"/>
              <w:spacing w:after="0"/>
              <w:rPr>
                <w:sz w:val="20"/>
                <w:szCs w:val="20"/>
                <w:color w:val="auto"/>
              </w:rPr>
            </w:pPr>
            <w:r>
              <w:rPr>
                <w:rFonts w:ascii="Arial" w:cs="Arial" w:eastAsia="Arial" w:hAnsi="Arial"/>
                <w:sz w:val="16"/>
                <w:szCs w:val="16"/>
                <w:color w:val="auto"/>
                <w:w w:val="89"/>
              </w:rPr>
              <w:t>420</w:t>
            </w:r>
          </w:p>
        </w:tc>
        <w:tc>
          <w:tcPr>
            <w:tcW w:w="2280" w:type="dxa"/>
            <w:vAlign w:val="bottom"/>
          </w:tcPr>
          <w:p>
            <w:pPr>
              <w:ind w:left="20"/>
              <w:spacing w:after="0"/>
              <w:rPr>
                <w:sz w:val="20"/>
                <w:szCs w:val="20"/>
                <w:color w:val="auto"/>
              </w:rPr>
            </w:pPr>
            <w:r>
              <w:rPr>
                <w:rFonts w:ascii="Arial" w:cs="Arial" w:eastAsia="Arial" w:hAnsi="Arial"/>
                <w:sz w:val="16"/>
                <w:szCs w:val="16"/>
                <w:color w:val="auto"/>
              </w:rPr>
              <w:t>Lexington Avenue</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7.5%</w:t>
            </w: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 Madison Avenue</w:t>
            </w:r>
          </w:p>
        </w:tc>
        <w:tc>
          <w:tcPr>
            <w:tcW w:w="112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3"/>
              </w:rPr>
              <w:t>7.8%</w:t>
            </w: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1515 Broadway</w:t>
            </w:r>
          </w:p>
        </w:tc>
        <w:tc>
          <w:tcPr>
            <w:tcW w:w="112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3"/>
              </w:rPr>
              <w:t>8.1%</w:t>
            </w: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1185 Avenue of the Americas</w:t>
            </w: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6.9%</w:t>
            </w: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420 Lexington Avenue</w:t>
            </w:r>
          </w:p>
        </w:tc>
        <w:tc>
          <w:tcPr>
            <w:tcW w:w="1120" w:type="dxa"/>
            <w:vAlign w:val="bottom"/>
          </w:tcPr>
          <w:p>
            <w:pPr>
              <w:jc w:val="center"/>
              <w:ind w:left="420"/>
              <w:spacing w:after="0"/>
              <w:rPr>
                <w:sz w:val="20"/>
                <w:szCs w:val="20"/>
                <w:color w:val="auto"/>
              </w:rPr>
            </w:pPr>
            <w:r>
              <w:rPr>
                <w:rFonts w:ascii="Arial" w:cs="Arial" w:eastAsia="Arial" w:hAnsi="Arial"/>
                <w:sz w:val="16"/>
                <w:szCs w:val="16"/>
                <w:color w:val="auto"/>
                <w:w w:val="93"/>
              </w:rPr>
              <w:t>6.3%</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1185 Avenue of the Americas</w:t>
            </w:r>
          </w:p>
        </w:tc>
        <w:tc>
          <w:tcPr>
            <w:tcW w:w="1120" w:type="dxa"/>
            <w:vAlign w:val="bottom"/>
          </w:tcPr>
          <w:p>
            <w:pPr>
              <w:jc w:val="center"/>
              <w:ind w:left="420"/>
              <w:spacing w:after="0"/>
              <w:rPr>
                <w:sz w:val="20"/>
                <w:szCs w:val="20"/>
                <w:color w:val="auto"/>
              </w:rPr>
            </w:pPr>
            <w:r>
              <w:rPr>
                <w:rFonts w:ascii="Arial" w:cs="Arial" w:eastAsia="Arial" w:hAnsi="Arial"/>
                <w:sz w:val="16"/>
                <w:szCs w:val="16"/>
                <w:color w:val="auto"/>
                <w:w w:val="93"/>
              </w:rPr>
              <w:t>8.0%</w:t>
            </w:r>
          </w:p>
        </w:tc>
        <w:tc>
          <w:tcPr>
            <w:tcW w:w="2640" w:type="dxa"/>
            <w:vAlign w:val="bottom"/>
            <w:gridSpan w:val="2"/>
          </w:tcPr>
          <w:p>
            <w:pPr>
              <w:ind w:left="100"/>
              <w:spacing w:after="0"/>
              <w:rPr>
                <w:sz w:val="20"/>
                <w:szCs w:val="20"/>
                <w:color w:val="auto"/>
              </w:rPr>
            </w:pPr>
            <w:r>
              <w:rPr>
                <w:rFonts w:ascii="Arial" w:cs="Arial" w:eastAsia="Arial" w:hAnsi="Arial"/>
                <w:sz w:val="16"/>
                <w:szCs w:val="16"/>
                <w:color w:val="auto"/>
              </w:rPr>
              <w:t>1515 Broadway</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6.6%</w:t>
            </w: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1515 Broadway</w:t>
            </w:r>
          </w:p>
        </w:tc>
        <w:tc>
          <w:tcPr>
            <w:tcW w:w="112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3"/>
              </w:rPr>
              <w:t>5.8%</w:t>
            </w:r>
          </w:p>
        </w:tc>
        <w:tc>
          <w:tcPr>
            <w:tcW w:w="3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280</w:t>
            </w:r>
          </w:p>
        </w:tc>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Park Avenue</w:t>
            </w:r>
          </w:p>
        </w:tc>
        <w:tc>
          <w:tcPr>
            <w:tcW w:w="112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3"/>
              </w:rPr>
              <w:t>6.7%</w:t>
            </w:r>
          </w:p>
        </w:tc>
        <w:tc>
          <w:tcPr>
            <w:tcW w:w="3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220</w:t>
            </w: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42nd Street</w:t>
            </w: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5.9%</w:t>
            </w: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1185 Avenue of the Americas</w:t>
            </w:r>
          </w:p>
        </w:tc>
        <w:tc>
          <w:tcPr>
            <w:tcW w:w="1120" w:type="dxa"/>
            <w:vAlign w:val="bottom"/>
          </w:tcPr>
          <w:p>
            <w:pPr>
              <w:jc w:val="center"/>
              <w:ind w:left="420"/>
              <w:spacing w:after="0"/>
              <w:rPr>
                <w:sz w:val="20"/>
                <w:szCs w:val="20"/>
                <w:color w:val="auto"/>
              </w:rPr>
            </w:pPr>
            <w:r>
              <w:rPr>
                <w:rFonts w:ascii="Arial" w:cs="Arial" w:eastAsia="Arial" w:hAnsi="Arial"/>
                <w:sz w:val="16"/>
                <w:szCs w:val="16"/>
                <w:color w:val="auto"/>
                <w:w w:val="93"/>
              </w:rPr>
              <w:t>5.1%</w:t>
            </w:r>
          </w:p>
        </w:tc>
        <w:tc>
          <w:tcPr>
            <w:tcW w:w="360" w:type="dxa"/>
            <w:vAlign w:val="bottom"/>
          </w:tcPr>
          <w:p>
            <w:pPr>
              <w:ind w:left="100"/>
              <w:spacing w:after="0"/>
              <w:rPr>
                <w:sz w:val="20"/>
                <w:szCs w:val="20"/>
                <w:color w:val="auto"/>
              </w:rPr>
            </w:pPr>
            <w:r>
              <w:rPr>
                <w:rFonts w:ascii="Arial" w:cs="Arial" w:eastAsia="Arial" w:hAnsi="Arial"/>
                <w:sz w:val="16"/>
                <w:szCs w:val="16"/>
                <w:color w:val="auto"/>
                <w:w w:val="89"/>
              </w:rPr>
              <w:t>919</w:t>
            </w:r>
          </w:p>
        </w:tc>
        <w:tc>
          <w:tcPr>
            <w:tcW w:w="2260" w:type="dxa"/>
            <w:vAlign w:val="bottom"/>
          </w:tcPr>
          <w:p>
            <w:pPr>
              <w:ind w:left="20"/>
              <w:spacing w:after="0"/>
              <w:rPr>
                <w:sz w:val="20"/>
                <w:szCs w:val="20"/>
                <w:color w:val="auto"/>
              </w:rPr>
            </w:pPr>
            <w:r>
              <w:rPr>
                <w:rFonts w:ascii="Arial" w:cs="Arial" w:eastAsia="Arial" w:hAnsi="Arial"/>
                <w:sz w:val="16"/>
                <w:szCs w:val="16"/>
                <w:color w:val="auto"/>
              </w:rPr>
              <w:t>Third Avenue</w:t>
            </w:r>
          </w:p>
        </w:tc>
        <w:tc>
          <w:tcPr>
            <w:tcW w:w="1120" w:type="dxa"/>
            <w:vAlign w:val="bottom"/>
          </w:tcPr>
          <w:p>
            <w:pPr>
              <w:jc w:val="center"/>
              <w:ind w:left="420"/>
              <w:spacing w:after="0"/>
              <w:rPr>
                <w:sz w:val="20"/>
                <w:szCs w:val="20"/>
                <w:color w:val="auto"/>
              </w:rPr>
            </w:pPr>
            <w:r>
              <w:rPr>
                <w:rFonts w:ascii="Arial" w:cs="Arial" w:eastAsia="Arial" w:hAnsi="Arial"/>
                <w:sz w:val="16"/>
                <w:szCs w:val="16"/>
                <w:color w:val="auto"/>
                <w:w w:val="93"/>
              </w:rPr>
              <w:t>5.3%</w:t>
            </w:r>
          </w:p>
        </w:tc>
        <w:tc>
          <w:tcPr>
            <w:tcW w:w="360" w:type="dxa"/>
            <w:vAlign w:val="bottom"/>
          </w:tcPr>
          <w:p>
            <w:pPr>
              <w:ind w:left="100"/>
              <w:spacing w:after="0"/>
              <w:rPr>
                <w:sz w:val="20"/>
                <w:szCs w:val="20"/>
                <w:color w:val="auto"/>
              </w:rPr>
            </w:pPr>
            <w:r>
              <w:rPr>
                <w:rFonts w:ascii="Arial" w:cs="Arial" w:eastAsia="Arial" w:hAnsi="Arial"/>
                <w:sz w:val="16"/>
                <w:szCs w:val="16"/>
                <w:color w:val="auto"/>
                <w:w w:val="89"/>
              </w:rPr>
              <w:t>280</w:t>
            </w:r>
          </w:p>
        </w:tc>
        <w:tc>
          <w:tcPr>
            <w:tcW w:w="2280" w:type="dxa"/>
            <w:vAlign w:val="bottom"/>
          </w:tcPr>
          <w:p>
            <w:pPr>
              <w:ind w:left="20"/>
              <w:spacing w:after="0"/>
              <w:rPr>
                <w:sz w:val="20"/>
                <w:szCs w:val="20"/>
                <w:color w:val="auto"/>
              </w:rPr>
            </w:pPr>
            <w:r>
              <w:rPr>
                <w:rFonts w:ascii="Arial" w:cs="Arial" w:eastAsia="Arial" w:hAnsi="Arial"/>
                <w:sz w:val="16"/>
                <w:szCs w:val="16"/>
                <w:color w:val="auto"/>
              </w:rPr>
              <w:t>Park Ave</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5.4%</w:t>
            </w: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280 Park Avenue</w:t>
            </w:r>
          </w:p>
        </w:tc>
        <w:tc>
          <w:tcPr>
            <w:tcW w:w="112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3"/>
              </w:rPr>
              <w:t>5.1%</w:t>
            </w: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485 Lexington Avenue</w:t>
            </w:r>
          </w:p>
        </w:tc>
        <w:tc>
          <w:tcPr>
            <w:tcW w:w="112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3"/>
              </w:rPr>
              <w:t>5.3%</w:t>
            </w:r>
          </w:p>
        </w:tc>
        <w:tc>
          <w:tcPr>
            <w:tcW w:w="3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8"/>
        </w:trPr>
        <w:tc>
          <w:tcPr>
            <w:tcW w:w="2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6"/>
                <w:szCs w:val="16"/>
                <w:color w:val="auto"/>
                <w:w w:val="89"/>
              </w:rPr>
              <w:t>555</w:t>
            </w:r>
          </w:p>
        </w:tc>
        <w:tc>
          <w:tcPr>
            <w:tcW w:w="2260" w:type="dxa"/>
            <w:vAlign w:val="bottom"/>
          </w:tcPr>
          <w:p>
            <w:pPr>
              <w:ind w:left="20"/>
              <w:spacing w:after="0"/>
              <w:rPr>
                <w:sz w:val="20"/>
                <w:szCs w:val="20"/>
                <w:color w:val="auto"/>
              </w:rPr>
            </w:pPr>
            <w:r>
              <w:rPr>
                <w:rFonts w:ascii="Arial" w:cs="Arial" w:eastAsia="Arial" w:hAnsi="Arial"/>
                <w:sz w:val="16"/>
                <w:szCs w:val="16"/>
                <w:color w:val="auto"/>
              </w:rPr>
              <w:t>West 57th Street</w:t>
            </w:r>
          </w:p>
        </w:tc>
        <w:tc>
          <w:tcPr>
            <w:tcW w:w="1120" w:type="dxa"/>
            <w:vAlign w:val="bottom"/>
          </w:tcPr>
          <w:p>
            <w:pPr>
              <w:jc w:val="center"/>
              <w:ind w:left="420"/>
              <w:spacing w:after="0"/>
              <w:rPr>
                <w:sz w:val="20"/>
                <w:szCs w:val="20"/>
                <w:color w:val="auto"/>
              </w:rPr>
            </w:pPr>
            <w:r>
              <w:rPr>
                <w:rFonts w:ascii="Arial" w:cs="Arial" w:eastAsia="Arial" w:hAnsi="Arial"/>
                <w:sz w:val="16"/>
                <w:szCs w:val="16"/>
                <w:color w:val="auto"/>
                <w:w w:val="93"/>
              </w:rPr>
              <w:t>5.2%</w:t>
            </w: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jc w:val="both"/>
        <w:ind w:right="20" w:firstLine="439"/>
        <w:spacing w:after="0" w:line="266" w:lineRule="auto"/>
        <w:rPr>
          <w:sz w:val="20"/>
          <w:szCs w:val="20"/>
          <w:color w:val="auto"/>
        </w:rPr>
      </w:pPr>
      <w:r>
        <w:rPr>
          <w:rFonts w:ascii="Arial" w:cs="Arial" w:eastAsia="Arial" w:hAnsi="Arial"/>
          <w:sz w:val="18"/>
          <w:szCs w:val="18"/>
          <w:color w:val="auto"/>
        </w:rPr>
        <w:t>As of December 31, 2022, 58.1% of our work force is covered by five collective bargaining agreements, and 44.1% of our work force is covered by collective bargaining agreements that expire before December 31, 2023. See Note 19, "Benefits Plans."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balances have been reclassified to conform to our current year presentation.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18"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In March 2022, the FASB issued ASU No. 2022-02 Financial Instruments - Credit Losses (Topic 326) Troubled Debt Restructurings and Vintage Disclosures. ASU 2022-02 eliminates the troubled debt restructuring recognition and measurement guidance and, instead, requires that an entity evaluate whether the modification represents a new loan or a continuation of an existing loan. The amendments enhance existing disclosure requirements and introduce new requirements related to certain modifications of receivables made to borrowers experiencing financial difficulties. Additionally, ASU 2022-02 requires an entity to disclose current-period gross write-offs by year of origination for financing receivables and net investment in leases within the scope of Subtopic 326-20. Gross write-off information must be included in the vintage disclosures required for entities in accordance with Subtopic 326-20, which requires that an entity disclose the amortized cost basis of financing receivables by credit-quality indicator and class of financing receivable by year of origination. ASU 2022-02 is effective for reporting periods beginning after December 15, 2022, including interim periods within those fiscal years, with early adoption permitted. We are currently evaluating the impact of the adoption of ASU 2022-02 on our consolidated financial statements, but do not believe the adoption of this standard will have a material impact on our consolidated financial statements.</w:t>
      </w:r>
    </w:p>
    <w:p>
      <w:pPr>
        <w:spacing w:after="0" w:line="67"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In July 2021, the FASB issued ASU No. 2021-05 Leases (Topic 842) Lessors - Certain Leases with Variable Lease Payments. ASU 2021-05 amends the lease classification requirements for lessors when classifying and accounting for a lease with variable lease payments that do not depend on a reference rate index or a rate. The update provides criteria, that if met, the lease would be classified and accounted for as an operating lease. ASU 2021-05 is effective for reporting periods beginning after December 15, 2021. The Company adopted this guidance on January 1, 2022 and it did not have a material impact on the Company's consolidated financial statements.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August 2020, the FASB issued Accounting Standard Update, or "ASU," No. 2020-06 Debt - Debt with Conversion and Other Options (Subtopic 470-</w:t>
      </w:r>
    </w:p>
    <w:p>
      <w:pPr>
        <w:spacing w:after="0" w:line="40" w:lineRule="exact"/>
        <w:rPr>
          <w:sz w:val="20"/>
          <w:szCs w:val="20"/>
          <w:color w:val="auto"/>
        </w:rPr>
      </w:pPr>
    </w:p>
    <w:p>
      <w:pPr>
        <w:jc w:val="both"/>
        <w:ind w:firstLine="6"/>
        <w:spacing w:after="0" w:line="266" w:lineRule="auto"/>
        <w:tabs>
          <w:tab w:leader="none" w:pos="289"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and Derivatives and Hedging - Contracts in Entity's Own Equity (Subtopic 815-40). ASU 2020-06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ASU 2020-06 is effective for reporting periods beginning after December 15, 2021. The Company adopted this guidance on January 1, 2022 and it did not have a material impact on the Company's consolidated financial statements.</w:t>
      </w:r>
    </w:p>
    <w:p>
      <w:pPr>
        <w:spacing w:after="0" w:line="77" w:lineRule="exact"/>
        <w:rPr>
          <w:sz w:val="20"/>
          <w:szCs w:val="20"/>
          <w:color w:val="auto"/>
        </w:rPr>
      </w:pPr>
    </w:p>
    <w:p>
      <w:pPr>
        <w:jc w:val="both"/>
        <w:ind w:firstLine="399"/>
        <w:spacing w:after="0" w:line="285"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and then in January 2021, the FASB issued ASU No. 2021-01. The amendments provide practical expedients for reference rate reform related activities that impact debt, leases, derivatives and other contracts. The guidance is optional and is effective between March 12, 2020 and December 31, 2024, which was extended from the original sunset date of December 31, 2022 when the FASB issued ASU No. 2022-06 in December 2022. The guidance may be elected over time as reference rate reform activities occur. During the first quarter of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impact of this guidance did not have a material impact on the Company's consolidated financial statements.</w:t>
      </w:r>
    </w:p>
    <w:p>
      <w:pPr>
        <w:spacing w:after="0" w:line="57" w:lineRule="exact"/>
        <w:rPr>
          <w:sz w:val="20"/>
          <w:szCs w:val="20"/>
          <w:color w:val="auto"/>
        </w:rPr>
      </w:pPr>
    </w:p>
    <w:p>
      <w:pPr>
        <w:ind w:right="9400" w:firstLine="6"/>
        <w:spacing w:after="0" w:line="480" w:lineRule="auto"/>
        <w:tabs>
          <w:tab w:leader="none" w:pos="178"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Acquisitions 2022 Acquisitions</w:t>
      </w:r>
    </w:p>
    <w:p>
      <w:pPr>
        <w:ind w:left="400"/>
        <w:spacing w:after="0"/>
        <w:rPr>
          <w:rFonts w:ascii="Arial" w:cs="Arial" w:eastAsia="Arial" w:hAnsi="Arial"/>
          <w:sz w:val="14"/>
          <w:szCs w:val="14"/>
          <w:b w:val="1"/>
          <w:bCs w:val="1"/>
          <w:color w:val="auto"/>
        </w:rPr>
      </w:pPr>
      <w:r>
        <w:rPr>
          <w:rFonts w:ascii="Arial" w:cs="Arial" w:eastAsia="Arial" w:hAnsi="Arial"/>
          <w:sz w:val="18"/>
          <w:szCs w:val="18"/>
          <w:color w:val="auto"/>
        </w:rPr>
        <w:t>The following table summarizes the properties acquired during the year ended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00" w:type="dxa"/>
            <w:vAlign w:val="bottom"/>
            <w:vMerge w:val="restart"/>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Acquisition Date</w:t>
            </w:r>
          </w:p>
        </w:tc>
        <w:tc>
          <w:tcPr>
            <w:tcW w:w="120" w:type="dxa"/>
            <w:vAlign w:val="bottom"/>
            <w:vMerge w:val="restart"/>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Property Type</w:t>
            </w:r>
          </w:p>
        </w:tc>
        <w:tc>
          <w:tcPr>
            <w:tcW w:w="100" w:type="dxa"/>
            <w:vAlign w:val="bottom"/>
            <w:vMerge w:val="restart"/>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Approximate Square</w:t>
            </w:r>
          </w:p>
        </w:tc>
        <w:tc>
          <w:tcPr>
            <w:tcW w:w="120" w:type="dxa"/>
            <w:vAlign w:val="bottom"/>
          </w:tcPr>
          <w:p>
            <w:pPr>
              <w:spacing w:after="0"/>
              <w:rPr>
                <w:sz w:val="16"/>
                <w:szCs w:val="16"/>
                <w:color w:val="auto"/>
              </w:rPr>
            </w:pPr>
          </w:p>
        </w:tc>
        <w:tc>
          <w:tcPr>
            <w:tcW w:w="1640" w:type="dxa"/>
            <w:vAlign w:val="bottom"/>
          </w:tcPr>
          <w:p>
            <w:pPr>
              <w:jc w:val="center"/>
              <w:ind w:right="20"/>
              <w:spacing w:after="0"/>
              <w:rPr>
                <w:sz w:val="20"/>
                <w:szCs w:val="20"/>
                <w:color w:val="auto"/>
              </w:rPr>
            </w:pPr>
            <w:r>
              <w:rPr>
                <w:rFonts w:ascii="Arial" w:cs="Arial" w:eastAsia="Arial" w:hAnsi="Arial"/>
                <w:sz w:val="16"/>
                <w:szCs w:val="16"/>
                <w:b w:val="1"/>
                <w:bCs w:val="1"/>
                <w:color w:val="auto"/>
                <w:w w:val="87"/>
              </w:rPr>
              <w:t>Gross Asset Valuation</w:t>
            </w:r>
          </w:p>
        </w:tc>
        <w:tc>
          <w:tcPr>
            <w:tcW w:w="0" w:type="dxa"/>
            <w:vAlign w:val="bottom"/>
          </w:tcPr>
          <w:p>
            <w:pPr>
              <w:spacing w:after="0"/>
              <w:rPr>
                <w:sz w:val="1"/>
                <w:szCs w:val="1"/>
                <w:color w:val="auto"/>
              </w:rPr>
            </w:pPr>
          </w:p>
        </w:tc>
      </w:tr>
      <w:tr>
        <w:trPr>
          <w:trHeight w:val="211"/>
        </w:trPr>
        <w:tc>
          <w:tcPr>
            <w:tcW w:w="3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Feet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09"/>
        </w:trPr>
        <w:tc>
          <w:tcPr>
            <w:tcW w:w="39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245 Park Avenue </w:t>
            </w:r>
            <w:r>
              <w:rPr>
                <w:rFonts w:ascii="Arial" w:cs="Arial" w:eastAsia="Arial" w:hAnsi="Arial"/>
                <w:sz w:val="20"/>
                <w:szCs w:val="20"/>
                <w:color w:val="auto"/>
                <w:vertAlign w:val="superscript"/>
              </w:rPr>
              <w:t>(1)</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September 2022</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1,782,793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4" w:lineRule="exact"/>
        <w:rPr>
          <w:sz w:val="20"/>
          <w:szCs w:val="20"/>
          <w:color w:val="auto"/>
        </w:rPr>
      </w:pPr>
    </w:p>
    <w:p>
      <w:pPr>
        <w:jc w:val="both"/>
        <w:ind w:left="400" w:hanging="394"/>
        <w:spacing w:after="0" w:line="284" w:lineRule="auto"/>
        <w:tabs>
          <w:tab w:leader="none" w:pos="392"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October 31, 2021, HNA, through an affiliated entity, filed for Chapter 11 bankruptcy protection on account of its investment in 245 Park Avenue, together with another asset in Chicago. On July 8, 2022, certain of the debtors and affiliates of SL Green entered into a Plan Sponsorship and Investment Agreement (the "Plan"), pursuant to which SL Green became the stalking horse bidder for the property. Since the debtors did not receive any qualifying bids for the property and the Plan was confirmed, SL Green acquired full ownership and control of the property in September 2022, at which time our outstanding preferred equity and accrued interest balance were credited to our equity investment in the property. We recorded the assets acquired and liabilities assumed at fair value. See Note 5, "Debt and Preferred Equity Investments" and Note 16, "Fair Value Measurements."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properties acquired during the year ended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00" w:type="dxa"/>
            <w:vAlign w:val="bottom"/>
            <w:vMerge w:val="restart"/>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Acquisition Date</w:t>
            </w:r>
          </w:p>
        </w:tc>
        <w:tc>
          <w:tcPr>
            <w:tcW w:w="120" w:type="dxa"/>
            <w:vAlign w:val="bottom"/>
            <w:vMerge w:val="restart"/>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Property Type</w:t>
            </w:r>
          </w:p>
        </w:tc>
        <w:tc>
          <w:tcPr>
            <w:tcW w:w="100" w:type="dxa"/>
            <w:vAlign w:val="bottom"/>
            <w:vMerge w:val="restart"/>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Arial" w:cs="Arial" w:eastAsia="Arial" w:hAnsi="Arial"/>
                <w:sz w:val="16"/>
                <w:szCs w:val="16"/>
                <w:b w:val="1"/>
                <w:bCs w:val="1"/>
                <w:color w:val="auto"/>
              </w:rPr>
              <w:t>Approximate Square</w:t>
            </w:r>
          </w:p>
        </w:tc>
        <w:tc>
          <w:tcPr>
            <w:tcW w:w="12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auto"/>
                <w:w w:val="87"/>
              </w:rPr>
              <w:t>Gross Asset Valuation</w:t>
            </w:r>
          </w:p>
        </w:tc>
        <w:tc>
          <w:tcPr>
            <w:tcW w:w="0" w:type="dxa"/>
            <w:vAlign w:val="bottom"/>
          </w:tcPr>
          <w:p>
            <w:pPr>
              <w:spacing w:after="0"/>
              <w:rPr>
                <w:sz w:val="1"/>
                <w:szCs w:val="1"/>
                <w:color w:val="auto"/>
              </w:rPr>
            </w:pPr>
          </w:p>
        </w:tc>
      </w:tr>
      <w:tr>
        <w:trPr>
          <w:trHeight w:val="211"/>
        </w:trPr>
        <w:tc>
          <w:tcPr>
            <w:tcW w:w="38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Feet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885</w:t>
            </w:r>
          </w:p>
        </w:tc>
        <w:tc>
          <w:tcPr>
            <w:tcW w:w="364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Third Avenue </w:t>
            </w:r>
            <w:r>
              <w:rPr>
                <w:rFonts w:ascii="Arial" w:cs="Arial" w:eastAsia="Arial" w:hAnsi="Arial"/>
                <w:sz w:val="20"/>
                <w:szCs w:val="20"/>
                <w:color w:val="auto"/>
                <w:vertAlign w:val="superscript"/>
              </w:rPr>
              <w:t>(1)</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January 2021</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461</w:t>
            </w:r>
          </w:p>
        </w:tc>
        <w:tc>
          <w:tcPr>
            <w:tcW w:w="364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Fifth Avenue </w:t>
            </w:r>
            <w:r>
              <w:rPr>
                <w:rFonts w:ascii="Arial" w:cs="Arial" w:eastAsia="Arial" w:hAnsi="Arial"/>
                <w:sz w:val="20"/>
                <w:szCs w:val="20"/>
                <w:color w:val="auto"/>
                <w:vertAlign w:val="superscript"/>
              </w:rPr>
              <w:t>(2)</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2021</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76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3"/>
        </w:trPr>
        <w:tc>
          <w:tcPr>
            <w:tcW w:w="3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1591-1597 Broadway</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September 2021</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75"/>
        </w:trPr>
        <w:tc>
          <w:tcPr>
            <w:tcW w:w="280" w:type="dxa"/>
            <w:vAlign w:val="bottom"/>
          </w:tcPr>
          <w:p>
            <w:pPr>
              <w:ind w:left="20"/>
              <w:spacing w:after="0"/>
              <w:rPr>
                <w:sz w:val="20"/>
                <w:szCs w:val="20"/>
                <w:color w:val="auto"/>
              </w:rPr>
            </w:pPr>
            <w:r>
              <w:rPr>
                <w:rFonts w:ascii="Arial" w:cs="Arial" w:eastAsia="Arial" w:hAnsi="Arial"/>
                <w:sz w:val="16"/>
                <w:szCs w:val="16"/>
                <w:color w:val="auto"/>
                <w:w w:val="89"/>
              </w:rPr>
              <w:t>690</w:t>
            </w: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 xml:space="preserve">Madison Avenue </w:t>
            </w:r>
            <w:r>
              <w:rPr>
                <w:rFonts w:ascii="Arial" w:cs="Arial" w:eastAsia="Arial" w:hAnsi="Arial"/>
                <w:sz w:val="20"/>
                <w:szCs w:val="20"/>
                <w:color w:val="auto"/>
                <w:vertAlign w:val="superscript"/>
              </w:rPr>
              <w:t>(3)</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September 2021</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760" w:type="dxa"/>
            <w:vAlign w:val="bottom"/>
          </w:tcPr>
          <w:p>
            <w:pPr>
              <w:jc w:val="right"/>
              <w:spacing w:after="0"/>
              <w:rPr>
                <w:sz w:val="20"/>
                <w:szCs w:val="20"/>
                <w:color w:val="auto"/>
              </w:rPr>
            </w:pPr>
            <w:r>
              <w:rPr>
                <w:rFonts w:ascii="Arial" w:cs="Arial" w:eastAsia="Arial" w:hAnsi="Arial"/>
                <w:sz w:val="16"/>
                <w:szCs w:val="16"/>
                <w:color w:val="auto"/>
              </w:rPr>
              <w:t>7,848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left="400" w:hanging="394"/>
        <w:spacing w:after="0" w:line="255" w:lineRule="auto"/>
        <w:tabs>
          <w:tab w:leader="none" w:pos="392"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January 2021, pursuant to the partnership documents of our 885 Third Avenue investment, certain participating rights of the common member expired. As a result, it was determined that this investment is a VIE in which we are the primary beneficiary, and the investment was consolidated in our financial statements. Upon consolidating the entity, the assets and liabilities of the entity were recorded at fair value. Prior to January 2021, the investment was accounted for under the equity method. See Note 6, "Investments in Unconsolidated Joint Ventures" and Note 16, "Fair Value Measurements.</w:t>
      </w:r>
    </w:p>
    <w:p>
      <w:pPr>
        <w:spacing w:after="0" w:line="2" w:lineRule="exact"/>
        <w:rPr>
          <w:rFonts w:ascii="Arial" w:cs="Arial" w:eastAsia="Arial" w:hAnsi="Arial"/>
          <w:sz w:val="14"/>
          <w:szCs w:val="14"/>
          <w:color w:val="auto"/>
        </w:rPr>
      </w:pPr>
    </w:p>
    <w:p>
      <w:pPr>
        <w:ind w:left="400" w:hanging="394"/>
        <w:spacing w:after="0" w:line="251" w:lineRule="auto"/>
        <w:tabs>
          <w:tab w:leader="none" w:pos="392"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April 2021, the Company exercised its option to acquire the fee interest in the property from the ground lessor and the Company acquired the fee interest in June 2021. The Company held the leasehold interest in the property prior to exercising its option.</w:t>
      </w:r>
    </w:p>
    <w:p>
      <w:pPr>
        <w:jc w:val="both"/>
        <w:ind w:left="400" w:hanging="394"/>
        <w:spacing w:after="0" w:line="263" w:lineRule="auto"/>
        <w:tabs>
          <w:tab w:leader="none" w:pos="392"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September 2021, the Company was the successful bidder for the fee interest in 690 Madison Avenue at the foreclosure of the asset. The property previously served as collateral for a debt and preferred equity investment. We recorded the assets acquired and liabilities assumed at fair value. See Note 5, "Debt and Preferred Equity Investments" and Note 16, "Fair Value Measurements."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properties acquired during the year ended December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Approximate Square</w:t>
            </w:r>
          </w:p>
        </w:tc>
        <w:tc>
          <w:tcPr>
            <w:tcW w:w="260" w:type="dxa"/>
            <w:vAlign w:val="bottom"/>
          </w:tcPr>
          <w:p>
            <w:pPr>
              <w:spacing w:after="0"/>
              <w:rPr>
                <w:sz w:val="16"/>
                <w:szCs w:val="16"/>
                <w:color w:val="auto"/>
              </w:rPr>
            </w:pPr>
          </w:p>
        </w:tc>
        <w:tc>
          <w:tcPr>
            <w:tcW w:w="1400" w:type="dxa"/>
            <w:vAlign w:val="bottom"/>
          </w:tcPr>
          <w:p>
            <w:pPr>
              <w:jc w:val="center"/>
              <w:ind w:right="200"/>
              <w:spacing w:after="0"/>
              <w:rPr>
                <w:sz w:val="20"/>
                <w:szCs w:val="20"/>
                <w:color w:val="auto"/>
              </w:rPr>
            </w:pPr>
            <w:r>
              <w:rPr>
                <w:rFonts w:ascii="Arial" w:cs="Arial" w:eastAsia="Arial" w:hAnsi="Arial"/>
                <w:sz w:val="16"/>
                <w:szCs w:val="16"/>
                <w:b w:val="1"/>
                <w:bCs w:val="1"/>
                <w:color w:val="auto"/>
                <w:w w:val="84"/>
              </w:rPr>
              <w:t>Gross Asset</w:t>
            </w:r>
          </w:p>
        </w:tc>
        <w:tc>
          <w:tcPr>
            <w:tcW w:w="0" w:type="dxa"/>
            <w:vAlign w:val="bottom"/>
          </w:tcPr>
          <w:p>
            <w:pPr>
              <w:spacing w:after="0"/>
              <w:rPr>
                <w:sz w:val="1"/>
                <w:szCs w:val="1"/>
                <w:color w:val="auto"/>
              </w:rPr>
            </w:pPr>
          </w:p>
        </w:tc>
      </w:tr>
      <w:tr>
        <w:trPr>
          <w:trHeight w:val="160"/>
        </w:trPr>
        <w:tc>
          <w:tcPr>
            <w:tcW w:w="4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00" w:type="dxa"/>
            <w:vAlign w:val="bottom"/>
            <w:vMerge w:val="restart"/>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Acquisition Date</w:t>
            </w:r>
          </w:p>
        </w:tc>
        <w:tc>
          <w:tcPr>
            <w:tcW w:w="120" w:type="dxa"/>
            <w:vAlign w:val="bottom"/>
            <w:vMerge w:val="restart"/>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Property Type</w:t>
            </w:r>
          </w:p>
        </w:tc>
        <w:tc>
          <w:tcPr>
            <w:tcW w:w="100" w:type="dxa"/>
            <w:vAlign w:val="bottom"/>
            <w:vMerge w:val="restart"/>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center"/>
              <w:ind w:right="180"/>
              <w:spacing w:after="0" w:line="160" w:lineRule="exact"/>
              <w:rPr>
                <w:sz w:val="20"/>
                <w:szCs w:val="20"/>
                <w:color w:val="auto"/>
              </w:rPr>
            </w:pPr>
            <w:r>
              <w:rPr>
                <w:rFonts w:ascii="Arial" w:cs="Arial" w:eastAsia="Arial" w:hAnsi="Arial"/>
                <w:sz w:val="16"/>
                <w:szCs w:val="16"/>
                <w:b w:val="1"/>
                <w:bCs w:val="1"/>
                <w:color w:val="auto"/>
                <w:w w:val="91"/>
              </w:rPr>
              <w:t>Valuation</w:t>
            </w:r>
          </w:p>
        </w:tc>
        <w:tc>
          <w:tcPr>
            <w:tcW w:w="0" w:type="dxa"/>
            <w:vAlign w:val="bottom"/>
          </w:tcPr>
          <w:p>
            <w:pPr>
              <w:spacing w:after="0"/>
              <w:rPr>
                <w:sz w:val="1"/>
                <w:szCs w:val="1"/>
                <w:color w:val="auto"/>
              </w:rPr>
            </w:pPr>
          </w:p>
        </w:tc>
      </w:tr>
      <w:tr>
        <w:trPr>
          <w:trHeight w:val="211"/>
        </w:trPr>
        <w:tc>
          <w:tcPr>
            <w:tcW w:w="41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0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b w:val="1"/>
                <w:bCs w:val="1"/>
                <w:color w:val="auto"/>
              </w:rPr>
              <w:t>Feet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762</w:t>
            </w:r>
          </w:p>
        </w:tc>
        <w:tc>
          <w:tcPr>
            <w:tcW w:w="394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Madison Avenue </w:t>
            </w:r>
            <w:r>
              <w:rPr>
                <w:rFonts w:ascii="Arial" w:cs="Arial" w:eastAsia="Arial" w:hAnsi="Arial"/>
                <w:sz w:val="20"/>
                <w:szCs w:val="20"/>
                <w:color w:val="auto"/>
                <w:vertAlign w:val="superscript"/>
              </w:rPr>
              <w:t>(1)</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2020</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Fee Interest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Arial" w:cs="Arial" w:eastAsia="Arial" w:hAnsi="Arial"/>
                <w:sz w:val="16"/>
                <w:szCs w:val="16"/>
                <w:color w:val="auto"/>
                <w:w w:val="89"/>
              </w:rPr>
              <w:t>707</w:t>
            </w:r>
          </w:p>
        </w:tc>
        <w:tc>
          <w:tcPr>
            <w:tcW w:w="3940" w:type="dxa"/>
            <w:vAlign w:val="bottom"/>
            <w:gridSpan w:val="2"/>
          </w:tcPr>
          <w:p>
            <w:pPr>
              <w:ind w:left="20"/>
              <w:spacing w:after="0"/>
              <w:rPr>
                <w:sz w:val="20"/>
                <w:szCs w:val="20"/>
                <w:color w:val="auto"/>
              </w:rPr>
            </w:pPr>
            <w:r>
              <w:rPr>
                <w:rFonts w:ascii="Arial" w:cs="Arial" w:eastAsia="Arial" w:hAnsi="Arial"/>
                <w:sz w:val="16"/>
                <w:szCs w:val="16"/>
                <w:color w:val="auto"/>
              </w:rPr>
              <w:t>Eleventh Avenue</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January 2020</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Fee Interest</w:t>
            </w:r>
          </w:p>
        </w:tc>
        <w:tc>
          <w:tcPr>
            <w:tcW w:w="1700" w:type="dxa"/>
            <w:vAlign w:val="bottom"/>
          </w:tcPr>
          <w:p>
            <w:pPr>
              <w:jc w:val="right"/>
              <w:spacing w:after="0"/>
              <w:rPr>
                <w:sz w:val="20"/>
                <w:szCs w:val="20"/>
                <w:color w:val="auto"/>
              </w:rPr>
            </w:pPr>
            <w:r>
              <w:rPr>
                <w:rFonts w:ascii="Arial" w:cs="Arial" w:eastAsia="Arial" w:hAnsi="Arial"/>
                <w:sz w:val="16"/>
                <w:szCs w:val="16"/>
                <w:color w:val="auto"/>
              </w:rPr>
              <w:t>159,720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15 Beekman </w:t>
            </w:r>
            <w:r>
              <w:rPr>
                <w:rFonts w:ascii="Arial" w:cs="Arial" w:eastAsia="Arial" w:hAnsi="Arial"/>
                <w:sz w:val="20"/>
                <w:szCs w:val="20"/>
                <w:color w:val="auto"/>
                <w:vertAlign w:val="superscript"/>
              </w:rPr>
              <w:t>(2)</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2020</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Leasehold Interest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5"/>
        </w:trPr>
        <w:tc>
          <w:tcPr>
            <w:tcW w:w="280" w:type="dxa"/>
            <w:vAlign w:val="bottom"/>
          </w:tcPr>
          <w:p>
            <w:pPr>
              <w:ind w:left="20"/>
              <w:spacing w:after="0"/>
              <w:rPr>
                <w:sz w:val="20"/>
                <w:szCs w:val="20"/>
                <w:color w:val="auto"/>
              </w:rPr>
            </w:pPr>
            <w:r>
              <w:rPr>
                <w:rFonts w:ascii="Arial" w:cs="Arial" w:eastAsia="Arial" w:hAnsi="Arial"/>
                <w:sz w:val="16"/>
                <w:szCs w:val="16"/>
                <w:color w:val="auto"/>
                <w:w w:val="89"/>
              </w:rPr>
              <w:t>590</w:t>
            </w:r>
          </w:p>
        </w:tc>
        <w:tc>
          <w:tcPr>
            <w:tcW w:w="3940" w:type="dxa"/>
            <w:vAlign w:val="bottom"/>
            <w:gridSpan w:val="2"/>
          </w:tcPr>
          <w:p>
            <w:pPr>
              <w:ind w:left="20"/>
              <w:spacing w:after="0"/>
              <w:rPr>
                <w:sz w:val="20"/>
                <w:szCs w:val="20"/>
                <w:color w:val="auto"/>
              </w:rPr>
            </w:pPr>
            <w:r>
              <w:rPr>
                <w:rFonts w:ascii="Arial" w:cs="Arial" w:eastAsia="Arial" w:hAnsi="Arial"/>
                <w:sz w:val="16"/>
                <w:szCs w:val="16"/>
                <w:color w:val="auto"/>
              </w:rPr>
              <w:t xml:space="preserve">Fifth Avenue </w:t>
            </w:r>
            <w:r>
              <w:rPr>
                <w:rFonts w:ascii="Arial" w:cs="Arial" w:eastAsia="Arial" w:hAnsi="Arial"/>
                <w:sz w:val="20"/>
                <w:szCs w:val="20"/>
                <w:color w:val="auto"/>
                <w:vertAlign w:val="superscript"/>
              </w:rPr>
              <w:t>(3)</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2020</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Fee Interest</w:t>
            </w:r>
          </w:p>
        </w:tc>
        <w:tc>
          <w:tcPr>
            <w:tcW w:w="1700" w:type="dxa"/>
            <w:vAlign w:val="bottom"/>
          </w:tcPr>
          <w:p>
            <w:pPr>
              <w:jc w:val="right"/>
              <w:spacing w:after="0"/>
              <w:rPr>
                <w:sz w:val="20"/>
                <w:szCs w:val="20"/>
                <w:color w:val="auto"/>
              </w:rPr>
            </w:pPr>
            <w:r>
              <w:rPr>
                <w:rFonts w:ascii="Arial" w:cs="Arial" w:eastAsia="Arial" w:hAnsi="Arial"/>
                <w:sz w:val="16"/>
                <w:szCs w:val="16"/>
                <w:color w:val="auto"/>
              </w:rPr>
              <w:t>103,300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00" w:hanging="394"/>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Company acquired from our joint venture partner the remaining 10% interest in this property that the Company did not already own.</w:t>
      </w:r>
    </w:p>
    <w:p>
      <w:pPr>
        <w:spacing w:after="0" w:line="19" w:lineRule="exact"/>
        <w:rPr>
          <w:rFonts w:ascii="Arial" w:cs="Arial" w:eastAsia="Arial" w:hAnsi="Arial"/>
          <w:sz w:val="14"/>
          <w:szCs w:val="14"/>
          <w:color w:val="auto"/>
        </w:rPr>
      </w:pPr>
    </w:p>
    <w:p>
      <w:pPr>
        <w:ind w:left="400" w:hanging="394"/>
        <w:spacing w:after="0" w:line="257" w:lineRule="auto"/>
        <w:tabs>
          <w:tab w:leader="none" w:pos="392"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January 2020, the Company entered into a 99-year ground lease of 126 Nassau Street and subsequently renamed the property 15 Beekman. In August 2020, we entered into a partnership as part of the capitalization of this development project. See note 6, “Investment in Unconsolidated Joint Ventures.”</w:t>
      </w:r>
    </w:p>
    <w:p>
      <w:pPr>
        <w:spacing w:after="0" w:line="1" w:lineRule="exact"/>
        <w:rPr>
          <w:rFonts w:ascii="Arial" w:cs="Arial" w:eastAsia="Arial" w:hAnsi="Arial"/>
          <w:sz w:val="14"/>
          <w:szCs w:val="14"/>
          <w:color w:val="auto"/>
        </w:rPr>
      </w:pPr>
    </w:p>
    <w:p>
      <w:pPr>
        <w:ind w:left="400" w:hanging="394"/>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property previously served as collateral for a debt and preferred equity investment and was acquired through a negotiated transaction with the sponsor.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ind w:right="7220" w:firstLine="6"/>
        <w:spacing w:after="0" w:line="373" w:lineRule="auto"/>
        <w:tabs>
          <w:tab w:leader="none" w:pos="17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Properties Held for Sale and Property Dispositions Properties Held for Sale</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2022, no properties were classified as held for sale.</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2021, 1080 Amsterdam Avenue and 707 Eleventh Avenue were classified as held for sale, as we</w:t>
      </w:r>
    </w:p>
    <w:p>
      <w:pPr>
        <w:spacing w:after="0" w:line="1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entered into an agreement to sell the properties, which closed in the first quarter of 2022. The Company recorded a $15.0 million charge in connection with the classification of 707 Eleventh Avenue as held for sale, which is included in Depreciable real estate reserves and impairments in the consolidated statement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properties sold during the years ended December 31, 2022,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Unaudited</w:t>
            </w:r>
          </w:p>
        </w:tc>
        <w:tc>
          <w:tcPr>
            <w:tcW w:w="220" w:type="dxa"/>
            <w:vAlign w:val="bottom"/>
          </w:tcPr>
          <w:p>
            <w:pPr>
              <w:spacing w:after="0"/>
              <w:rPr>
                <w:sz w:val="16"/>
                <w:szCs w:val="16"/>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 xml:space="preserve">Sales Price </w:t>
            </w:r>
            <w:r>
              <w:rPr>
                <w:rFonts w:ascii="Arial" w:cs="Arial" w:eastAsia="Arial" w:hAnsi="Arial"/>
                <w:sz w:val="20"/>
                <w:szCs w:val="20"/>
                <w:b w:val="1"/>
                <w:bCs w:val="1"/>
                <w:color w:val="auto"/>
                <w:vertAlign w:val="superscript"/>
              </w:rPr>
              <w:t>(1)</w:t>
            </w: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8"/>
              </w:rPr>
              <w:t xml:space="preserve">(Loss) Gain on Sale </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252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Property</w:t>
            </w:r>
          </w:p>
        </w:tc>
        <w:tc>
          <w:tcPr>
            <w:tcW w:w="100" w:type="dxa"/>
            <w:vAlign w:val="bottom"/>
            <w:vMerge w:val="restart"/>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Disposition Date</w:t>
            </w:r>
          </w:p>
        </w:tc>
        <w:tc>
          <w:tcPr>
            <w:tcW w:w="100" w:type="dxa"/>
            <w:vAlign w:val="bottom"/>
            <w:vMerge w:val="restart"/>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Property Type</w:t>
            </w:r>
          </w:p>
        </w:tc>
        <w:tc>
          <w:tcPr>
            <w:tcW w:w="100" w:type="dxa"/>
            <w:vAlign w:val="bottom"/>
            <w:vMerge w:val="restart"/>
          </w:tcPr>
          <w:p>
            <w:pPr>
              <w:spacing w:after="0"/>
              <w:rPr>
                <w:sz w:val="13"/>
                <w:szCs w:val="13"/>
                <w:color w:val="auto"/>
              </w:rPr>
            </w:pPr>
          </w:p>
        </w:tc>
        <w:tc>
          <w:tcPr>
            <w:tcW w:w="1680" w:type="dxa"/>
            <w:vAlign w:val="bottom"/>
            <w:gridSpan w:val="2"/>
          </w:tcPr>
          <w:p>
            <w:pPr>
              <w:jc w:val="center"/>
              <w:ind w:right="100"/>
              <w:spacing w:after="0" w:line="160" w:lineRule="exact"/>
              <w:rPr>
                <w:sz w:val="20"/>
                <w:szCs w:val="20"/>
                <w:color w:val="auto"/>
              </w:rPr>
            </w:pPr>
            <w:r>
              <w:rPr>
                <w:rFonts w:ascii="Arial" w:cs="Arial" w:eastAsia="Arial" w:hAnsi="Arial"/>
                <w:sz w:val="16"/>
                <w:szCs w:val="16"/>
                <w:b w:val="1"/>
                <w:bCs w:val="1"/>
                <w:color w:val="auto"/>
                <w:w w:val="91"/>
              </w:rPr>
              <w:t>Approximate Usable</w:t>
            </w:r>
          </w:p>
        </w:tc>
        <w:tc>
          <w:tcPr>
            <w:tcW w:w="2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Square Feet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159"/>
        </w:trPr>
        <w:tc>
          <w:tcPr>
            <w:tcW w:w="28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89"/>
              </w:rPr>
              <w:t>885</w:t>
            </w:r>
          </w:p>
        </w:tc>
        <w:tc>
          <w:tcPr>
            <w:tcW w:w="2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Third Avenue - Office Condominium</w:t>
            </w:r>
          </w:p>
        </w:tc>
        <w:tc>
          <w:tcPr>
            <w:tcW w:w="16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89"/>
              </w:rPr>
              <w:t>December 2022</w:t>
            </w:r>
          </w:p>
        </w:tc>
        <w:tc>
          <w:tcPr>
            <w:tcW w:w="16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89"/>
              </w:rPr>
              <w:t>Fee / Leasehold Interest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414,317</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300.4</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0"/>
        </w:trPr>
        <w:tc>
          <w:tcPr>
            <w:tcW w:w="2900" w:type="dxa"/>
            <w:vAlign w:val="bottom"/>
            <w:gridSpan w:val="3"/>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Units </w:t>
            </w:r>
            <w:r>
              <w:rPr>
                <w:rFonts w:ascii="Arial" w:cs="Arial" w:eastAsia="Arial" w:hAnsi="Arial"/>
                <w:sz w:val="20"/>
                <w:szCs w:val="20"/>
                <w:color w:val="auto"/>
                <w:vertAlign w:val="superscript"/>
              </w:rPr>
              <w:t>(3)</w:t>
            </w:r>
          </w:p>
        </w:tc>
        <w:tc>
          <w:tcPr>
            <w:tcW w:w="1680" w:type="dxa"/>
            <w:vAlign w:val="bottom"/>
            <w:gridSpan w:val="2"/>
            <w:vMerge w:val="continue"/>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Arial" w:cs="Arial" w:eastAsia="Arial" w:hAnsi="Arial"/>
                <w:sz w:val="16"/>
                <w:szCs w:val="16"/>
                <w:color w:val="auto"/>
                <w:w w:val="89"/>
              </w:rPr>
              <w:t>609</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Fifth Avenue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2022</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tcPr>
          <w:p>
            <w:pPr>
              <w:jc w:val="right"/>
              <w:spacing w:after="0"/>
              <w:rPr>
                <w:sz w:val="20"/>
                <w:szCs w:val="20"/>
                <w:color w:val="auto"/>
              </w:rPr>
            </w:pPr>
            <w:r>
              <w:rPr>
                <w:rFonts w:ascii="Arial" w:cs="Arial" w:eastAsia="Arial" w:hAnsi="Arial"/>
                <w:sz w:val="16"/>
                <w:szCs w:val="16"/>
                <w:color w:val="auto"/>
              </w:rPr>
              <w:t>138,563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6"/>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1591-1597 Broadway</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May 2022</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0"/>
        </w:trPr>
        <w:tc>
          <w:tcPr>
            <w:tcW w:w="2900" w:type="dxa"/>
            <w:vAlign w:val="bottom"/>
            <w:gridSpan w:val="3"/>
          </w:tcPr>
          <w:p>
            <w:pPr>
              <w:ind w:left="20"/>
              <w:spacing w:after="0"/>
              <w:rPr>
                <w:sz w:val="20"/>
                <w:szCs w:val="20"/>
                <w:color w:val="auto"/>
              </w:rPr>
            </w:pPr>
            <w:r>
              <w:rPr>
                <w:rFonts w:ascii="Arial" w:cs="Arial" w:eastAsia="Arial" w:hAnsi="Arial"/>
                <w:sz w:val="16"/>
                <w:szCs w:val="16"/>
                <w:color w:val="auto"/>
              </w:rPr>
              <w:t>1080 Amsterdam Avenue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April 2022</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Leasehold Interest</w:t>
            </w:r>
          </w:p>
        </w:tc>
        <w:tc>
          <w:tcPr>
            <w:tcW w:w="1580" w:type="dxa"/>
            <w:vAlign w:val="bottom"/>
          </w:tcPr>
          <w:p>
            <w:pPr>
              <w:jc w:val="right"/>
              <w:spacing w:after="0"/>
              <w:rPr>
                <w:sz w:val="20"/>
                <w:szCs w:val="20"/>
                <w:color w:val="auto"/>
              </w:rPr>
            </w:pPr>
            <w:r>
              <w:rPr>
                <w:rFonts w:ascii="Arial" w:cs="Arial" w:eastAsia="Arial" w:hAnsi="Arial"/>
                <w:sz w:val="16"/>
                <w:szCs w:val="16"/>
                <w:color w:val="auto"/>
              </w:rPr>
              <w:t>85,250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707</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Eleventh Avenue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February 2022</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0"/>
        </w:trPr>
        <w:tc>
          <w:tcPr>
            <w:tcW w:w="2900" w:type="dxa"/>
            <w:vAlign w:val="bottom"/>
            <w:gridSpan w:val="3"/>
          </w:tcPr>
          <w:p>
            <w:pPr>
              <w:ind w:left="20"/>
              <w:spacing w:after="0"/>
              <w:rPr>
                <w:sz w:val="20"/>
                <w:szCs w:val="20"/>
                <w:color w:val="auto"/>
              </w:rPr>
            </w:pPr>
            <w:r>
              <w:rPr>
                <w:rFonts w:ascii="Arial" w:cs="Arial" w:eastAsia="Arial" w:hAnsi="Arial"/>
                <w:sz w:val="16"/>
                <w:szCs w:val="16"/>
                <w:color w:val="auto"/>
              </w:rPr>
              <w:t>110 East 42nd Street</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2021</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tcPr>
          <w:p>
            <w:pPr>
              <w:jc w:val="right"/>
              <w:spacing w:after="0"/>
              <w:rPr>
                <w:sz w:val="20"/>
                <w:szCs w:val="20"/>
                <w:color w:val="auto"/>
              </w:rPr>
            </w:pPr>
            <w:r>
              <w:rPr>
                <w:rFonts w:ascii="Arial" w:cs="Arial" w:eastAsia="Arial" w:hAnsi="Arial"/>
                <w:sz w:val="16"/>
                <w:szCs w:val="16"/>
                <w:color w:val="auto"/>
              </w:rPr>
              <w:t>215,400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590</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Fifth Avenue</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2021</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220</w:t>
            </w:r>
          </w:p>
        </w:tc>
        <w:tc>
          <w:tcPr>
            <w:tcW w:w="262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East 42nd Street </w:t>
            </w:r>
            <w:r>
              <w:rPr>
                <w:rFonts w:ascii="Arial" w:cs="Arial" w:eastAsia="Arial" w:hAnsi="Arial"/>
                <w:sz w:val="20"/>
                <w:szCs w:val="20"/>
                <w:color w:val="auto"/>
                <w:vertAlign w:val="superscript"/>
              </w:rPr>
              <w:t>(4)</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2021</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tcPr>
          <w:p>
            <w:pPr>
              <w:jc w:val="right"/>
              <w:spacing w:after="0"/>
              <w:rPr>
                <w:sz w:val="20"/>
                <w:szCs w:val="20"/>
                <w:color w:val="auto"/>
              </w:rPr>
            </w:pPr>
            <w:r>
              <w:rPr>
                <w:rFonts w:ascii="Arial" w:cs="Arial" w:eastAsia="Arial" w:hAnsi="Arial"/>
                <w:sz w:val="16"/>
                <w:szCs w:val="16"/>
                <w:color w:val="auto"/>
              </w:rPr>
              <w:t>1,135,000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213"/>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635-641 Sixth Avenue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June 2021</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106</w:t>
            </w:r>
          </w:p>
        </w:tc>
        <w:tc>
          <w:tcPr>
            <w:tcW w:w="262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Spring Street </w:t>
            </w:r>
            <w:r>
              <w:rPr>
                <w:rFonts w:ascii="Arial" w:cs="Arial" w:eastAsia="Arial" w:hAnsi="Arial"/>
                <w:sz w:val="20"/>
                <w:szCs w:val="20"/>
                <w:color w:val="auto"/>
                <w:vertAlign w:val="superscript"/>
              </w:rPr>
              <w:t>(5)</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2021</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tcPr>
          <w:p>
            <w:pPr>
              <w:jc w:val="right"/>
              <w:spacing w:after="0"/>
              <w:rPr>
                <w:sz w:val="20"/>
                <w:szCs w:val="20"/>
                <w:color w:val="auto"/>
              </w:rPr>
            </w:pPr>
            <w:r>
              <w:rPr>
                <w:rFonts w:ascii="Arial" w:cs="Arial" w:eastAsia="Arial" w:hAnsi="Arial"/>
                <w:sz w:val="16"/>
                <w:szCs w:val="16"/>
                <w:color w:val="auto"/>
              </w:rPr>
              <w:t>5,928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133</w:t>
            </w:r>
          </w:p>
        </w:tc>
        <w:tc>
          <w:tcPr>
            <w:tcW w:w="262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Greene Street </w:t>
            </w:r>
            <w:r>
              <w:rPr>
                <w:rFonts w:ascii="Arial" w:cs="Arial" w:eastAsia="Arial" w:hAnsi="Arial"/>
                <w:sz w:val="20"/>
                <w:szCs w:val="20"/>
                <w:color w:val="auto"/>
                <w:vertAlign w:val="superscript"/>
              </w:rPr>
              <w:t>(5)</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February 2021</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712</w:t>
            </w:r>
          </w:p>
        </w:tc>
        <w:tc>
          <w:tcPr>
            <w:tcW w:w="262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Madison Avenue </w:t>
            </w:r>
            <w:r>
              <w:rPr>
                <w:rFonts w:ascii="Arial" w:cs="Arial" w:eastAsia="Arial" w:hAnsi="Arial"/>
                <w:sz w:val="20"/>
                <w:szCs w:val="20"/>
                <w:color w:val="auto"/>
                <w:vertAlign w:val="superscript"/>
              </w:rPr>
              <w:t>(6)</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January 2021</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tcPr>
          <w:p>
            <w:pPr>
              <w:jc w:val="right"/>
              <w:spacing w:after="0"/>
              <w:rPr>
                <w:sz w:val="20"/>
                <w:szCs w:val="20"/>
                <w:color w:val="auto"/>
              </w:rPr>
            </w:pPr>
            <w:r>
              <w:rPr>
                <w:rFonts w:ascii="Arial" w:cs="Arial" w:eastAsia="Arial" w:hAnsi="Arial"/>
                <w:sz w:val="16"/>
                <w:szCs w:val="16"/>
                <w:color w:val="auto"/>
              </w:rPr>
              <w:t>6,600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30 East 40th Street</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December 2020</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Leasehold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2900" w:type="dxa"/>
            <w:vAlign w:val="bottom"/>
            <w:gridSpan w:val="3"/>
          </w:tcPr>
          <w:p>
            <w:pPr>
              <w:ind w:left="20"/>
              <w:spacing w:after="0"/>
              <w:rPr>
                <w:sz w:val="20"/>
                <w:szCs w:val="20"/>
                <w:color w:val="auto"/>
              </w:rPr>
            </w:pPr>
            <w:r>
              <w:rPr>
                <w:rFonts w:ascii="Arial" w:cs="Arial" w:eastAsia="Arial" w:hAnsi="Arial"/>
                <w:sz w:val="16"/>
                <w:szCs w:val="16"/>
                <w:color w:val="auto"/>
              </w:rPr>
              <w:t>1055 Washington Boulevard</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2020</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Leasehold Interest</w:t>
            </w:r>
          </w:p>
        </w:tc>
        <w:tc>
          <w:tcPr>
            <w:tcW w:w="1580" w:type="dxa"/>
            <w:vAlign w:val="bottom"/>
          </w:tcPr>
          <w:p>
            <w:pPr>
              <w:jc w:val="right"/>
              <w:spacing w:after="0"/>
              <w:rPr>
                <w:sz w:val="20"/>
                <w:szCs w:val="20"/>
                <w:color w:val="auto"/>
              </w:rPr>
            </w:pPr>
            <w:r>
              <w:rPr>
                <w:rFonts w:ascii="Arial" w:cs="Arial" w:eastAsia="Arial" w:hAnsi="Arial"/>
                <w:sz w:val="16"/>
                <w:szCs w:val="16"/>
                <w:color w:val="auto"/>
              </w:rPr>
              <w:t>182,000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6"/>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Williamsburg Terrace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December 2020</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Arial" w:cs="Arial" w:eastAsia="Arial" w:hAnsi="Arial"/>
                <w:sz w:val="16"/>
                <w:szCs w:val="16"/>
                <w:color w:val="auto"/>
                <w:w w:val="89"/>
              </w:rPr>
              <w:t>410</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Tenth Avenue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2020</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tcPr>
          <w:p>
            <w:pPr>
              <w:jc w:val="right"/>
              <w:spacing w:after="0"/>
              <w:rPr>
                <w:sz w:val="20"/>
                <w:szCs w:val="20"/>
                <w:color w:val="auto"/>
              </w:rPr>
            </w:pPr>
            <w:r>
              <w:rPr>
                <w:rFonts w:ascii="Arial" w:cs="Arial" w:eastAsia="Arial" w:hAnsi="Arial"/>
                <w:sz w:val="16"/>
                <w:szCs w:val="16"/>
                <w:color w:val="auto"/>
              </w:rPr>
              <w:t>638,000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400</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East 58th Street</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September 2020</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Arial" w:cs="Arial" w:eastAsia="Arial" w:hAnsi="Arial"/>
                <w:sz w:val="16"/>
                <w:szCs w:val="16"/>
                <w:color w:val="auto"/>
                <w:w w:val="89"/>
              </w:rPr>
              <w:t>609</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Fifth Avenue - Retail Condominium</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May 2020</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tcPr>
          <w:p>
            <w:pPr>
              <w:jc w:val="right"/>
              <w:spacing w:after="0"/>
              <w:rPr>
                <w:sz w:val="20"/>
                <w:szCs w:val="20"/>
                <w:color w:val="auto"/>
              </w:rPr>
            </w:pPr>
            <w:r>
              <w:rPr>
                <w:rFonts w:ascii="Arial" w:cs="Arial" w:eastAsia="Arial" w:hAnsi="Arial"/>
                <w:sz w:val="16"/>
                <w:szCs w:val="16"/>
                <w:color w:val="auto"/>
              </w:rPr>
              <w:t>21,437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315</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West 33rd Street - The Olivia</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March 2020</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Fee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Sales price represents the gross sales price for a property or the gross asset valuation for interests in a property.</w:t>
      </w:r>
    </w:p>
    <w:p>
      <w:pPr>
        <w:spacing w:after="0" w:line="10" w:lineRule="exact"/>
        <w:rPr>
          <w:rFonts w:ascii="Arial" w:cs="Arial" w:eastAsia="Arial" w:hAnsi="Arial"/>
          <w:sz w:val="14"/>
          <w:szCs w:val="14"/>
          <w:color w:val="auto"/>
        </w:rPr>
      </w:pPr>
    </w:p>
    <w:p>
      <w:pPr>
        <w:ind w:left="400" w:hanging="394"/>
        <w:spacing w:after="0" w:line="274" w:lineRule="auto"/>
        <w:tabs>
          <w:tab w:leader="none" w:pos="392"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(losses) gains on sale are net of $11.2 million, $13.7 million, and $10.5 million of employee compensation accrued in connection with the realization of the investment dispositions during the years ended December 31, 2022, 2021, and 2020, respectively. Additionally, amounts do not include adjustments for expenses recorded in subsequent periods.</w:t>
      </w:r>
    </w:p>
    <w:p>
      <w:pPr>
        <w:ind w:left="400" w:hanging="394"/>
        <w:spacing w:after="0"/>
        <w:tabs>
          <w:tab w:leader="none" w:pos="4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 December 2022, the Company sold 414,317 square feet of office leasehold condominium units at the property. The Company retained the remaining 218,796 square feet of the building.</w:t>
      </w:r>
    </w:p>
    <w:p>
      <w:pPr>
        <w:spacing w:after="0" w:line="23" w:lineRule="exact"/>
        <w:rPr>
          <w:rFonts w:ascii="Arial" w:cs="Arial" w:eastAsia="Arial" w:hAnsi="Arial"/>
          <w:sz w:val="13"/>
          <w:szCs w:val="13"/>
          <w:color w:val="auto"/>
        </w:rPr>
      </w:pPr>
    </w:p>
    <w:p>
      <w:pPr>
        <w:jc w:val="both"/>
        <w:ind w:left="400" w:hanging="394"/>
        <w:spacing w:after="0" w:line="270" w:lineRule="auto"/>
        <w:tabs>
          <w:tab w:leader="none" w:pos="392"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 July 2021, the Company sold a 49% interest, which resulted in the Company no longer retaining a controlling interest in the entity, as defined in ASC 810, and the deconsolidation of the 51.0% interest we retained. We recorded our investment at fair value which resulted in the recognition of a fair value adjustment of $206.8 million, which is reflected in the Company's consolidated statements of operations within Purchase price and other fair value adjustments. See Note 6, "Investments in Unconsolidated Joint Ventures."</w:t>
      </w:r>
    </w:p>
    <w:p>
      <w:pPr>
        <w:spacing w:after="0" w:line="1" w:lineRule="exact"/>
        <w:rPr>
          <w:rFonts w:ascii="Arial" w:cs="Arial" w:eastAsia="Arial" w:hAnsi="Arial"/>
          <w:sz w:val="13"/>
          <w:szCs w:val="13"/>
          <w:color w:val="auto"/>
        </w:rPr>
      </w:pPr>
    </w:p>
    <w:p>
      <w:pPr>
        <w:ind w:left="400" w:hanging="394"/>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March 2021, the property was foreclosed by the lender.</w:t>
      </w:r>
    </w:p>
    <w:p>
      <w:pPr>
        <w:spacing w:after="0" w:line="12" w:lineRule="exact"/>
        <w:rPr>
          <w:rFonts w:ascii="Arial" w:cs="Arial" w:eastAsia="Arial" w:hAnsi="Arial"/>
          <w:sz w:val="14"/>
          <w:szCs w:val="14"/>
          <w:color w:val="auto"/>
        </w:rPr>
      </w:pPr>
    </w:p>
    <w:p>
      <w:pPr>
        <w:ind w:left="400" w:hanging="394"/>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Disposition resulted from the ground lessee exercising its purchase option under a ground lease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Preferred Equity Investments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Below is a summary of the activity in our debt and preferred equity investments for the years ended December 31, 2022 and 2021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Arial" w:cs="Arial" w:eastAsia="Arial" w:hAnsi="Arial"/>
                <w:sz w:val="16"/>
                <w:szCs w:val="16"/>
                <w:b w:val="1"/>
                <w:bCs w:val="1"/>
                <w:color w:val="auto"/>
                <w:w w:val="91"/>
              </w:rPr>
              <w:t>December 31, 2021</w:t>
            </w:r>
          </w:p>
        </w:tc>
      </w:tr>
      <w:tr>
        <w:trPr>
          <w:trHeight w:val="209"/>
        </w:trPr>
        <w:tc>
          <w:tcPr>
            <w:tcW w:w="7320" w:type="dxa"/>
            <w:vAlign w:val="bottom"/>
            <w:tcBorders>
              <w:top w:val="single" w:sz="8" w:color="CCEEFF"/>
            </w:tcBorders>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Balance at beginning of year </w:t>
            </w:r>
            <w:r>
              <w:rPr>
                <w:rFonts w:ascii="Arial" w:cs="Arial" w:eastAsia="Arial" w:hAnsi="Arial"/>
                <w:sz w:val="20"/>
                <w:szCs w:val="20"/>
                <w:color w:val="auto"/>
                <w:vertAlign w:val="superscript"/>
              </w:rPr>
              <w:t>(1)</w:t>
            </w: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1,088,723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1,076,542</w:t>
            </w:r>
          </w:p>
        </w:tc>
      </w:tr>
      <w:tr>
        <w:trPr>
          <w:trHeight w:val="213"/>
        </w:trPr>
        <w:tc>
          <w:tcPr>
            <w:tcW w:w="732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Debt investment originations/fundings/accretion </w:t>
            </w:r>
            <w:r>
              <w:rPr>
                <w:rFonts w:ascii="Arial" w:cs="Arial" w:eastAsia="Arial" w:hAnsi="Arial"/>
                <w:sz w:val="20"/>
                <w:szCs w:val="20"/>
                <w:color w:val="auto"/>
                <w:vertAlign w:val="superscript"/>
              </w:rPr>
              <w:t>(2)</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62,992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193,824</w:t>
            </w:r>
          </w:p>
        </w:tc>
      </w:tr>
      <w:tr>
        <w:trPr>
          <w:trHeight w:val="213"/>
        </w:trPr>
        <w:tc>
          <w:tcPr>
            <w:tcW w:w="73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Preferred equity investment originations/accretion </w:t>
            </w:r>
            <w:r>
              <w:rPr>
                <w:rFonts w:ascii="Arial" w:cs="Arial" w:eastAsia="Arial" w:hAnsi="Arial"/>
                <w:sz w:val="20"/>
                <w:szCs w:val="20"/>
                <w:color w:val="auto"/>
                <w:vertAlign w:val="superscript"/>
              </w:rPr>
              <w:t>(2)</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13,220</w:t>
            </w:r>
          </w:p>
        </w:tc>
      </w:tr>
      <w:tr>
        <w:trPr>
          <w:trHeight w:val="211"/>
        </w:trPr>
        <w:tc>
          <w:tcPr>
            <w:tcW w:w="7320" w:type="dxa"/>
            <w:vAlign w:val="bottom"/>
          </w:tcPr>
          <w:p>
            <w:pPr>
              <w:ind w:left="20"/>
              <w:spacing w:after="0"/>
              <w:rPr>
                <w:sz w:val="20"/>
                <w:szCs w:val="20"/>
                <w:color w:val="auto"/>
              </w:rPr>
            </w:pPr>
            <w:r>
              <w:rPr>
                <w:rFonts w:ascii="Arial" w:cs="Arial" w:eastAsia="Arial" w:hAnsi="Arial"/>
                <w:sz w:val="16"/>
                <w:szCs w:val="16"/>
                <w:color w:val="auto"/>
              </w:rPr>
              <w:t>Redemptions/sales/syndications/equity ownership/amortization</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(565,940)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(201,446)</w:t>
            </w:r>
          </w:p>
        </w:tc>
      </w:tr>
      <w:tr>
        <w:trPr>
          <w:trHeight w:val="213"/>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loan loss reserves</w:t>
            </w: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6,583</w:t>
            </w:r>
          </w:p>
        </w:tc>
      </w:tr>
      <w:tr>
        <w:trPr>
          <w:trHeight w:val="209"/>
        </w:trPr>
        <w:tc>
          <w:tcPr>
            <w:tcW w:w="7320" w:type="dxa"/>
            <w:vAlign w:val="bottom"/>
          </w:tcPr>
          <w:p>
            <w:pPr>
              <w:ind w:left="20"/>
              <w:spacing w:after="0" w:line="208" w:lineRule="exact"/>
              <w:rPr>
                <w:sz w:val="20"/>
                <w:szCs w:val="20"/>
                <w:color w:val="auto"/>
              </w:rPr>
            </w:pPr>
            <w:r>
              <w:rPr>
                <w:rFonts w:ascii="Arial" w:cs="Arial" w:eastAsia="Arial" w:hAnsi="Arial"/>
                <w:sz w:val="16"/>
                <w:szCs w:val="16"/>
                <w:color w:val="auto"/>
              </w:rPr>
              <w:t xml:space="preserve">Balance at end of period </w:t>
            </w:r>
            <w:r>
              <w:rPr>
                <w:rFonts w:ascii="Arial" w:cs="Arial" w:eastAsia="Arial" w:hAnsi="Arial"/>
                <w:sz w:val="20"/>
                <w:szCs w:val="20"/>
                <w:color w:val="auto"/>
                <w:vertAlign w:val="superscript"/>
              </w:rPr>
              <w:t>(1)</w:t>
            </w: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623,280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1,088,723</w:t>
            </w: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Net of unamortized fees, discounts, and premiums.</w:t>
      </w:r>
    </w:p>
    <w:p>
      <w:pPr>
        <w:spacing w:after="0" w:line="10" w:lineRule="exact"/>
        <w:rPr>
          <w:rFonts w:ascii="Arial" w:cs="Arial" w:eastAsia="Arial" w:hAnsi="Arial"/>
          <w:sz w:val="14"/>
          <w:szCs w:val="14"/>
          <w:color w:val="auto"/>
        </w:rPr>
      </w:pPr>
    </w:p>
    <w:p>
      <w:pPr>
        <w:ind w:left="400" w:hanging="394"/>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Accretion includes amortization of fees and discounts and paid-in-kind investment income.</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Below is a summary of our debt and preferred equity investments as of December 31, 2022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Floating Rate</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Fixed Rate</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1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restart"/>
          </w:tcPr>
          <w:p>
            <w:pPr>
              <w:jc w:val="right"/>
              <w:ind w:right="280"/>
              <w:spacing w:after="0"/>
              <w:rPr>
                <w:sz w:val="20"/>
                <w:szCs w:val="20"/>
                <w:color w:val="auto"/>
              </w:rPr>
            </w:pPr>
            <w:r>
              <w:rPr>
                <w:rFonts w:ascii="Arial" w:cs="Arial" w:eastAsia="Arial" w:hAnsi="Arial"/>
                <w:sz w:val="16"/>
                <w:szCs w:val="16"/>
                <w:b w:val="1"/>
                <w:bCs w:val="1"/>
                <w:color w:val="auto"/>
              </w:rPr>
              <w:t>Senior</w:t>
            </w: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1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Type</w:t>
            </w: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86"/>
              </w:rPr>
              <w:t>Face Value</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Interest Rate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6"/>
              </w:rPr>
              <w:t>Face Value</w:t>
            </w:r>
          </w:p>
        </w:tc>
        <w:tc>
          <w:tcPr>
            <w:tcW w:w="102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6"/>
              </w:rPr>
              <w:t>Interest Rate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40"/>
              <w:spacing w:after="0" w:line="160"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Maturity</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Value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Value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Financing</w:t>
            </w: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Mezzanine Debt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144,056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144,402</w:t>
            </w:r>
          </w:p>
        </w:tc>
        <w:tc>
          <w:tcPr>
            <w:tcW w:w="1080" w:type="dxa"/>
            <w:vAlign w:val="bottom"/>
            <w:gridSpan w:val="2"/>
            <w:shd w:val="clear" w:color="auto" w:fill="CCEEFF"/>
          </w:tcPr>
          <w:p>
            <w:pPr>
              <w:jc w:val="center"/>
              <w:ind w:right="160"/>
              <w:spacing w:after="0" w:line="157" w:lineRule="exact"/>
              <w:rPr>
                <w:sz w:val="20"/>
                <w:szCs w:val="20"/>
                <w:color w:val="auto"/>
              </w:rPr>
            </w:pPr>
            <w:r>
              <w:rPr>
                <w:rFonts w:ascii="Arial" w:cs="Arial" w:eastAsia="Arial" w:hAnsi="Arial"/>
                <w:sz w:val="16"/>
                <w:szCs w:val="16"/>
                <w:color w:val="auto"/>
                <w:w w:val="93"/>
              </w:rPr>
              <w:t>L + 4.95 -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359,366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367,461</w:t>
            </w:r>
          </w:p>
        </w:tc>
        <w:tc>
          <w:tcPr>
            <w:tcW w:w="102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w w:val="94"/>
              </w:rPr>
              <w:t>7.00 - 14.30%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503,422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1,691,780</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2023 - 2029</w:t>
            </w:r>
          </w:p>
        </w:tc>
        <w:tc>
          <w:tcPr>
            <w:tcW w:w="0" w:type="dxa"/>
            <w:vAlign w:val="bottom"/>
          </w:tcPr>
          <w:p>
            <w:pPr>
              <w:spacing w:after="0"/>
              <w:rPr>
                <w:sz w:val="1"/>
                <w:szCs w:val="1"/>
                <w:color w:val="auto"/>
              </w:rPr>
            </w:pPr>
          </w:p>
        </w:tc>
      </w:tr>
      <w:tr>
        <w:trPr>
          <w:trHeight w:val="210"/>
        </w:trPr>
        <w:tc>
          <w:tcPr>
            <w:tcW w:w="19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tcPr>
          <w:p>
            <w:pPr>
              <w:ind w:left="20"/>
              <w:spacing w:after="0"/>
              <w:rPr>
                <w:sz w:val="20"/>
                <w:szCs w:val="20"/>
                <w:color w:val="auto"/>
              </w:rPr>
            </w:pPr>
            <w:r>
              <w:rPr>
                <w:rFonts w:ascii="Arial" w:cs="Arial" w:eastAsia="Arial" w:hAnsi="Arial"/>
                <w:sz w:val="16"/>
                <w:szCs w:val="16"/>
                <w:color w:val="auto"/>
              </w:rPr>
              <w:t>Preferred Equity</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119,858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119,858</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119,858</w:t>
            </w: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250,000</w:t>
            </w:r>
          </w:p>
        </w:tc>
        <w:tc>
          <w:tcPr>
            <w:tcW w:w="1040" w:type="dxa"/>
            <w:vAlign w:val="bottom"/>
          </w:tcPr>
          <w:p>
            <w:pPr>
              <w:jc w:val="right"/>
              <w:ind w:right="320"/>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234"/>
        </w:trPr>
        <w:tc>
          <w:tcPr>
            <w:tcW w:w="1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144,056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144,402</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479,224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487,319</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623,280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1,941,780</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(1) Excludes available extension options to the extent they have not been exercised as of the date of this filing.</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is a roll forward of our total allowance for loan losses for the years ended December 31, 2022, 2021 and 2020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7"/>
        </w:trPr>
        <w:tc>
          <w:tcPr>
            <w:tcW w:w="69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6,630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1"/>
        </w:trPr>
        <w:tc>
          <w:tcPr>
            <w:tcW w:w="6980" w:type="dxa"/>
            <w:vAlign w:val="bottom"/>
          </w:tcPr>
          <w:p>
            <w:pPr>
              <w:ind w:left="20"/>
              <w:spacing w:after="0"/>
              <w:rPr>
                <w:sz w:val="20"/>
                <w:szCs w:val="20"/>
                <w:color w:val="auto"/>
              </w:rPr>
            </w:pPr>
            <w:r>
              <w:rPr>
                <w:rFonts w:ascii="Arial" w:cs="Arial" w:eastAsia="Arial" w:hAnsi="Arial"/>
                <w:sz w:val="16"/>
                <w:szCs w:val="16"/>
                <w:color w:val="auto"/>
              </w:rPr>
              <w:t>Cumulative adjustment upon adoption of ASC 326</w:t>
            </w: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27,803</w:t>
            </w:r>
          </w:p>
        </w:tc>
      </w:tr>
      <w:tr>
        <w:trPr>
          <w:trHeight w:val="215"/>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 for loan loss</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20,693</w:t>
            </w:r>
          </w:p>
        </w:tc>
      </w:tr>
      <w:tr>
        <w:trPr>
          <w:trHeight w:val="211"/>
        </w:trPr>
        <w:tc>
          <w:tcPr>
            <w:tcW w:w="698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(37,033)</w:t>
            </w:r>
          </w:p>
        </w:tc>
      </w:tr>
      <w:tr>
        <w:trPr>
          <w:trHeight w:val="234"/>
        </w:trPr>
        <w:tc>
          <w:tcPr>
            <w:tcW w:w="6980" w:type="dxa"/>
            <w:vAlign w:val="bottom"/>
            <w:tcBorders>
              <w:top w:val="single" w:sz="8" w:color="CCEEFF"/>
              <w:bottom w:val="single" w:sz="8" w:color="CCEEFF"/>
            </w:tcBorders>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Balance at end of period </w:t>
            </w:r>
            <w:r>
              <w:rPr>
                <w:rFonts w:ascii="Arial" w:cs="Arial" w:eastAsia="Arial" w:hAnsi="Arial"/>
                <w:sz w:val="20"/>
                <w:szCs w:val="20"/>
                <w:color w:val="auto"/>
                <w:vertAlign w:val="superscript"/>
              </w:rPr>
              <w:t>(1)</w:t>
            </w:r>
          </w:p>
        </w:tc>
        <w:tc>
          <w:tcPr>
            <w:tcW w:w="86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6,630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0" w:hanging="394"/>
        <w:spacing w:after="0"/>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of December 31, 2022, all financing receivables on non-accrual had an allowance for loan loss except for one debt investment with a carrying value of $225.4 million.</w:t>
      </w:r>
    </w:p>
    <w:p>
      <w:pPr>
        <w:spacing w:after="0" w:line="125" w:lineRule="exact"/>
        <w:rPr>
          <w:sz w:val="20"/>
          <w:szCs w:val="20"/>
          <w:color w:val="auto"/>
        </w:rPr>
      </w:pPr>
    </w:p>
    <w:p>
      <w:pPr>
        <w:jc w:val="both"/>
        <w:ind w:right="20" w:firstLine="439"/>
        <w:spacing w:after="0" w:line="256" w:lineRule="auto"/>
        <w:rPr>
          <w:sz w:val="20"/>
          <w:szCs w:val="20"/>
          <w:color w:val="auto"/>
        </w:rPr>
      </w:pPr>
      <w:r>
        <w:rPr>
          <w:rFonts w:ascii="Arial" w:cs="Arial" w:eastAsia="Arial" w:hAnsi="Arial"/>
          <w:sz w:val="18"/>
          <w:szCs w:val="18"/>
          <w:color w:val="auto"/>
        </w:rPr>
        <w:t>As of December 31, 2022 and 2021, all debt and preferred equity investments were performing in accordance with their respective terms, with the exception of one investment with a carrying value, net of reserves, of $6.9 million, as discussed in the Debt Investments and Preferred Equity Investments tables further below.</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other financing receivables were 90 days past due as of December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firstLine="439"/>
        <w:spacing w:after="0" w:line="266" w:lineRule="auto"/>
        <w:rPr>
          <w:sz w:val="20"/>
          <w:szCs w:val="20"/>
          <w:color w:val="auto"/>
        </w:rPr>
      </w:pPr>
      <w:r>
        <w:rPr>
          <w:rFonts w:ascii="Arial" w:cs="Arial" w:eastAsia="Arial" w:hAnsi="Arial"/>
          <w:sz w:val="18"/>
          <w:szCs w:val="18"/>
          <w:color w:val="auto"/>
        </w:rPr>
        <w:t>The following table sets forth the carrying value of our debt and preferred equity investment portfolio by risk rating as of December 31, 2022 and 2021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Risk Rating</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w w:val="97"/>
              </w:rPr>
              <w:t>December 31, 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7"/>
              </w:rPr>
              <w:t>December 31, 2021</w:t>
            </w:r>
          </w:p>
        </w:tc>
      </w:tr>
      <w:tr>
        <w:trPr>
          <w:trHeight w:val="315"/>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w:t>
            </w:r>
          </w:p>
        </w:tc>
        <w:tc>
          <w:tcPr>
            <w:tcW w:w="6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Low Risk Assets - Low probability of loss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264,069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644,489</w:t>
            </w:r>
          </w:p>
        </w:tc>
      </w:tr>
      <w:tr>
        <w:trPr>
          <w:trHeight w:val="317"/>
        </w:trPr>
        <w:tc>
          <w:tcPr>
            <w:tcW w:w="120" w:type="dxa"/>
            <w:vAlign w:val="bottom"/>
          </w:tcPr>
          <w:p>
            <w:pPr>
              <w:ind w:left="20"/>
              <w:spacing w:after="0"/>
              <w:rPr>
                <w:sz w:val="20"/>
                <w:szCs w:val="20"/>
                <w:color w:val="auto"/>
              </w:rPr>
            </w:pPr>
            <w:r>
              <w:rPr>
                <w:rFonts w:ascii="Arial" w:cs="Arial" w:eastAsia="Arial" w:hAnsi="Arial"/>
                <w:sz w:val="16"/>
                <w:szCs w:val="16"/>
                <w:color w:val="auto"/>
                <w:w w:val="89"/>
              </w:rPr>
              <w:t>2</w:t>
            </w:r>
          </w:p>
        </w:tc>
        <w:tc>
          <w:tcPr>
            <w:tcW w:w="6960" w:type="dxa"/>
            <w:vAlign w:val="bottom"/>
            <w:gridSpan w:val="2"/>
          </w:tcPr>
          <w:p>
            <w:pPr>
              <w:ind w:left="20"/>
              <w:spacing w:after="0"/>
              <w:rPr>
                <w:sz w:val="20"/>
                <w:szCs w:val="20"/>
                <w:color w:val="auto"/>
              </w:rPr>
            </w:pPr>
            <w:r>
              <w:rPr>
                <w:rFonts w:ascii="Arial" w:cs="Arial" w:eastAsia="Arial" w:hAnsi="Arial"/>
                <w:sz w:val="16"/>
                <w:szCs w:val="16"/>
                <w:color w:val="auto"/>
              </w:rPr>
              <w:t>- Watch List Assets - Higher potential for loss</w:t>
            </w: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352,321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437,344</w:t>
            </w:r>
          </w:p>
        </w:tc>
      </w:tr>
      <w:tr>
        <w:trPr>
          <w:trHeight w:val="213"/>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3</w:t>
            </w:r>
          </w:p>
        </w:tc>
        <w:tc>
          <w:tcPr>
            <w:tcW w:w="6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High Risk Assets - Loss more likely than not</w:t>
            </w: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6,890</w:t>
            </w:r>
          </w:p>
        </w:tc>
      </w:tr>
      <w:tr>
        <w:trPr>
          <w:trHeight w:val="206"/>
        </w:trPr>
        <w:tc>
          <w:tcPr>
            <w:tcW w:w="1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623,280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1,088,723</w:t>
            </w:r>
          </w:p>
        </w:tc>
      </w:tr>
      <w:tr>
        <w:trPr>
          <w:trHeight w:val="22"/>
        </w:trPr>
        <w:tc>
          <w:tcPr>
            <w:tcW w:w="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carrying value of our debt and preferred equity investment portfolio by year of origination and risk rating as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1"/>
              </w:rPr>
              <w:t>As of December 31,</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4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Risk Rating</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60"/>
              <w:spacing w:after="0" w:line="225" w:lineRule="exact"/>
              <w:rPr>
                <w:sz w:val="20"/>
                <w:szCs w:val="20"/>
                <w:color w:val="auto"/>
              </w:rPr>
            </w:pPr>
            <w:r>
              <w:rPr>
                <w:rFonts w:ascii="Arial" w:cs="Arial" w:eastAsia="Arial" w:hAnsi="Arial"/>
                <w:sz w:val="16"/>
                <w:szCs w:val="16"/>
                <w:b w:val="1"/>
                <w:bCs w:val="1"/>
                <w:color w:val="auto"/>
              </w:rPr>
              <w:t>2022</w:t>
            </w:r>
            <w:r>
              <w:rPr>
                <w:rFonts w:ascii="Arial" w:cs="Arial" w:eastAsia="Arial" w:hAnsi="Arial"/>
                <w:sz w:val="20"/>
                <w:szCs w:val="20"/>
                <w:b w:val="1"/>
                <w:bCs w:val="1"/>
                <w:color w:val="auto"/>
                <w:vertAlign w:val="superscript"/>
              </w:rPr>
              <w:t>(1)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0"/>
              <w:spacing w:after="0" w:line="225" w:lineRule="exact"/>
              <w:rPr>
                <w:sz w:val="20"/>
                <w:szCs w:val="20"/>
                <w:color w:val="auto"/>
              </w:rPr>
            </w:pPr>
            <w:r>
              <w:rPr>
                <w:rFonts w:ascii="Arial" w:cs="Arial" w:eastAsia="Arial" w:hAnsi="Arial"/>
                <w:sz w:val="16"/>
                <w:szCs w:val="16"/>
                <w:b w:val="1"/>
                <w:bCs w:val="1"/>
                <w:color w:val="auto"/>
              </w:rPr>
              <w:t>2021</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0"/>
              <w:spacing w:after="0" w:line="225" w:lineRule="exact"/>
              <w:rPr>
                <w:sz w:val="20"/>
                <w:szCs w:val="20"/>
                <w:color w:val="auto"/>
              </w:rPr>
            </w:pPr>
            <w:r>
              <w:rPr>
                <w:rFonts w:ascii="Arial" w:cs="Arial" w:eastAsia="Arial" w:hAnsi="Arial"/>
                <w:sz w:val="16"/>
                <w:szCs w:val="16"/>
                <w:b w:val="1"/>
                <w:bCs w:val="1"/>
                <w:color w:val="auto"/>
              </w:rPr>
              <w:t>2020</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0"/>
              <w:spacing w:after="0" w:line="225" w:lineRule="exact"/>
              <w:rPr>
                <w:sz w:val="20"/>
                <w:szCs w:val="20"/>
                <w:color w:val="auto"/>
              </w:rPr>
            </w:pPr>
            <w:r>
              <w:rPr>
                <w:rFonts w:ascii="Arial" w:cs="Arial" w:eastAsia="Arial" w:hAnsi="Arial"/>
                <w:sz w:val="16"/>
                <w:szCs w:val="16"/>
                <w:b w:val="1"/>
                <w:bCs w:val="1"/>
                <w:color w:val="auto"/>
              </w:rPr>
              <w:t>Prior</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Total</w:t>
            </w:r>
          </w:p>
        </w:tc>
      </w:tr>
      <w:tr>
        <w:trPr>
          <w:trHeight w:val="313"/>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w:t>
            </w: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Low Risk Assets - Low probability of loss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264,069</w:t>
            </w:r>
          </w:p>
        </w:tc>
      </w:tr>
      <w:tr>
        <w:trPr>
          <w:trHeight w:val="317"/>
        </w:trPr>
        <w:tc>
          <w:tcPr>
            <w:tcW w:w="120" w:type="dxa"/>
            <w:vAlign w:val="bottom"/>
          </w:tcPr>
          <w:p>
            <w:pPr>
              <w:ind w:left="20"/>
              <w:spacing w:after="0"/>
              <w:rPr>
                <w:sz w:val="20"/>
                <w:szCs w:val="20"/>
                <w:color w:val="auto"/>
              </w:rPr>
            </w:pPr>
            <w:r>
              <w:rPr>
                <w:rFonts w:ascii="Arial" w:cs="Arial" w:eastAsia="Arial" w:hAnsi="Arial"/>
                <w:sz w:val="16"/>
                <w:szCs w:val="16"/>
                <w:color w:val="auto"/>
                <w:w w:val="89"/>
              </w:rPr>
              <w:t>2</w:t>
            </w: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 Watch List Assets - Higher potential for loss</w:t>
            </w:r>
          </w:p>
        </w:tc>
        <w:tc>
          <w:tcPr>
            <w:tcW w:w="28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77,109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275,212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352,321</w:t>
            </w:r>
          </w:p>
        </w:tc>
      </w:tr>
      <w:tr>
        <w:trPr>
          <w:trHeight w:val="213"/>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3</w:t>
            </w: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High Risk Assets - Loss more likely than not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6,890</w:t>
            </w:r>
          </w:p>
        </w:tc>
      </w:tr>
      <w:tr>
        <w:trPr>
          <w:trHeight w:val="206"/>
        </w:trPr>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77,109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174,985</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371,186</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623,280</w:t>
            </w:r>
          </w:p>
        </w:tc>
      </w:tr>
      <w:tr>
        <w:trPr>
          <w:trHeight w:val="22"/>
        </w:trPr>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(1) Year in which the investment was originated or acquired by us or in which a material modification occurred.</w:t>
      </w:r>
    </w:p>
    <w:p>
      <w:pPr>
        <w:spacing w:after="0" w:line="125"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We have determined that we have one portfolio segment of financing receivables as of December 31, 2022 and 2021 comprised of commercial real estate which is primarily recorded in debt and preferred equity investments.</w:t>
      </w:r>
    </w:p>
    <w:p>
      <w:pPr>
        <w:spacing w:after="0" w:line="74"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Included in Other assets is an additional amount of financing receivables representing loans to joint venture partners totaling $9.0 million and $10.5 million as of December 31, 2022 and 2021, respectively. The Company recorded no provisions for loan losses related to these financing receivables for the years ended December 31, 2022 and 2021, respectively. All of these loans have a risk rating of 2 and were performing in accordance with their respective terms. One loan with a carrying value of $5.8 million was put on non-accrual in July 2020 and remains on non-accrual as of December 31, 2022. No investment income has been recognized subsequent to it being put on non-accrual.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2022 and 2021, we held the following debt investments with an aggregate weighted average current yield of 6.46%, as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31, 2022</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31, 2022</w:t>
            </w:r>
          </w:p>
        </w:tc>
        <w:tc>
          <w:tcPr>
            <w:tcW w:w="140" w:type="dxa"/>
            <w:vAlign w:val="bottom"/>
          </w:tcPr>
          <w:p>
            <w:pPr>
              <w:spacing w:after="0"/>
              <w:rPr>
                <w:sz w:val="16"/>
                <w:szCs w:val="16"/>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December 31, 2022</w:t>
            </w:r>
          </w:p>
        </w:tc>
        <w:tc>
          <w:tcPr>
            <w:tcW w:w="140" w:type="dxa"/>
            <w:vAlign w:val="bottom"/>
          </w:tcPr>
          <w:p>
            <w:pPr>
              <w:spacing w:after="0"/>
              <w:rPr>
                <w:sz w:val="16"/>
                <w:szCs w:val="16"/>
                <w:color w:val="auto"/>
              </w:rPr>
            </w:pPr>
          </w:p>
        </w:tc>
        <w:tc>
          <w:tcPr>
            <w:tcW w:w="15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w w:val="90"/>
              </w:rPr>
              <w:t>December 31, 2021</w:t>
            </w:r>
          </w:p>
        </w:tc>
        <w:tc>
          <w:tcPr>
            <w:tcW w:w="120" w:type="dxa"/>
            <w:vAlign w:val="bottom"/>
          </w:tcPr>
          <w:p>
            <w:pPr>
              <w:spacing w:after="0"/>
              <w:rPr>
                <w:sz w:val="16"/>
                <w:szCs w:val="16"/>
                <w:color w:val="auto"/>
              </w:rPr>
            </w:pPr>
          </w:p>
        </w:tc>
        <w:tc>
          <w:tcPr>
            <w:tcW w:w="142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160"/>
        </w:trPr>
        <w:tc>
          <w:tcPr>
            <w:tcW w:w="2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Loan Type</w:t>
            </w:r>
          </w:p>
        </w:tc>
        <w:tc>
          <w:tcPr>
            <w:tcW w:w="140" w:type="dxa"/>
            <w:vAlign w:val="bottom"/>
          </w:tcPr>
          <w:p>
            <w:pPr>
              <w:spacing w:after="0"/>
              <w:rPr>
                <w:sz w:val="13"/>
                <w:szCs w:val="13"/>
                <w:color w:val="auto"/>
              </w:rPr>
            </w:pPr>
          </w:p>
        </w:tc>
        <w:tc>
          <w:tcPr>
            <w:tcW w:w="1600" w:type="dxa"/>
            <w:vAlign w:val="bottom"/>
            <w:gridSpan w:val="2"/>
          </w:tcPr>
          <w:p>
            <w:pPr>
              <w:jc w:val="center"/>
              <w:ind w:right="240"/>
              <w:spacing w:after="0" w:line="160" w:lineRule="exact"/>
              <w:rPr>
                <w:sz w:val="20"/>
                <w:szCs w:val="20"/>
                <w:color w:val="auto"/>
              </w:rPr>
            </w:pPr>
            <w:r>
              <w:rPr>
                <w:rFonts w:ascii="Arial" w:cs="Arial" w:eastAsia="Arial" w:hAnsi="Arial"/>
                <w:sz w:val="16"/>
                <w:szCs w:val="16"/>
                <w:b w:val="1"/>
                <w:bCs w:val="1"/>
                <w:color w:val="auto"/>
                <w:w w:val="92"/>
              </w:rPr>
              <w:t>Future Funding</w:t>
            </w:r>
          </w:p>
        </w:tc>
        <w:tc>
          <w:tcPr>
            <w:tcW w:w="140" w:type="dxa"/>
            <w:vAlign w:val="bottom"/>
          </w:tcPr>
          <w:p>
            <w:pPr>
              <w:spacing w:after="0"/>
              <w:rPr>
                <w:sz w:val="13"/>
                <w:szCs w:val="13"/>
                <w:color w:val="auto"/>
              </w:rPr>
            </w:pPr>
          </w:p>
        </w:tc>
        <w:tc>
          <w:tcPr>
            <w:tcW w:w="1600" w:type="dxa"/>
            <w:vAlign w:val="bottom"/>
            <w:gridSpan w:val="2"/>
          </w:tcPr>
          <w:p>
            <w:pPr>
              <w:jc w:val="center"/>
              <w:ind w:right="240"/>
              <w:spacing w:after="0" w:line="160" w:lineRule="exact"/>
              <w:rPr>
                <w:sz w:val="20"/>
                <w:szCs w:val="20"/>
                <w:color w:val="auto"/>
              </w:rPr>
            </w:pPr>
            <w:r>
              <w:rPr>
                <w:rFonts w:ascii="Arial" w:cs="Arial" w:eastAsia="Arial" w:hAnsi="Arial"/>
                <w:sz w:val="16"/>
                <w:szCs w:val="16"/>
                <w:b w:val="1"/>
                <w:bCs w:val="1"/>
                <w:color w:val="auto"/>
                <w:w w:val="88"/>
              </w:rPr>
              <w:t>Senior</w:t>
            </w:r>
          </w:p>
        </w:tc>
        <w:tc>
          <w:tcPr>
            <w:tcW w:w="14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Obligations</w:t>
            </w: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Financing</w:t>
            </w:r>
          </w:p>
        </w:tc>
        <w:tc>
          <w:tcPr>
            <w:tcW w:w="140" w:type="dxa"/>
            <w:vAlign w:val="bottom"/>
          </w:tcPr>
          <w:p>
            <w:pPr>
              <w:spacing w:after="0"/>
              <w:rPr>
                <w:sz w:val="18"/>
                <w:szCs w:val="18"/>
                <w:color w:val="auto"/>
              </w:rPr>
            </w:pPr>
          </w:p>
        </w:tc>
        <w:tc>
          <w:tcPr>
            <w:tcW w:w="1600" w:type="dxa"/>
            <w:vAlign w:val="bottom"/>
            <w:gridSpan w:val="2"/>
          </w:tcPr>
          <w:p>
            <w:pPr>
              <w:jc w:val="center"/>
              <w:ind w:right="240"/>
              <w:spacing w:after="0" w:line="213" w:lineRule="exact"/>
              <w:rPr>
                <w:sz w:val="20"/>
                <w:szCs w:val="20"/>
                <w:color w:val="auto"/>
              </w:rPr>
            </w:pPr>
            <w:r>
              <w:rPr>
                <w:rFonts w:ascii="Arial" w:cs="Arial" w:eastAsia="Arial" w:hAnsi="Arial"/>
                <w:sz w:val="16"/>
                <w:szCs w:val="16"/>
                <w:b w:val="1"/>
                <w:bCs w:val="1"/>
                <w:color w:val="auto"/>
                <w:w w:val="89"/>
              </w:rPr>
              <w:t xml:space="preserve">Carrying Value </w:t>
            </w:r>
            <w:r>
              <w:rPr>
                <w:rFonts w:ascii="Arial" w:cs="Arial" w:eastAsia="Arial" w:hAnsi="Arial"/>
                <w:sz w:val="20"/>
                <w:szCs w:val="20"/>
                <w:b w:val="1"/>
                <w:bCs w:val="1"/>
                <w:color w:val="auto"/>
                <w:w w:val="89"/>
                <w:vertAlign w:val="superscript"/>
              </w:rPr>
              <w:t>(1)</w:t>
            </w:r>
          </w:p>
        </w:tc>
        <w:tc>
          <w:tcPr>
            <w:tcW w:w="140" w:type="dxa"/>
            <w:vAlign w:val="bottom"/>
          </w:tcPr>
          <w:p>
            <w:pPr>
              <w:spacing w:after="0"/>
              <w:rPr>
                <w:sz w:val="18"/>
                <w:szCs w:val="18"/>
                <w:color w:val="auto"/>
              </w:rPr>
            </w:pPr>
          </w:p>
        </w:tc>
        <w:tc>
          <w:tcPr>
            <w:tcW w:w="1500" w:type="dxa"/>
            <w:vAlign w:val="bottom"/>
          </w:tcPr>
          <w:p>
            <w:pPr>
              <w:jc w:val="right"/>
              <w:ind w:right="120"/>
              <w:spacing w:after="0" w:line="213" w:lineRule="exact"/>
              <w:rPr>
                <w:sz w:val="20"/>
                <w:szCs w:val="20"/>
                <w:color w:val="auto"/>
              </w:rPr>
            </w:pPr>
            <w:r>
              <w:rPr>
                <w:rFonts w:ascii="Arial" w:cs="Arial" w:eastAsia="Arial" w:hAnsi="Arial"/>
                <w:sz w:val="16"/>
                <w:szCs w:val="16"/>
                <w:b w:val="1"/>
                <w:bCs w:val="1"/>
                <w:color w:val="auto"/>
                <w:w w:val="95"/>
              </w:rPr>
              <w:t xml:space="preserve">Carrying Value </w:t>
            </w:r>
            <w:r>
              <w:rPr>
                <w:rFonts w:ascii="Arial" w:cs="Arial" w:eastAsia="Arial" w:hAnsi="Arial"/>
                <w:sz w:val="20"/>
                <w:szCs w:val="20"/>
                <w:b w:val="1"/>
                <w:bCs w:val="1"/>
                <w:color w:val="auto"/>
                <w:w w:val="95"/>
                <w:vertAlign w:val="superscript"/>
              </w:rPr>
              <w:t>(1)</w:t>
            </w:r>
          </w:p>
        </w:tc>
        <w:tc>
          <w:tcPr>
            <w:tcW w:w="120" w:type="dxa"/>
            <w:vAlign w:val="bottom"/>
          </w:tcPr>
          <w:p>
            <w:pPr>
              <w:spacing w:after="0"/>
              <w:rPr>
                <w:sz w:val="18"/>
                <w:szCs w:val="18"/>
                <w:color w:val="auto"/>
              </w:rPr>
            </w:pPr>
          </w:p>
        </w:tc>
        <w:tc>
          <w:tcPr>
            <w:tcW w:w="1420" w:type="dxa"/>
            <w:vAlign w:val="bottom"/>
          </w:tcPr>
          <w:p>
            <w:pPr>
              <w:jc w:val="right"/>
              <w:ind w:right="400"/>
              <w:spacing w:after="0" w:line="213" w:lineRule="exact"/>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06"/>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Fixed Rate Investments: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2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Mezzanine Loan </w:t>
            </w:r>
            <w:r>
              <w:rPr>
                <w:rFonts w:ascii="Arial" w:cs="Arial" w:eastAsia="Arial" w:hAnsi="Arial"/>
                <w:sz w:val="20"/>
                <w:szCs w:val="20"/>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401,269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225,367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225,367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June 2023</w:t>
            </w:r>
          </w:p>
        </w:tc>
        <w:tc>
          <w:tcPr>
            <w:tcW w:w="0" w:type="dxa"/>
            <w:vAlign w:val="bottom"/>
          </w:tcPr>
          <w:p>
            <w:pPr>
              <w:spacing w:after="0"/>
              <w:rPr>
                <w:sz w:val="1"/>
                <w:szCs w:val="1"/>
                <w:color w:val="auto"/>
              </w:rPr>
            </w:pPr>
          </w:p>
        </w:tc>
      </w:tr>
      <w:tr>
        <w:trPr>
          <w:trHeight w:val="213"/>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283,293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66,873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2023</w:t>
            </w:r>
          </w:p>
        </w:tc>
        <w:tc>
          <w:tcPr>
            <w:tcW w:w="0" w:type="dxa"/>
            <w:vAlign w:val="bottom"/>
          </w:tcPr>
          <w:p>
            <w:pPr>
              <w:spacing w:after="0"/>
              <w:rPr>
                <w:sz w:val="1"/>
                <w:szCs w:val="1"/>
                <w:color w:val="auto"/>
              </w:rPr>
            </w:pPr>
          </w:p>
        </w:tc>
      </w:tr>
      <w:tr>
        <w:trPr>
          <w:trHeight w:val="213"/>
        </w:trPr>
        <w:tc>
          <w:tcPr>
            <w:tcW w:w="282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Mezzanine Loan </w:t>
            </w:r>
            <w:r>
              <w:rPr>
                <w:rFonts w:ascii="Arial" w:cs="Arial" w:eastAsia="Arial" w:hAnsi="Arial"/>
                <w:sz w:val="20"/>
                <w:szCs w:val="20"/>
                <w:color w:val="auto"/>
                <w:vertAlign w:val="superscript"/>
              </w:rPr>
              <w:t>(4)(5)</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105,000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13,366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13,366</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June 2024</w:t>
            </w:r>
          </w:p>
        </w:tc>
        <w:tc>
          <w:tcPr>
            <w:tcW w:w="0" w:type="dxa"/>
            <w:vAlign w:val="bottom"/>
          </w:tcPr>
          <w:p>
            <w:pPr>
              <w:spacing w:after="0"/>
              <w:rPr>
                <w:sz w:val="1"/>
                <w:szCs w:val="1"/>
                <w:color w:val="auto"/>
              </w:rPr>
            </w:pPr>
          </w:p>
        </w:tc>
      </w:tr>
      <w:tr>
        <w:trPr>
          <w:trHeight w:val="213"/>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2025</w:t>
            </w:r>
          </w:p>
        </w:tc>
        <w:tc>
          <w:tcPr>
            <w:tcW w:w="0" w:type="dxa"/>
            <w:vAlign w:val="bottom"/>
          </w:tcPr>
          <w:p>
            <w:pPr>
              <w:spacing w:after="0"/>
              <w:rPr>
                <w:sz w:val="1"/>
                <w:szCs w:val="1"/>
                <w:color w:val="auto"/>
              </w:rPr>
            </w:pPr>
          </w:p>
        </w:tc>
      </w:tr>
      <w:tr>
        <w:trPr>
          <w:trHeight w:val="211"/>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Mezzanine Loan</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85,000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December 2029</w:t>
            </w:r>
          </w:p>
        </w:tc>
        <w:tc>
          <w:tcPr>
            <w:tcW w:w="0" w:type="dxa"/>
            <w:vAlign w:val="bottom"/>
          </w:tcPr>
          <w:p>
            <w:pPr>
              <w:spacing w:after="0"/>
              <w:rPr>
                <w:sz w:val="1"/>
                <w:szCs w:val="1"/>
                <w:color w:val="auto"/>
              </w:rPr>
            </w:pPr>
          </w:p>
        </w:tc>
      </w:tr>
      <w:tr>
        <w:trPr>
          <w:trHeight w:val="215"/>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Mortgage Loan</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73,000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Mezzanine Loan </w:t>
            </w:r>
            <w:r>
              <w:rPr>
                <w:rFonts w:ascii="Arial" w:cs="Arial" w:eastAsia="Arial" w:hAnsi="Arial"/>
                <w:sz w:val="20"/>
                <w:szCs w:val="20"/>
                <w:color w:val="auto"/>
                <w:vertAlign w:val="superscript"/>
              </w:rPr>
              <w:t>(6)</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fixed rate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969,562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365,842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527,377</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Floating Rate Investments:</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Mezzanine Loan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275,000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49,998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April 2023</w:t>
            </w:r>
          </w:p>
        </w:tc>
        <w:tc>
          <w:tcPr>
            <w:tcW w:w="0" w:type="dxa"/>
            <w:vAlign w:val="bottom"/>
          </w:tcPr>
          <w:p>
            <w:pPr>
              <w:spacing w:after="0"/>
              <w:rPr>
                <w:sz w:val="1"/>
                <w:szCs w:val="1"/>
                <w:color w:val="auto"/>
              </w:rPr>
            </w:pPr>
          </w:p>
        </w:tc>
      </w:tr>
      <w:tr>
        <w:trPr>
          <w:trHeight w:val="215"/>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2023</w:t>
            </w:r>
          </w:p>
        </w:tc>
        <w:tc>
          <w:tcPr>
            <w:tcW w:w="0" w:type="dxa"/>
            <w:vAlign w:val="bottom"/>
          </w:tcPr>
          <w:p>
            <w:pPr>
              <w:spacing w:after="0"/>
              <w:rPr>
                <w:sz w:val="1"/>
                <w:szCs w:val="1"/>
                <w:color w:val="auto"/>
              </w:rPr>
            </w:pPr>
          </w:p>
        </w:tc>
      </w:tr>
      <w:tr>
        <w:trPr>
          <w:trHeight w:val="211"/>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Mezzanine Loan</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17,924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207,134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46,884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30,802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May 2023</w:t>
            </w:r>
          </w:p>
        </w:tc>
        <w:tc>
          <w:tcPr>
            <w:tcW w:w="0" w:type="dxa"/>
            <w:vAlign w:val="bottom"/>
          </w:tcPr>
          <w:p>
            <w:pPr>
              <w:spacing w:after="0"/>
              <w:rPr>
                <w:sz w:val="1"/>
                <w:szCs w:val="1"/>
                <w:color w:val="auto"/>
              </w:rPr>
            </w:pPr>
          </w:p>
        </w:tc>
      </w:tr>
      <w:tr>
        <w:trPr>
          <w:trHeight w:val="215"/>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186,084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2023</w:t>
            </w:r>
          </w:p>
        </w:tc>
        <w:tc>
          <w:tcPr>
            <w:tcW w:w="0" w:type="dxa"/>
            <w:vAlign w:val="bottom"/>
          </w:tcPr>
          <w:p>
            <w:pPr>
              <w:spacing w:after="0"/>
              <w:rPr>
                <w:sz w:val="1"/>
                <w:szCs w:val="1"/>
                <w:color w:val="auto"/>
              </w:rPr>
            </w:pPr>
          </w:p>
        </w:tc>
      </w:tr>
      <w:tr>
        <w:trPr>
          <w:trHeight w:val="213"/>
        </w:trPr>
        <w:tc>
          <w:tcPr>
            <w:tcW w:w="282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Mezzanine Loan </w:t>
            </w:r>
            <w:r>
              <w:rPr>
                <w:rFonts w:ascii="Arial" w:cs="Arial" w:eastAsia="Arial" w:hAnsi="Arial"/>
                <w:sz w:val="20"/>
                <w:szCs w:val="20"/>
                <w:color w:val="auto"/>
                <w:vertAlign w:val="superscript"/>
              </w:rPr>
              <w:t>(7)</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133,735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Mortgage and Mezzanine Loan</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floating rate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21,685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722,218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144,210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294,970</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for loan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(6,630)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(6,630)</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1,691,780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503,422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815,717</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Carrying value is net of discounts, premiums, original issue discounts and deferred origination fees.</w:t>
      </w:r>
    </w:p>
    <w:p>
      <w:pPr>
        <w:spacing w:after="0" w:line="10" w:lineRule="exact"/>
        <w:rPr>
          <w:rFonts w:ascii="Arial" w:cs="Arial" w:eastAsia="Arial" w:hAnsi="Arial"/>
          <w:sz w:val="14"/>
          <w:szCs w:val="14"/>
          <w:color w:val="auto"/>
        </w:rPr>
      </w:pPr>
    </w:p>
    <w:p>
      <w:pPr>
        <w:ind w:left="400" w:hanging="394"/>
        <w:spacing w:after="0"/>
        <w:tabs>
          <w:tab w:leader="none" w:pos="4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contractual maturity, excluding any extension options to the extent they have not been exercised as of the date of this filing.</w:t>
      </w:r>
    </w:p>
    <w:p>
      <w:pPr>
        <w:spacing w:after="0" w:line="7" w:lineRule="exact"/>
        <w:rPr>
          <w:rFonts w:ascii="Arial" w:cs="Arial" w:eastAsia="Arial" w:hAnsi="Arial"/>
          <w:sz w:val="14"/>
          <w:szCs w:val="14"/>
          <w:color w:val="auto"/>
        </w:rPr>
      </w:pPr>
    </w:p>
    <w:p>
      <w:pPr>
        <w:ind w:left="400" w:hanging="394"/>
        <w:spacing w:after="0" w:line="257" w:lineRule="auto"/>
        <w:tabs>
          <w:tab w:leader="none" w:pos="39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This loan was put on non-accrual in July 2020 and remains on non-accrual as of December 31, 2022. No investment income has been recognized subsequent to it being put on non-accrual. The Company is in discussions with the borrower.</w:t>
      </w:r>
    </w:p>
    <w:p>
      <w:pPr>
        <w:spacing w:after="0" w:line="1" w:lineRule="exact"/>
        <w:rPr>
          <w:rFonts w:ascii="Arial" w:cs="Arial" w:eastAsia="Arial" w:hAnsi="Arial"/>
          <w:sz w:val="14"/>
          <w:szCs w:val="14"/>
          <w:color w:val="auto"/>
        </w:rPr>
      </w:pPr>
    </w:p>
    <w:p>
      <w:pPr>
        <w:ind w:left="400" w:right="20" w:hanging="394"/>
        <w:spacing w:after="0" w:line="251" w:lineRule="auto"/>
        <w:tabs>
          <w:tab w:leader="none" w:pos="392" w:val="left"/>
        </w:tabs>
        <w:numPr>
          <w:ilvl w:val="0"/>
          <w:numId w:val="53"/>
        </w:numPr>
        <w:rPr>
          <w:rFonts w:ascii="Arial" w:cs="Arial" w:eastAsia="Arial" w:hAnsi="Arial"/>
          <w:sz w:val="14"/>
          <w:szCs w:val="14"/>
          <w:color w:val="auto"/>
        </w:rPr>
      </w:pPr>
      <w:r>
        <w:rPr>
          <w:rFonts w:ascii="Arial" w:cs="Arial" w:eastAsia="Arial" w:hAnsi="Arial"/>
          <w:sz w:val="14"/>
          <w:szCs w:val="14"/>
          <w:color w:val="auto"/>
        </w:rPr>
        <w:t>Carrying value is net of a $12.0 million participation that was sold and did not meet the conditions for sale accounting, which is included in Other assets and Other liabilities on the consolidated balance sheets as a result.</w:t>
      </w:r>
    </w:p>
    <w:p>
      <w:pPr>
        <w:ind w:left="400" w:hanging="394"/>
        <w:spacing w:after="0" w:line="274" w:lineRule="auto"/>
        <w:tabs>
          <w:tab w:leader="none" w:pos="392"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This loan went into default and was put on non-accrual in June 2020 and remains on non-accrual as of December 31, 2022. No investment income has been recognized subsequent to it being put on non-accrual. The Company is in discussions with the borrower. Additionally, we determined the borrower entity to be a VIE in which we are not the primary beneficiary.</w:t>
      </w:r>
    </w:p>
    <w:p>
      <w:pPr>
        <w:ind w:left="400" w:hanging="394"/>
        <w:spacing w:after="0"/>
        <w:tabs>
          <w:tab w:leader="none" w:pos="4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September 2022, the Company successfully acquired full ownership and control of the property at 245 Park Avenue. See below table and Note 3, "Property Acquisitions."</w:t>
      </w:r>
    </w:p>
    <w:p>
      <w:pPr>
        <w:spacing w:after="0" w:line="12" w:lineRule="exact"/>
        <w:rPr>
          <w:rFonts w:ascii="Arial" w:cs="Arial" w:eastAsia="Arial" w:hAnsi="Arial"/>
          <w:sz w:val="14"/>
          <w:szCs w:val="14"/>
          <w:color w:val="auto"/>
        </w:rPr>
      </w:pPr>
    </w:p>
    <w:p>
      <w:pPr>
        <w:ind w:left="400" w:hanging="394"/>
        <w:spacing w:after="0" w:line="275" w:lineRule="auto"/>
        <w:tabs>
          <w:tab w:leader="none" w:pos="392"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September 2022, the Company converted its mezzanine loan position secured by the equity interest in 5 Times Square to an equity interest in a joint venture partnership with the existing equity holders. See Note 6, " Investments in Unconsolidated Joint Ventures."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Equity Investments</w:t>
      </w:r>
    </w:p>
    <w:p>
      <w:pPr>
        <w:spacing w:after="0" w:line="118"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As of December 31, 2022 and 2021, we held the following preferred equity investments with an aggregate weighted average current yield of 6.55% as of December 31, 2022 (dollars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December 31, 2022</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2022</w:t>
            </w:r>
          </w:p>
        </w:tc>
        <w:tc>
          <w:tcPr>
            <w:tcW w:w="160" w:type="dxa"/>
            <w:vAlign w:val="bottom"/>
          </w:tcPr>
          <w:p>
            <w:pPr>
              <w:spacing w:after="0"/>
              <w:rPr>
                <w:sz w:val="16"/>
                <w:szCs w:val="16"/>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6"/>
                <w:szCs w:val="16"/>
                <w:color w:val="auto"/>
              </w:rPr>
            </w:pPr>
          </w:p>
        </w:tc>
        <w:tc>
          <w:tcPr>
            <w:tcW w:w="16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w w:val="94"/>
              </w:rPr>
              <w:t>December 31, 2021</w:t>
            </w:r>
          </w:p>
        </w:tc>
        <w:tc>
          <w:tcPr>
            <w:tcW w:w="1820" w:type="dxa"/>
            <w:vAlign w:val="bottom"/>
            <w:vMerge w:val="restart"/>
          </w:tcPr>
          <w:p>
            <w:pPr>
              <w:jc w:val="center"/>
              <w:ind w:left="20"/>
              <w:spacing w:after="0"/>
              <w:rPr>
                <w:sz w:val="20"/>
                <w:szCs w:val="20"/>
                <w:color w:val="auto"/>
              </w:rPr>
            </w:pPr>
            <w:r>
              <w:rPr>
                <w:rFonts w:ascii="Arial" w:cs="Arial" w:eastAsia="Arial" w:hAnsi="Arial"/>
                <w:sz w:val="16"/>
                <w:szCs w:val="16"/>
                <w:b w:val="1"/>
                <w:bCs w:val="1"/>
                <w:color w:val="auto"/>
                <w:w w:val="93"/>
              </w:rPr>
              <w:t>Mandatory</w:t>
            </w:r>
          </w:p>
        </w:tc>
        <w:tc>
          <w:tcPr>
            <w:tcW w:w="0" w:type="dxa"/>
            <w:vAlign w:val="bottom"/>
          </w:tcPr>
          <w:p>
            <w:pPr>
              <w:spacing w:after="0"/>
              <w:rPr>
                <w:sz w:val="1"/>
                <w:szCs w:val="1"/>
                <w:color w:val="auto"/>
              </w:rPr>
            </w:pPr>
          </w:p>
        </w:tc>
      </w:tr>
      <w:tr>
        <w:trPr>
          <w:trHeight w:val="160"/>
        </w:trPr>
        <w:tc>
          <w:tcPr>
            <w:tcW w:w="2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Type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92"/>
              </w:rPr>
              <w:t>Future Funding</w:t>
            </w:r>
          </w:p>
        </w:tc>
        <w:tc>
          <w:tcPr>
            <w:tcW w:w="240" w:type="dxa"/>
            <w:vAlign w:val="bottom"/>
          </w:tcPr>
          <w:p>
            <w:pPr>
              <w:spacing w:after="0"/>
              <w:rPr>
                <w:sz w:val="13"/>
                <w:szCs w:val="13"/>
                <w:color w:val="auto"/>
              </w:rPr>
            </w:pPr>
          </w:p>
        </w:tc>
        <w:tc>
          <w:tcPr>
            <w:tcW w:w="1320" w:type="dxa"/>
            <w:vAlign w:val="bottom"/>
            <w:gridSpan w:val="2"/>
          </w:tcPr>
          <w:p>
            <w:pPr>
              <w:jc w:val="center"/>
              <w:ind w:right="360"/>
              <w:spacing w:after="0" w:line="160" w:lineRule="exact"/>
              <w:rPr>
                <w:sz w:val="20"/>
                <w:szCs w:val="20"/>
                <w:color w:val="auto"/>
              </w:rPr>
            </w:pPr>
            <w:r>
              <w:rPr>
                <w:rFonts w:ascii="Arial" w:cs="Arial" w:eastAsia="Arial" w:hAnsi="Arial"/>
                <w:sz w:val="16"/>
                <w:szCs w:val="16"/>
                <w:b w:val="1"/>
                <w:bCs w:val="1"/>
                <w:color w:val="auto"/>
                <w:w w:val="88"/>
              </w:rPr>
              <w:t>Senior</w:t>
            </w:r>
          </w:p>
        </w:tc>
        <w:tc>
          <w:tcPr>
            <w:tcW w:w="16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0"/>
              </w:rPr>
              <w:t>Obligations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b w:val="1"/>
                <w:bCs w:val="1"/>
                <w:color w:val="auto"/>
                <w:w w:val="89"/>
              </w:rPr>
              <w:t>Financing</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80"/>
              <w:spacing w:after="0" w:line="213" w:lineRule="exact"/>
              <w:rPr>
                <w:sz w:val="20"/>
                <w:szCs w:val="20"/>
                <w:color w:val="auto"/>
              </w:rPr>
            </w:pPr>
            <w:r>
              <w:rPr>
                <w:rFonts w:ascii="Arial" w:cs="Arial" w:eastAsia="Arial" w:hAnsi="Arial"/>
                <w:sz w:val="16"/>
                <w:szCs w:val="16"/>
                <w:b w:val="1"/>
                <w:bCs w:val="1"/>
                <w:color w:val="auto"/>
                <w:w w:val="97"/>
              </w:rPr>
              <w:t xml:space="preserve">Carrying Value </w:t>
            </w:r>
            <w:r>
              <w:rPr>
                <w:rFonts w:ascii="Arial" w:cs="Arial" w:eastAsia="Arial" w:hAnsi="Arial"/>
                <w:sz w:val="20"/>
                <w:szCs w:val="20"/>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20"/>
              <w:spacing w:after="0" w:line="213" w:lineRule="exact"/>
              <w:rPr>
                <w:sz w:val="20"/>
                <w:szCs w:val="20"/>
                <w:color w:val="auto"/>
              </w:rPr>
            </w:pPr>
            <w:r>
              <w:rPr>
                <w:rFonts w:ascii="Arial" w:cs="Arial" w:eastAsia="Arial" w:hAnsi="Arial"/>
                <w:sz w:val="16"/>
                <w:szCs w:val="16"/>
                <w:b w:val="1"/>
                <w:bCs w:val="1"/>
                <w:color w:val="auto"/>
                <w:w w:val="98"/>
              </w:rPr>
              <w:t xml:space="preserve">Carrying Value </w:t>
            </w:r>
            <w:r>
              <w:rPr>
                <w:rFonts w:ascii="Arial" w:cs="Arial" w:eastAsia="Arial" w:hAnsi="Arial"/>
                <w:sz w:val="20"/>
                <w:szCs w:val="20"/>
                <w:b w:val="1"/>
                <w:bCs w:val="1"/>
                <w:color w:val="auto"/>
                <w:w w:val="98"/>
                <w:vertAlign w:val="superscript"/>
              </w:rPr>
              <w:t>(1)</w:t>
            </w:r>
          </w:p>
        </w:tc>
        <w:tc>
          <w:tcPr>
            <w:tcW w:w="1820" w:type="dxa"/>
            <w:vAlign w:val="bottom"/>
            <w:tcBorders>
              <w:bottom w:val="single" w:sz="8" w:color="CCEEFF"/>
            </w:tcBorders>
          </w:tcPr>
          <w:p>
            <w:pPr>
              <w:jc w:val="center"/>
              <w:ind w:left="20"/>
              <w:spacing w:after="0" w:line="213" w:lineRule="exact"/>
              <w:rPr>
                <w:sz w:val="20"/>
                <w:szCs w:val="20"/>
                <w:color w:val="auto"/>
              </w:rPr>
            </w:pPr>
            <w:r>
              <w:rPr>
                <w:rFonts w:ascii="Arial" w:cs="Arial" w:eastAsia="Arial" w:hAnsi="Arial"/>
                <w:sz w:val="16"/>
                <w:szCs w:val="16"/>
                <w:b w:val="1"/>
                <w:bCs w:val="1"/>
                <w:color w:val="auto"/>
                <w:w w:val="88"/>
              </w:rPr>
              <w:t xml:space="preserve">Redemption </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20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Preferred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119,858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112,234</w:t>
            </w:r>
          </w:p>
        </w:tc>
        <w:tc>
          <w:tcPr>
            <w:tcW w:w="18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0"/>
              </w:rPr>
              <w:t>February 2027</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Preferred Equity </w:t>
            </w:r>
            <w:r>
              <w:rPr>
                <w:rFonts w:ascii="Arial" w:cs="Arial" w:eastAsia="Arial" w:hAnsi="Arial"/>
                <w:sz w:val="20"/>
                <w:szCs w:val="20"/>
                <w:color w:val="auto"/>
                <w:vertAlign w:val="superscript"/>
              </w:rPr>
              <w:t>(3)</w:t>
            </w: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160,772</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Preferred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119,858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273,006</w:t>
            </w:r>
          </w:p>
        </w:tc>
        <w:tc>
          <w:tcPr>
            <w:tcW w:w="1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Allowance for loan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250,000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119,858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273,006</w:t>
            </w: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Carrying value is net of deferred origination fees.</w:t>
      </w:r>
    </w:p>
    <w:p>
      <w:pPr>
        <w:spacing w:after="0" w:line="10" w:lineRule="exact"/>
        <w:rPr>
          <w:rFonts w:ascii="Arial" w:cs="Arial" w:eastAsia="Arial" w:hAnsi="Arial"/>
          <w:sz w:val="14"/>
          <w:szCs w:val="14"/>
          <w:color w:val="auto"/>
        </w:rPr>
      </w:pPr>
    </w:p>
    <w:p>
      <w:pPr>
        <w:ind w:left="400" w:hanging="394"/>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contractual redemption, excluding any unexercised extension options.</w:t>
      </w:r>
    </w:p>
    <w:p>
      <w:pPr>
        <w:spacing w:after="0" w:line="7" w:lineRule="exact"/>
        <w:rPr>
          <w:rFonts w:ascii="Arial" w:cs="Arial" w:eastAsia="Arial" w:hAnsi="Arial"/>
          <w:sz w:val="14"/>
          <w:szCs w:val="14"/>
          <w:color w:val="auto"/>
        </w:rPr>
      </w:pPr>
    </w:p>
    <w:p>
      <w:pPr>
        <w:jc w:val="both"/>
        <w:ind w:left="400" w:hanging="394"/>
        <w:spacing w:after="0" w:line="290" w:lineRule="auto"/>
        <w:tabs>
          <w:tab w:leader="none" w:pos="392" w:val="left"/>
        </w:tabs>
        <w:numPr>
          <w:ilvl w:val="0"/>
          <w:numId w:val="54"/>
        </w:numPr>
        <w:rPr>
          <w:rFonts w:ascii="Arial" w:cs="Arial" w:eastAsia="Arial" w:hAnsi="Arial"/>
          <w:sz w:val="13"/>
          <w:szCs w:val="13"/>
          <w:color w:val="auto"/>
        </w:rPr>
      </w:pPr>
      <w:r>
        <w:rPr>
          <w:rFonts w:ascii="Arial" w:cs="Arial" w:eastAsia="Arial" w:hAnsi="Arial"/>
          <w:sz w:val="13"/>
          <w:szCs w:val="13"/>
          <w:color w:val="auto"/>
        </w:rPr>
        <w:t>On October 31, 2021, HNA, through an affiliated entity, filed for Chapter 11 bankruptcy protection on account of its investment in 245 Park Avenue, together with another asset in Chicago. On July 8, 2022, certain of the debtors and affiliates of SL Green entered into the Plan, pursuant to which SL Green became the stalking horse bidder for the property. Since the debtors did not receive any qualifying bids for the property and the Plan was confirmed, SL Green acquired full ownership and control of the property in September 2022, at which time our outstanding preferred equity and accrued interest balance were credited to our equity investment in the property. See Note 3, "Property Acquisitions."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Joint Ventures</w:t>
      </w:r>
    </w:p>
    <w:p>
      <w:pPr>
        <w:spacing w:after="0" w:line="118" w:lineRule="exact"/>
        <w:rPr>
          <w:sz w:val="20"/>
          <w:szCs w:val="20"/>
          <w:color w:val="auto"/>
        </w:rPr>
      </w:pPr>
    </w:p>
    <w:p>
      <w:pPr>
        <w:jc w:val="both"/>
        <w:ind w:firstLine="439"/>
        <w:spacing w:after="0" w:line="330" w:lineRule="auto"/>
        <w:rPr>
          <w:sz w:val="20"/>
          <w:szCs w:val="20"/>
          <w:color w:val="auto"/>
        </w:rPr>
      </w:pPr>
      <w:r>
        <w:rPr>
          <w:rFonts w:ascii="Arial" w:cs="Arial" w:eastAsia="Arial" w:hAnsi="Arial"/>
          <w:sz w:val="16"/>
          <w:szCs w:val="16"/>
          <w:color w:val="auto"/>
        </w:rPr>
        <w:t>We have investments in several real estate joint ventures with various partners. As of December 31, 2022, the book value of these investments was $3.2 billion, net of investments with negative book values totaling $110.2 million for which we have an implicit commitment to fund future capital needs.</w:t>
      </w:r>
    </w:p>
    <w:p>
      <w:pPr>
        <w:spacing w:after="0" w:line="27"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As of December 31, 2022, 800 Third Avenue and 21 East 66th Street are VIEs in which we are not the primary beneficiary. As of December 31, 2021, 800 Third Avenue, 21 East 66th Street, and certain properties within the Stonehenge Portfolio are VIEs in which we were not the primary beneficiary. Our net equity investment in these VIEs was $86.2 million as of December 31, 2022 and $85.6 million as of December 31, 2021. Our maximum loss is limited to the amount of our equity investment in these VIEs. See the "Principles of Consolidation" section of Note 2, "Significant Accounting Policies". All other investments below are voting interest entities. As we do not control the joint ventures listed below, we account for them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general information on each of our joint ventures as of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220" w:type="dxa"/>
            <w:vAlign w:val="bottom"/>
            <w:vMerge w:val="restart"/>
          </w:tcPr>
          <w:p>
            <w:pPr>
              <w:jc w:val="center"/>
              <w:ind w:left="100"/>
              <w:spacing w:after="0"/>
              <w:rPr>
                <w:sz w:val="20"/>
                <w:szCs w:val="20"/>
                <w:color w:val="auto"/>
              </w:rPr>
            </w:pPr>
            <w:r>
              <w:rPr>
                <w:rFonts w:ascii="Arial" w:cs="Arial" w:eastAsia="Arial" w:hAnsi="Arial"/>
                <w:sz w:val="16"/>
                <w:szCs w:val="16"/>
                <w:b w:val="1"/>
                <w:bCs w:val="1"/>
                <w:color w:val="auto"/>
                <w:w w:val="91"/>
              </w:rPr>
              <w:t>Ownership</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Economic</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Unaudited</w:t>
            </w:r>
          </w:p>
        </w:tc>
        <w:tc>
          <w:tcPr>
            <w:tcW w:w="0" w:type="dxa"/>
            <w:vAlign w:val="bottom"/>
          </w:tcPr>
          <w:p>
            <w:pPr>
              <w:spacing w:after="0"/>
              <w:rPr>
                <w:sz w:val="1"/>
                <w:szCs w:val="1"/>
                <w:color w:val="auto"/>
              </w:rPr>
            </w:pPr>
          </w:p>
        </w:tc>
      </w:tr>
      <w:tr>
        <w:trPr>
          <w:trHeight w:val="160"/>
        </w:trPr>
        <w:tc>
          <w:tcPr>
            <w:tcW w:w="1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5520" w:type="dxa"/>
            <w:vAlign w:val="bottom"/>
            <w:vMerge w:val="restart"/>
          </w:tcPr>
          <w:p>
            <w:pPr>
              <w:ind w:left="2680"/>
              <w:spacing w:after="0"/>
              <w:rPr>
                <w:sz w:val="20"/>
                <w:szCs w:val="20"/>
                <w:color w:val="auto"/>
              </w:rPr>
            </w:pPr>
            <w:r>
              <w:rPr>
                <w:rFonts w:ascii="Arial" w:cs="Arial" w:eastAsia="Arial" w:hAnsi="Arial"/>
                <w:sz w:val="16"/>
                <w:szCs w:val="16"/>
                <w:b w:val="1"/>
                <w:bCs w:val="1"/>
                <w:color w:val="auto"/>
              </w:rPr>
              <w:t>Partner</w:t>
            </w:r>
          </w:p>
        </w:tc>
        <w:tc>
          <w:tcPr>
            <w:tcW w:w="12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1"/>
              </w:rPr>
              <w:t>Approximate</w:t>
            </w:r>
          </w:p>
        </w:tc>
        <w:tc>
          <w:tcPr>
            <w:tcW w:w="0" w:type="dxa"/>
            <w:vAlign w:val="bottom"/>
          </w:tcPr>
          <w:p>
            <w:pPr>
              <w:spacing w:after="0"/>
              <w:rPr>
                <w:sz w:val="1"/>
                <w:szCs w:val="1"/>
                <w:color w:val="auto"/>
              </w:rPr>
            </w:pPr>
          </w:p>
        </w:tc>
      </w:tr>
      <w:tr>
        <w:trPr>
          <w:trHeight w:val="213"/>
        </w:trPr>
        <w:tc>
          <w:tcPr>
            <w:tcW w:w="1800" w:type="dxa"/>
            <w:vAlign w:val="bottom"/>
            <w:tcBorders>
              <w:bottom w:val="single" w:sz="8" w:color="auto"/>
            </w:tcBorders>
            <w:gridSpan w:val="2"/>
            <w:vMerge w:val="continue"/>
          </w:tcPr>
          <w:p>
            <w:pPr>
              <w:spacing w:after="0"/>
              <w:rPr>
                <w:sz w:val="18"/>
                <w:szCs w:val="18"/>
                <w:color w:val="auto"/>
              </w:rPr>
            </w:pPr>
          </w:p>
        </w:tc>
        <w:tc>
          <w:tcPr>
            <w:tcW w:w="55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left="80"/>
              <w:spacing w:after="0" w:line="213" w:lineRule="exact"/>
              <w:rPr>
                <w:sz w:val="20"/>
                <w:szCs w:val="20"/>
                <w:color w:val="auto"/>
              </w:rPr>
            </w:pPr>
            <w:r>
              <w:rPr>
                <w:rFonts w:ascii="Arial" w:cs="Arial" w:eastAsia="Arial" w:hAnsi="Arial"/>
                <w:sz w:val="16"/>
                <w:szCs w:val="16"/>
                <w:b w:val="1"/>
                <w:bCs w:val="1"/>
                <w:color w:val="auto"/>
                <w:w w:val="89"/>
              </w:rPr>
              <w:t xml:space="preserve">Interest </w:t>
            </w:r>
            <w:r>
              <w:rPr>
                <w:rFonts w:ascii="Arial" w:cs="Arial" w:eastAsia="Arial" w:hAnsi="Arial"/>
                <w:sz w:val="20"/>
                <w:szCs w:val="20"/>
                <w:b w:val="1"/>
                <w:bCs w:val="1"/>
                <w:color w:val="auto"/>
                <w:w w:val="89"/>
                <w:vertAlign w:val="superscript"/>
              </w:rPr>
              <w:t>(1)</w:t>
            </w:r>
          </w:p>
        </w:tc>
        <w:tc>
          <w:tcPr>
            <w:tcW w:w="106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6"/>
                <w:szCs w:val="16"/>
                <w:b w:val="1"/>
                <w:bCs w:val="1"/>
                <w:color w:val="auto"/>
                <w:w w:val="89"/>
              </w:rPr>
              <w:t xml:space="preserve">Interest </w:t>
            </w:r>
            <w:r>
              <w:rPr>
                <w:rFonts w:ascii="Arial" w:cs="Arial" w:eastAsia="Arial" w:hAnsi="Arial"/>
                <w:sz w:val="20"/>
                <w:szCs w:val="20"/>
                <w:b w:val="1"/>
                <w:bCs w:val="1"/>
                <w:color w:val="auto"/>
                <w:w w:val="89"/>
                <w:vertAlign w:val="superscript"/>
              </w:rPr>
              <w:t>(1)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Square Feet</w:t>
            </w:r>
          </w:p>
        </w:tc>
        <w:tc>
          <w:tcPr>
            <w:tcW w:w="0" w:type="dxa"/>
            <w:vAlign w:val="bottom"/>
          </w:tcPr>
          <w:p>
            <w:pPr>
              <w:spacing w:after="0"/>
              <w:rPr>
                <w:sz w:val="1"/>
                <w:szCs w:val="1"/>
                <w:color w:val="auto"/>
              </w:rPr>
            </w:pPr>
          </w:p>
        </w:tc>
      </w:tr>
      <w:tr>
        <w:trPr>
          <w:trHeight w:val="206"/>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100</w:t>
            </w:r>
          </w:p>
        </w:tc>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Park Avenue</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Prudential Real Estate Investors</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49.90%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49.90%</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834,000</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Arial" w:cs="Arial" w:eastAsia="Arial" w:hAnsi="Arial"/>
                <w:sz w:val="16"/>
                <w:szCs w:val="16"/>
                <w:color w:val="auto"/>
                <w:w w:val="89"/>
              </w:rPr>
              <w:t>717</w:t>
            </w:r>
          </w:p>
        </w:tc>
        <w:tc>
          <w:tcPr>
            <w:tcW w:w="1520" w:type="dxa"/>
            <w:vAlign w:val="bottom"/>
          </w:tcPr>
          <w:p>
            <w:pPr>
              <w:ind w:left="20"/>
              <w:spacing w:after="0"/>
              <w:rPr>
                <w:sz w:val="20"/>
                <w:szCs w:val="20"/>
                <w:color w:val="auto"/>
              </w:rPr>
            </w:pPr>
            <w:r>
              <w:rPr>
                <w:rFonts w:ascii="Arial" w:cs="Arial" w:eastAsia="Arial" w:hAnsi="Arial"/>
                <w:sz w:val="16"/>
                <w:szCs w:val="16"/>
                <w:color w:val="auto"/>
              </w:rPr>
              <w:t>Fifth Avenue</w:t>
            </w:r>
          </w:p>
        </w:tc>
        <w:tc>
          <w:tcPr>
            <w:tcW w:w="5520" w:type="dxa"/>
            <w:vAlign w:val="bottom"/>
          </w:tcPr>
          <w:p>
            <w:pPr>
              <w:ind w:left="220"/>
              <w:spacing w:after="0"/>
              <w:rPr>
                <w:sz w:val="20"/>
                <w:szCs w:val="20"/>
                <w:color w:val="auto"/>
              </w:rPr>
            </w:pPr>
            <w:r>
              <w:rPr>
                <w:rFonts w:ascii="Arial" w:cs="Arial" w:eastAsia="Arial" w:hAnsi="Arial"/>
                <w:sz w:val="16"/>
                <w:szCs w:val="16"/>
                <w:color w:val="auto"/>
              </w:rPr>
              <w:t>Wharton Properties / Private Investor</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10.92%</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10.92%</w:t>
            </w:r>
          </w:p>
        </w:tc>
        <w:tc>
          <w:tcPr>
            <w:tcW w:w="1340" w:type="dxa"/>
            <w:vAlign w:val="bottom"/>
          </w:tcPr>
          <w:p>
            <w:pPr>
              <w:jc w:val="right"/>
              <w:spacing w:after="0"/>
              <w:rPr>
                <w:sz w:val="20"/>
                <w:szCs w:val="20"/>
                <w:color w:val="auto"/>
              </w:rPr>
            </w:pPr>
            <w:r>
              <w:rPr>
                <w:rFonts w:ascii="Arial" w:cs="Arial" w:eastAsia="Arial" w:hAnsi="Arial"/>
                <w:sz w:val="16"/>
                <w:szCs w:val="16"/>
                <w:color w:val="auto"/>
              </w:rPr>
              <w:t>119,500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800</w:t>
            </w:r>
          </w:p>
        </w:tc>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Private Investors</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60.52%</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60.52%</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526,000</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Arial" w:cs="Arial" w:eastAsia="Arial" w:hAnsi="Arial"/>
                <w:sz w:val="16"/>
                <w:szCs w:val="16"/>
                <w:color w:val="auto"/>
                <w:w w:val="89"/>
              </w:rPr>
              <w:t>919</w:t>
            </w:r>
          </w:p>
        </w:tc>
        <w:tc>
          <w:tcPr>
            <w:tcW w:w="1520" w:type="dxa"/>
            <w:vAlign w:val="bottom"/>
          </w:tcPr>
          <w:p>
            <w:pPr>
              <w:ind w:left="20"/>
              <w:spacing w:after="0"/>
              <w:rPr>
                <w:sz w:val="20"/>
                <w:szCs w:val="20"/>
                <w:color w:val="auto"/>
              </w:rPr>
            </w:pPr>
            <w:r>
              <w:rPr>
                <w:rFonts w:ascii="Arial" w:cs="Arial" w:eastAsia="Arial" w:hAnsi="Arial"/>
                <w:sz w:val="16"/>
                <w:szCs w:val="16"/>
                <w:color w:val="auto"/>
              </w:rPr>
              <w:t>Third Avenue</w:t>
            </w:r>
          </w:p>
        </w:tc>
        <w:tc>
          <w:tcPr>
            <w:tcW w:w="5520" w:type="dxa"/>
            <w:vAlign w:val="bottom"/>
          </w:tcPr>
          <w:p>
            <w:pPr>
              <w:ind w:left="220"/>
              <w:spacing w:after="0"/>
              <w:rPr>
                <w:sz w:val="20"/>
                <w:szCs w:val="20"/>
                <w:color w:val="auto"/>
              </w:rPr>
            </w:pPr>
            <w:r>
              <w:rPr>
                <w:rFonts w:ascii="Arial" w:cs="Arial" w:eastAsia="Arial" w:hAnsi="Arial"/>
                <w:sz w:val="16"/>
                <w:szCs w:val="16"/>
                <w:color w:val="auto"/>
              </w:rPr>
              <w:t>New York State Teacher's Retirement System</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51.00%</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51.00%</w:t>
            </w:r>
          </w:p>
        </w:tc>
        <w:tc>
          <w:tcPr>
            <w:tcW w:w="1340" w:type="dxa"/>
            <w:vAlign w:val="bottom"/>
          </w:tcPr>
          <w:p>
            <w:pPr>
              <w:jc w:val="right"/>
              <w:spacing w:after="0"/>
              <w:rPr>
                <w:sz w:val="20"/>
                <w:szCs w:val="20"/>
                <w:color w:val="auto"/>
              </w:rPr>
            </w:pPr>
            <w:r>
              <w:rPr>
                <w:rFonts w:ascii="Arial" w:cs="Arial" w:eastAsia="Arial" w:hAnsi="Arial"/>
                <w:sz w:val="16"/>
                <w:szCs w:val="16"/>
                <w:color w:val="auto"/>
              </w:rPr>
              <w:t>1,454,000</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 West 34th Street</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Private Investor / Wharton Properties</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30.00%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30.00%</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17,150</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Arial" w:cs="Arial" w:eastAsia="Arial" w:hAnsi="Arial"/>
                <w:sz w:val="16"/>
                <w:szCs w:val="16"/>
                <w:color w:val="auto"/>
                <w:w w:val="89"/>
              </w:rPr>
              <w:t>280</w:t>
            </w:r>
          </w:p>
        </w:tc>
        <w:tc>
          <w:tcPr>
            <w:tcW w:w="1520" w:type="dxa"/>
            <w:vAlign w:val="bottom"/>
          </w:tcPr>
          <w:p>
            <w:pPr>
              <w:ind w:left="20"/>
              <w:spacing w:after="0"/>
              <w:rPr>
                <w:sz w:val="20"/>
                <w:szCs w:val="20"/>
                <w:color w:val="auto"/>
              </w:rPr>
            </w:pPr>
            <w:r>
              <w:rPr>
                <w:rFonts w:ascii="Arial" w:cs="Arial" w:eastAsia="Arial" w:hAnsi="Arial"/>
                <w:sz w:val="16"/>
                <w:szCs w:val="16"/>
                <w:color w:val="auto"/>
              </w:rPr>
              <w:t>Park Avenue</w:t>
            </w:r>
          </w:p>
        </w:tc>
        <w:tc>
          <w:tcPr>
            <w:tcW w:w="5520" w:type="dxa"/>
            <w:vAlign w:val="bottom"/>
          </w:tcPr>
          <w:p>
            <w:pPr>
              <w:ind w:left="220"/>
              <w:spacing w:after="0"/>
              <w:rPr>
                <w:sz w:val="20"/>
                <w:szCs w:val="20"/>
                <w:color w:val="auto"/>
              </w:rPr>
            </w:pPr>
            <w:r>
              <w:rPr>
                <w:rFonts w:ascii="Arial" w:cs="Arial" w:eastAsia="Arial" w:hAnsi="Arial"/>
                <w:sz w:val="16"/>
                <w:szCs w:val="16"/>
                <w:color w:val="auto"/>
              </w:rPr>
              <w:t>Vornado Realty Trust</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50.00%</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50.00%</w:t>
            </w:r>
          </w:p>
        </w:tc>
        <w:tc>
          <w:tcPr>
            <w:tcW w:w="1340" w:type="dxa"/>
            <w:vAlign w:val="bottom"/>
          </w:tcPr>
          <w:p>
            <w:pPr>
              <w:jc w:val="right"/>
              <w:spacing w:after="0"/>
              <w:rPr>
                <w:sz w:val="20"/>
                <w:szCs w:val="20"/>
                <w:color w:val="auto"/>
              </w:rPr>
            </w:pPr>
            <w:r>
              <w:rPr>
                <w:rFonts w:ascii="Arial" w:cs="Arial" w:eastAsia="Arial" w:hAnsi="Arial"/>
                <w:sz w:val="16"/>
                <w:szCs w:val="16"/>
                <w:color w:val="auto"/>
              </w:rPr>
              <w:t>1,219,158</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1552-1560 Broadway </w:t>
            </w:r>
            <w:r>
              <w:rPr>
                <w:rFonts w:ascii="Arial" w:cs="Arial" w:eastAsia="Arial" w:hAnsi="Arial"/>
                <w:sz w:val="20"/>
                <w:szCs w:val="20"/>
                <w:color w:val="auto"/>
                <w:vertAlign w:val="superscript"/>
              </w:rPr>
              <w:t>(2)</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Wharton Properties</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50.00%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50.00%</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57,718</w:t>
            </w:r>
          </w:p>
        </w:tc>
        <w:tc>
          <w:tcPr>
            <w:tcW w:w="0" w:type="dxa"/>
            <w:vAlign w:val="bottom"/>
          </w:tcPr>
          <w:p>
            <w:pPr>
              <w:spacing w:after="0"/>
              <w:rPr>
                <w:sz w:val="1"/>
                <w:szCs w:val="1"/>
                <w:color w:val="auto"/>
              </w:rPr>
            </w:pPr>
          </w:p>
        </w:tc>
      </w:tr>
      <w:tr>
        <w:trPr>
          <w:trHeight w:val="210"/>
        </w:trPr>
        <w:tc>
          <w:tcPr>
            <w:tcW w:w="1800" w:type="dxa"/>
            <w:vAlign w:val="bottom"/>
            <w:gridSpan w:val="2"/>
          </w:tcPr>
          <w:p>
            <w:pPr>
              <w:ind w:left="20"/>
              <w:spacing w:after="0"/>
              <w:rPr>
                <w:sz w:val="20"/>
                <w:szCs w:val="20"/>
                <w:color w:val="auto"/>
              </w:rPr>
            </w:pPr>
            <w:r>
              <w:rPr>
                <w:rFonts w:ascii="Arial" w:cs="Arial" w:eastAsia="Arial" w:hAnsi="Arial"/>
                <w:sz w:val="16"/>
                <w:szCs w:val="16"/>
                <w:color w:val="auto"/>
              </w:rPr>
              <w:t>10 East 53rd Street</w:t>
            </w:r>
          </w:p>
        </w:tc>
        <w:tc>
          <w:tcPr>
            <w:tcW w:w="5520" w:type="dxa"/>
            <w:vAlign w:val="bottom"/>
          </w:tcPr>
          <w:p>
            <w:pPr>
              <w:ind w:left="220"/>
              <w:spacing w:after="0"/>
              <w:rPr>
                <w:sz w:val="20"/>
                <w:szCs w:val="20"/>
                <w:color w:val="auto"/>
              </w:rPr>
            </w:pPr>
            <w:r>
              <w:rPr>
                <w:rFonts w:ascii="Arial" w:cs="Arial" w:eastAsia="Arial" w:hAnsi="Arial"/>
                <w:sz w:val="16"/>
                <w:szCs w:val="16"/>
                <w:color w:val="auto"/>
              </w:rPr>
              <w:t>Canadian Pension Plan Investment Board</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55.00%</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55.00%</w:t>
            </w:r>
          </w:p>
        </w:tc>
        <w:tc>
          <w:tcPr>
            <w:tcW w:w="1340" w:type="dxa"/>
            <w:vAlign w:val="bottom"/>
          </w:tcPr>
          <w:p>
            <w:pPr>
              <w:jc w:val="right"/>
              <w:spacing w:after="0"/>
              <w:rPr>
                <w:sz w:val="20"/>
                <w:szCs w:val="20"/>
                <w:color w:val="auto"/>
              </w:rPr>
            </w:pPr>
            <w:r>
              <w:rPr>
                <w:rFonts w:ascii="Arial" w:cs="Arial" w:eastAsia="Arial" w:hAnsi="Arial"/>
                <w:sz w:val="16"/>
                <w:szCs w:val="16"/>
                <w:color w:val="auto"/>
              </w:rPr>
              <w:t>354,300</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21 East 66th Street </w:t>
            </w:r>
            <w:r>
              <w:rPr>
                <w:rFonts w:ascii="Arial" w:cs="Arial" w:eastAsia="Arial" w:hAnsi="Arial"/>
                <w:sz w:val="20"/>
                <w:szCs w:val="20"/>
                <w:color w:val="auto"/>
                <w:vertAlign w:val="superscript"/>
              </w:rPr>
              <w:t>(3)</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Private Investors</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32.28%</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32.28%</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13,069</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650</w:t>
            </w:r>
          </w:p>
        </w:tc>
        <w:tc>
          <w:tcPr>
            <w:tcW w:w="152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Fifth Avenue </w:t>
            </w:r>
            <w:r>
              <w:rPr>
                <w:rFonts w:ascii="Arial" w:cs="Arial" w:eastAsia="Arial" w:hAnsi="Arial"/>
                <w:sz w:val="20"/>
                <w:szCs w:val="20"/>
                <w:color w:val="auto"/>
                <w:vertAlign w:val="superscript"/>
              </w:rPr>
              <w:t>(4)</w:t>
            </w:r>
          </w:p>
        </w:tc>
        <w:tc>
          <w:tcPr>
            <w:tcW w:w="5520" w:type="dxa"/>
            <w:vAlign w:val="bottom"/>
          </w:tcPr>
          <w:p>
            <w:pPr>
              <w:ind w:left="220"/>
              <w:spacing w:after="0"/>
              <w:rPr>
                <w:sz w:val="20"/>
                <w:szCs w:val="20"/>
                <w:color w:val="auto"/>
              </w:rPr>
            </w:pPr>
            <w:r>
              <w:rPr>
                <w:rFonts w:ascii="Arial" w:cs="Arial" w:eastAsia="Arial" w:hAnsi="Arial"/>
                <w:sz w:val="16"/>
                <w:szCs w:val="16"/>
                <w:color w:val="auto"/>
              </w:rPr>
              <w:t>Wharton Properties</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50.00%</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50.00%</w:t>
            </w:r>
          </w:p>
        </w:tc>
        <w:tc>
          <w:tcPr>
            <w:tcW w:w="1340" w:type="dxa"/>
            <w:vAlign w:val="bottom"/>
          </w:tcPr>
          <w:p>
            <w:pPr>
              <w:jc w:val="right"/>
              <w:spacing w:after="0"/>
              <w:rPr>
                <w:sz w:val="20"/>
                <w:szCs w:val="20"/>
                <w:color w:val="auto"/>
              </w:rPr>
            </w:pPr>
            <w:r>
              <w:rPr>
                <w:rFonts w:ascii="Arial" w:cs="Arial" w:eastAsia="Arial" w:hAnsi="Arial"/>
                <w:sz w:val="16"/>
                <w:szCs w:val="16"/>
                <w:color w:val="auto"/>
              </w:rPr>
              <w:t>69,214</w:t>
            </w: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121</w:t>
            </w:r>
          </w:p>
        </w:tc>
        <w:tc>
          <w:tcPr>
            <w:tcW w:w="15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Greene Street </w:t>
            </w:r>
            <w:r>
              <w:rPr>
                <w:rFonts w:ascii="Arial" w:cs="Arial" w:eastAsia="Arial" w:hAnsi="Arial"/>
                <w:sz w:val="20"/>
                <w:szCs w:val="20"/>
                <w:color w:val="auto"/>
                <w:vertAlign w:val="superscript"/>
              </w:rPr>
              <w:t>(5)</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Wharton Properties</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50.00%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50.00%</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w:t>
            </w:r>
          </w:p>
        </w:tc>
        <w:tc>
          <w:tcPr>
            <w:tcW w:w="0" w:type="dxa"/>
            <w:vAlign w:val="bottom"/>
          </w:tcPr>
          <w:p>
            <w:pPr>
              <w:spacing w:after="0"/>
              <w:rPr>
                <w:sz w:val="1"/>
                <w:szCs w:val="1"/>
                <w:color w:val="auto"/>
              </w:rPr>
            </w:pPr>
          </w:p>
        </w:tc>
      </w:tr>
      <w:tr>
        <w:trPr>
          <w:trHeight w:val="210"/>
        </w:trPr>
        <w:tc>
          <w:tcPr>
            <w:tcW w:w="1800" w:type="dxa"/>
            <w:vAlign w:val="bottom"/>
            <w:gridSpan w:val="2"/>
          </w:tcPr>
          <w:p>
            <w:pPr>
              <w:ind w:left="20"/>
              <w:spacing w:after="0"/>
              <w:rPr>
                <w:sz w:val="20"/>
                <w:szCs w:val="20"/>
                <w:color w:val="auto"/>
              </w:rPr>
            </w:pPr>
            <w:r>
              <w:rPr>
                <w:rFonts w:ascii="Arial" w:cs="Arial" w:eastAsia="Arial" w:hAnsi="Arial"/>
                <w:sz w:val="16"/>
                <w:szCs w:val="16"/>
                <w:color w:val="auto"/>
              </w:rPr>
              <w:t>11 Madison Avenue</w:t>
            </w:r>
          </w:p>
        </w:tc>
        <w:tc>
          <w:tcPr>
            <w:tcW w:w="5520" w:type="dxa"/>
            <w:vAlign w:val="bottom"/>
          </w:tcPr>
          <w:p>
            <w:pPr>
              <w:ind w:left="220"/>
              <w:spacing w:after="0"/>
              <w:rPr>
                <w:sz w:val="20"/>
                <w:szCs w:val="20"/>
                <w:color w:val="auto"/>
              </w:rPr>
            </w:pPr>
            <w:r>
              <w:rPr>
                <w:rFonts w:ascii="Arial" w:cs="Arial" w:eastAsia="Arial" w:hAnsi="Arial"/>
                <w:sz w:val="16"/>
                <w:szCs w:val="16"/>
                <w:color w:val="auto"/>
              </w:rPr>
              <w:t>PGIM Real Estate</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60.00%</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60.00%</w:t>
            </w:r>
          </w:p>
        </w:tc>
        <w:tc>
          <w:tcPr>
            <w:tcW w:w="1340" w:type="dxa"/>
            <w:vAlign w:val="bottom"/>
          </w:tcPr>
          <w:p>
            <w:pPr>
              <w:jc w:val="right"/>
              <w:spacing w:after="0"/>
              <w:rPr>
                <w:sz w:val="20"/>
                <w:szCs w:val="20"/>
                <w:color w:val="auto"/>
              </w:rPr>
            </w:pPr>
            <w:r>
              <w:rPr>
                <w:rFonts w:ascii="Arial" w:cs="Arial" w:eastAsia="Arial" w:hAnsi="Arial"/>
                <w:sz w:val="16"/>
                <w:szCs w:val="16"/>
                <w:color w:val="auto"/>
              </w:rPr>
              <w:t>2,314,000</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One Vanderbilt Avenue</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National Pension Service of Korea / Hines Interest LP</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71.01%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71.01%</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1,657,198</w:t>
            </w:r>
          </w:p>
        </w:tc>
        <w:tc>
          <w:tcPr>
            <w:tcW w:w="0" w:type="dxa"/>
            <w:vAlign w:val="bottom"/>
          </w:tcPr>
          <w:p>
            <w:pPr>
              <w:spacing w:after="0"/>
              <w:rPr>
                <w:sz w:val="1"/>
                <w:szCs w:val="1"/>
                <w:color w:val="auto"/>
              </w:rPr>
            </w:pPr>
          </w:p>
        </w:tc>
      </w:tr>
      <w:tr>
        <w:trPr>
          <w:trHeight w:val="210"/>
        </w:trPr>
        <w:tc>
          <w:tcPr>
            <w:tcW w:w="1800" w:type="dxa"/>
            <w:vAlign w:val="bottom"/>
            <w:gridSpan w:val="2"/>
          </w:tcPr>
          <w:p>
            <w:pPr>
              <w:ind w:left="20"/>
              <w:spacing w:after="0"/>
              <w:rPr>
                <w:sz w:val="20"/>
                <w:szCs w:val="20"/>
                <w:color w:val="auto"/>
              </w:rPr>
            </w:pPr>
            <w:r>
              <w:rPr>
                <w:rFonts w:ascii="Arial" w:cs="Arial" w:eastAsia="Arial" w:hAnsi="Arial"/>
                <w:sz w:val="16"/>
                <w:szCs w:val="16"/>
                <w:color w:val="auto"/>
              </w:rPr>
              <w:t>Worldwide Plaza</w:t>
            </w:r>
          </w:p>
        </w:tc>
        <w:tc>
          <w:tcPr>
            <w:tcW w:w="5520" w:type="dxa"/>
            <w:vAlign w:val="bottom"/>
          </w:tcPr>
          <w:p>
            <w:pPr>
              <w:ind w:left="220"/>
              <w:spacing w:after="0"/>
              <w:rPr>
                <w:sz w:val="20"/>
                <w:szCs w:val="20"/>
                <w:color w:val="auto"/>
              </w:rPr>
            </w:pPr>
            <w:r>
              <w:rPr>
                <w:rFonts w:ascii="Arial" w:cs="Arial" w:eastAsia="Arial" w:hAnsi="Arial"/>
                <w:sz w:val="16"/>
                <w:szCs w:val="16"/>
                <w:color w:val="auto"/>
              </w:rPr>
              <w:t>RXR Realty / New York REIT</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24.95%</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24.95%</w:t>
            </w:r>
          </w:p>
        </w:tc>
        <w:tc>
          <w:tcPr>
            <w:tcW w:w="1340" w:type="dxa"/>
            <w:vAlign w:val="bottom"/>
          </w:tcPr>
          <w:p>
            <w:pPr>
              <w:jc w:val="right"/>
              <w:spacing w:after="0"/>
              <w:rPr>
                <w:sz w:val="20"/>
                <w:szCs w:val="20"/>
                <w:color w:val="auto"/>
              </w:rPr>
            </w:pPr>
            <w:r>
              <w:rPr>
                <w:rFonts w:ascii="Arial" w:cs="Arial" w:eastAsia="Arial" w:hAnsi="Arial"/>
                <w:sz w:val="16"/>
                <w:szCs w:val="16"/>
                <w:color w:val="auto"/>
              </w:rPr>
              <w:t>2,048,725</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1515 Broadway</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Allianz Real Estate of America</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56.87%</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56.87%</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10"/>
        </w:trPr>
        <w:tc>
          <w:tcPr>
            <w:tcW w:w="1800" w:type="dxa"/>
            <w:vAlign w:val="bottom"/>
            <w:gridSpan w:val="2"/>
          </w:tcPr>
          <w:p>
            <w:pPr>
              <w:ind w:left="20"/>
              <w:spacing w:after="0"/>
              <w:rPr>
                <w:sz w:val="20"/>
                <w:szCs w:val="20"/>
                <w:color w:val="auto"/>
              </w:rPr>
            </w:pPr>
            <w:r>
              <w:rPr>
                <w:rFonts w:ascii="Arial" w:cs="Arial" w:eastAsia="Arial" w:hAnsi="Arial"/>
                <w:sz w:val="16"/>
                <w:szCs w:val="16"/>
                <w:color w:val="auto"/>
              </w:rPr>
              <w:t>2 Herald Square</w:t>
            </w:r>
          </w:p>
        </w:tc>
        <w:tc>
          <w:tcPr>
            <w:tcW w:w="5520" w:type="dxa"/>
            <w:vAlign w:val="bottom"/>
          </w:tcPr>
          <w:p>
            <w:pPr>
              <w:ind w:left="220"/>
              <w:spacing w:after="0"/>
              <w:rPr>
                <w:sz w:val="20"/>
                <w:szCs w:val="20"/>
                <w:color w:val="auto"/>
              </w:rPr>
            </w:pPr>
            <w:r>
              <w:rPr>
                <w:rFonts w:ascii="Arial" w:cs="Arial" w:eastAsia="Arial" w:hAnsi="Arial"/>
                <w:sz w:val="16"/>
                <w:szCs w:val="16"/>
                <w:color w:val="auto"/>
              </w:rPr>
              <w:t>Israeli Institutional Investor</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51.00%</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51.00%</w:t>
            </w:r>
          </w:p>
        </w:tc>
        <w:tc>
          <w:tcPr>
            <w:tcW w:w="1340" w:type="dxa"/>
            <w:vAlign w:val="bottom"/>
          </w:tcPr>
          <w:p>
            <w:pPr>
              <w:jc w:val="right"/>
              <w:spacing w:after="0"/>
              <w:rPr>
                <w:sz w:val="20"/>
                <w:szCs w:val="20"/>
                <w:color w:val="auto"/>
              </w:rPr>
            </w:pPr>
            <w:r>
              <w:rPr>
                <w:rFonts w:ascii="Arial" w:cs="Arial" w:eastAsia="Arial" w:hAnsi="Arial"/>
                <w:sz w:val="16"/>
                <w:szCs w:val="16"/>
                <w:color w:val="auto"/>
              </w:rPr>
              <w:t>369,000</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115 Spring Street</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Private Investor</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51.00%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51.00%</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0" w:type="dxa"/>
            <w:vAlign w:val="bottom"/>
          </w:tcPr>
          <w:p>
            <w:pPr>
              <w:spacing w:after="0"/>
              <w:rPr>
                <w:sz w:val="1"/>
                <w:szCs w:val="1"/>
                <w:color w:val="auto"/>
              </w:rPr>
            </w:pPr>
          </w:p>
        </w:tc>
      </w:tr>
      <w:tr>
        <w:trPr>
          <w:trHeight w:val="213"/>
        </w:trPr>
        <w:tc>
          <w:tcPr>
            <w:tcW w:w="180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15 Beekman </w:t>
            </w:r>
            <w:r>
              <w:rPr>
                <w:rFonts w:ascii="Arial" w:cs="Arial" w:eastAsia="Arial" w:hAnsi="Arial"/>
                <w:sz w:val="20"/>
                <w:szCs w:val="20"/>
                <w:color w:val="auto"/>
                <w:vertAlign w:val="superscript"/>
              </w:rPr>
              <w:t>(6)</w:t>
            </w:r>
          </w:p>
        </w:tc>
        <w:tc>
          <w:tcPr>
            <w:tcW w:w="5520" w:type="dxa"/>
            <w:vAlign w:val="bottom"/>
          </w:tcPr>
          <w:p>
            <w:pPr>
              <w:ind w:left="220"/>
              <w:spacing w:after="0"/>
              <w:rPr>
                <w:sz w:val="20"/>
                <w:szCs w:val="20"/>
                <w:color w:val="auto"/>
              </w:rPr>
            </w:pPr>
            <w:r>
              <w:rPr>
                <w:rFonts w:ascii="Arial" w:cs="Arial" w:eastAsia="Arial" w:hAnsi="Arial"/>
                <w:sz w:val="16"/>
                <w:szCs w:val="16"/>
                <w:color w:val="auto"/>
              </w:rPr>
              <w:t>A fund managed by Meritz Alternative Investment Management</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20.00%</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20.00%</w:t>
            </w:r>
          </w:p>
        </w:tc>
        <w:tc>
          <w:tcPr>
            <w:tcW w:w="1340" w:type="dxa"/>
            <w:vAlign w:val="bottom"/>
          </w:tcPr>
          <w:p>
            <w:pPr>
              <w:jc w:val="right"/>
              <w:spacing w:after="0"/>
              <w:rPr>
                <w:sz w:val="20"/>
                <w:szCs w:val="20"/>
                <w:color w:val="auto"/>
              </w:rPr>
            </w:pPr>
            <w:r>
              <w:rPr>
                <w:rFonts w:ascii="Arial" w:cs="Arial" w:eastAsia="Arial" w:hAnsi="Arial"/>
                <w:sz w:val="16"/>
                <w:szCs w:val="16"/>
                <w:color w:val="auto"/>
              </w:rPr>
              <w:t>221,884</w:t>
            </w:r>
          </w:p>
        </w:tc>
        <w:tc>
          <w:tcPr>
            <w:tcW w:w="0" w:type="dxa"/>
            <w:vAlign w:val="bottom"/>
          </w:tcPr>
          <w:p>
            <w:pPr>
              <w:spacing w:after="0"/>
              <w:rPr>
                <w:sz w:val="1"/>
                <w:szCs w:val="1"/>
                <w:color w:val="auto"/>
              </w:rPr>
            </w:pPr>
          </w:p>
        </w:tc>
      </w:tr>
      <w:tr>
        <w:trPr>
          <w:trHeight w:val="213"/>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85 Fifth Avenue</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Wells Fargo</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36.27%</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36.27%</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12,946</w:t>
            </w:r>
          </w:p>
        </w:tc>
        <w:tc>
          <w:tcPr>
            <w:tcW w:w="0" w:type="dxa"/>
            <w:vAlign w:val="bottom"/>
          </w:tcPr>
          <w:p>
            <w:pPr>
              <w:spacing w:after="0"/>
              <w:rPr>
                <w:sz w:val="1"/>
                <w:szCs w:val="1"/>
                <w:color w:val="auto"/>
              </w:rPr>
            </w:pPr>
          </w:p>
        </w:tc>
      </w:tr>
      <w:tr>
        <w:trPr>
          <w:trHeight w:val="213"/>
        </w:trPr>
        <w:tc>
          <w:tcPr>
            <w:tcW w:w="180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One Madison Avenue </w:t>
            </w:r>
            <w:r>
              <w:rPr>
                <w:rFonts w:ascii="Arial" w:cs="Arial" w:eastAsia="Arial" w:hAnsi="Arial"/>
                <w:sz w:val="20"/>
                <w:szCs w:val="20"/>
                <w:color w:val="auto"/>
                <w:vertAlign w:val="superscript"/>
              </w:rPr>
              <w:t>(7)</w:t>
            </w:r>
          </w:p>
        </w:tc>
        <w:tc>
          <w:tcPr>
            <w:tcW w:w="5520" w:type="dxa"/>
            <w:vAlign w:val="bottom"/>
          </w:tcPr>
          <w:p>
            <w:pPr>
              <w:ind w:left="220"/>
              <w:spacing w:after="0"/>
              <w:rPr>
                <w:sz w:val="20"/>
                <w:szCs w:val="20"/>
                <w:color w:val="auto"/>
              </w:rPr>
            </w:pPr>
            <w:r>
              <w:rPr>
                <w:rFonts w:ascii="Arial" w:cs="Arial" w:eastAsia="Arial" w:hAnsi="Arial"/>
                <w:sz w:val="16"/>
                <w:szCs w:val="16"/>
                <w:color w:val="auto"/>
                <w:w w:val="97"/>
              </w:rPr>
              <w:t>National Pension Service of Korea / Hines Interest LP / International Investor</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25.50%</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25.50%</w:t>
            </w:r>
          </w:p>
        </w:tc>
        <w:tc>
          <w:tcPr>
            <w:tcW w:w="1340" w:type="dxa"/>
            <w:vAlign w:val="bottom"/>
          </w:tcPr>
          <w:p>
            <w:pPr>
              <w:jc w:val="right"/>
              <w:spacing w:after="0"/>
              <w:rPr>
                <w:sz w:val="20"/>
                <w:szCs w:val="20"/>
                <w:color w:val="auto"/>
              </w:rPr>
            </w:pPr>
            <w:r>
              <w:rPr>
                <w:rFonts w:ascii="Arial" w:cs="Arial" w:eastAsia="Arial" w:hAnsi="Arial"/>
                <w:sz w:val="16"/>
                <w:szCs w:val="16"/>
                <w:color w:val="auto"/>
              </w:rPr>
              <w:t>1,048,700</w:t>
            </w: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220</w:t>
            </w:r>
          </w:p>
        </w:tc>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42nd Street</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 fund managed by Meritz Alternative Investment Management</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51.00%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51.00%</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1,135,000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450</w:t>
            </w:r>
          </w:p>
        </w:tc>
        <w:tc>
          <w:tcPr>
            <w:tcW w:w="152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Park Avenue </w:t>
            </w:r>
            <w:r>
              <w:rPr>
                <w:rFonts w:ascii="Arial" w:cs="Arial" w:eastAsia="Arial" w:hAnsi="Arial"/>
                <w:sz w:val="20"/>
                <w:szCs w:val="20"/>
                <w:color w:val="auto"/>
                <w:vertAlign w:val="superscript"/>
              </w:rPr>
              <w:t>(8)</w:t>
            </w:r>
          </w:p>
        </w:tc>
        <w:tc>
          <w:tcPr>
            <w:tcW w:w="5520" w:type="dxa"/>
            <w:vAlign w:val="bottom"/>
          </w:tcPr>
          <w:p>
            <w:pPr>
              <w:ind w:left="220"/>
              <w:spacing w:after="0"/>
              <w:rPr>
                <w:sz w:val="20"/>
                <w:szCs w:val="20"/>
                <w:color w:val="auto"/>
              </w:rPr>
            </w:pPr>
            <w:r>
              <w:rPr>
                <w:rFonts w:ascii="Arial" w:cs="Arial" w:eastAsia="Arial" w:hAnsi="Arial"/>
                <w:sz w:val="16"/>
                <w:szCs w:val="16"/>
                <w:color w:val="auto"/>
              </w:rPr>
              <w:t>Korean Institutional Investor / Israeli Institutional Investor</w:t>
            </w:r>
          </w:p>
        </w:tc>
        <w:tc>
          <w:tcPr>
            <w:tcW w:w="1220" w:type="dxa"/>
            <w:vAlign w:val="bottom"/>
          </w:tcPr>
          <w:p>
            <w:pPr>
              <w:jc w:val="center"/>
              <w:ind w:left="80"/>
              <w:spacing w:after="0"/>
              <w:rPr>
                <w:sz w:val="20"/>
                <w:szCs w:val="20"/>
                <w:color w:val="auto"/>
              </w:rPr>
            </w:pPr>
            <w:r>
              <w:rPr>
                <w:rFonts w:ascii="Arial" w:cs="Arial" w:eastAsia="Arial" w:hAnsi="Arial"/>
                <w:sz w:val="16"/>
                <w:szCs w:val="16"/>
                <w:color w:val="auto"/>
                <w:w w:val="92"/>
              </w:rPr>
              <w:t>50.10%</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25.10%</w:t>
            </w:r>
          </w:p>
        </w:tc>
        <w:tc>
          <w:tcPr>
            <w:tcW w:w="1340" w:type="dxa"/>
            <w:vAlign w:val="bottom"/>
          </w:tcPr>
          <w:p>
            <w:pPr>
              <w:jc w:val="right"/>
              <w:spacing w:after="0"/>
              <w:rPr>
                <w:sz w:val="20"/>
                <w:szCs w:val="20"/>
                <w:color w:val="auto"/>
              </w:rPr>
            </w:pPr>
            <w:r>
              <w:rPr>
                <w:rFonts w:ascii="Arial" w:cs="Arial" w:eastAsia="Arial" w:hAnsi="Arial"/>
                <w:sz w:val="16"/>
                <w:szCs w:val="16"/>
                <w:color w:val="auto"/>
              </w:rPr>
              <w:t>337,000</w:t>
            </w:r>
          </w:p>
        </w:tc>
        <w:tc>
          <w:tcPr>
            <w:tcW w:w="0" w:type="dxa"/>
            <w:vAlign w:val="bottom"/>
          </w:tcPr>
          <w:p>
            <w:pPr>
              <w:spacing w:after="0"/>
              <w:rPr>
                <w:sz w:val="1"/>
                <w:szCs w:val="1"/>
                <w:color w:val="auto"/>
              </w:rPr>
            </w:pPr>
          </w:p>
        </w:tc>
      </w:tr>
      <w:tr>
        <w:trPr>
          <w:trHeight w:val="213"/>
        </w:trPr>
        <w:tc>
          <w:tcPr>
            <w:tcW w:w="180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5 Times Square </w:t>
            </w:r>
            <w:r>
              <w:rPr>
                <w:rFonts w:ascii="Arial" w:cs="Arial" w:eastAsia="Arial" w:hAnsi="Arial"/>
                <w:sz w:val="20"/>
                <w:szCs w:val="20"/>
                <w:color w:val="auto"/>
                <w:vertAlign w:val="superscript"/>
              </w:rPr>
              <w:t>(9)</w:t>
            </w:r>
          </w:p>
        </w:tc>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RXR Realty led investment group</w:t>
            </w:r>
          </w:p>
        </w:tc>
        <w:tc>
          <w:tcPr>
            <w:tcW w:w="12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31.55%</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31.55%</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1,131,735</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0" w:hanging="394"/>
        <w:spacing w:after="0" w:line="253" w:lineRule="auto"/>
        <w:tabs>
          <w:tab w:leader="none" w:pos="392" w:val="left"/>
        </w:tabs>
        <w:numPr>
          <w:ilvl w:val="0"/>
          <w:numId w:val="55"/>
        </w:numPr>
        <w:rPr>
          <w:rFonts w:ascii="Arial" w:cs="Arial" w:eastAsia="Arial" w:hAnsi="Arial"/>
          <w:sz w:val="14"/>
          <w:szCs w:val="14"/>
          <w:color w:val="auto"/>
        </w:rPr>
      </w:pPr>
      <w:r>
        <w:rPr>
          <w:rFonts w:ascii="Arial" w:cs="Arial" w:eastAsia="Arial" w:hAnsi="Arial"/>
          <w:sz w:val="14"/>
          <w:szCs w:val="14"/>
          <w:color w:val="auto"/>
        </w:rPr>
        <w:t>Ownership interest and economic interest represent the Company's interests in the joint venture as of December 31, 2022. Changes in ownership or economic interests within the current year are disclosed in the notes below.</w:t>
      </w:r>
    </w:p>
    <w:p>
      <w:pPr>
        <w:ind w:left="400" w:hanging="394"/>
        <w:spacing w:after="0"/>
        <w:tabs>
          <w:tab w:leader="none" w:pos="4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joint venture owns a long-term leasehold interest in the retail space and certain other spaces at 1560 Broadway, which is adjacent to 1552 Broadway.</w:t>
      </w:r>
    </w:p>
    <w:p>
      <w:pPr>
        <w:spacing w:after="0" w:line="12" w:lineRule="exact"/>
        <w:rPr>
          <w:rFonts w:ascii="Arial" w:cs="Arial" w:eastAsia="Arial" w:hAnsi="Arial"/>
          <w:sz w:val="14"/>
          <w:szCs w:val="14"/>
          <w:color w:val="auto"/>
        </w:rPr>
      </w:pPr>
    </w:p>
    <w:p>
      <w:pPr>
        <w:ind w:left="400" w:hanging="394"/>
        <w:spacing w:after="0"/>
        <w:tabs>
          <w:tab w:leader="none" w:pos="4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hold a 32.28% interest in three retail units and one residential unit at the property and a 16.14% interest in two residential units at the property.</w:t>
      </w:r>
    </w:p>
    <w:p>
      <w:pPr>
        <w:spacing w:after="0" w:line="12" w:lineRule="exact"/>
        <w:rPr>
          <w:rFonts w:ascii="Arial" w:cs="Arial" w:eastAsia="Arial" w:hAnsi="Arial"/>
          <w:sz w:val="14"/>
          <w:szCs w:val="14"/>
          <w:color w:val="auto"/>
        </w:rPr>
      </w:pPr>
    </w:p>
    <w:p>
      <w:pPr>
        <w:ind w:left="400" w:hanging="394"/>
        <w:spacing w:after="0"/>
        <w:tabs>
          <w:tab w:leader="none" w:pos="4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joint venture owns a long-term leasehold interest in the retail space at 650 Fifth Avenue.</w:t>
      </w:r>
    </w:p>
    <w:p>
      <w:pPr>
        <w:spacing w:after="0" w:line="12" w:lineRule="exact"/>
        <w:rPr>
          <w:rFonts w:ascii="Arial" w:cs="Arial" w:eastAsia="Arial" w:hAnsi="Arial"/>
          <w:sz w:val="14"/>
          <w:szCs w:val="14"/>
          <w:color w:val="auto"/>
        </w:rPr>
      </w:pPr>
    </w:p>
    <w:p>
      <w:pPr>
        <w:ind w:left="400" w:hanging="394"/>
        <w:spacing w:after="0" w:line="248" w:lineRule="auto"/>
        <w:tabs>
          <w:tab w:leader="none" w:pos="392"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During the fourth quarter of 2022, the Company recorded a $6.3 million charge in connection with the pending sale of this investment for a gross consideration of approximately $14.0 million, which closed in February 2023. This charge is included in Depreciable real estate reserves and impairments in the consolidated statement of operations.</w:t>
      </w:r>
    </w:p>
    <w:p>
      <w:pPr>
        <w:ind w:left="400" w:hanging="394"/>
        <w:spacing w:after="0"/>
        <w:tabs>
          <w:tab w:leader="none" w:pos="4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2020, the Company formed a joint venture, which then entered into a long-term sublease with the Company.</w:t>
      </w:r>
    </w:p>
    <w:p>
      <w:pPr>
        <w:spacing w:after="0" w:line="12" w:lineRule="exact"/>
        <w:rPr>
          <w:rFonts w:ascii="Arial" w:cs="Arial" w:eastAsia="Arial" w:hAnsi="Arial"/>
          <w:sz w:val="14"/>
          <w:szCs w:val="14"/>
          <w:color w:val="auto"/>
        </w:rPr>
      </w:pPr>
    </w:p>
    <w:p>
      <w:pPr>
        <w:jc w:val="both"/>
        <w:ind w:left="400" w:hanging="394"/>
        <w:spacing w:after="0" w:line="262" w:lineRule="auto"/>
        <w:tabs>
          <w:tab w:leader="none" w:pos="392"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2020, the Company admitted partners to the One Madison Avenue development project, which resulted in the Company no longer retaining a controlling interest in the entity, as defined in ASC 810, and the deconsolidation of our remaining 50.5% interest. We recorded our investment at fair value, which resulted in the recognition of a fair value adjustment of $187.5 million. The fair value of our investment was determined by the terms of the joint venture agreement governing the capitalization of the project. The partners have committed aggregate equity to the project totaling no less than $501.8 million and their ownership interest in the joint venture is based on their capital contributions, up to an aggregate maximum of 49.5%. As of December 31, 2022, the total of the two partners' ownership interests based on equity contributed was 40.0%. In 2021, the Company admitted an additional partner to the development project for a committed aggregate equity investment totaling no less than $259.3 million. The partner's indirect ownership interest in the joint venture is based on it's capital contributions, up to an aggregate maximum of 25.0%. The transaction did not meet sale accounting under ASC 860 and, as a result, was treated as a secured borrowing for accounting purposes and is included in Other liabilities in our consolidated balance sheets at December 31, 2022 and 2021.</w:t>
      </w:r>
    </w:p>
    <w:p>
      <w:pPr>
        <w:spacing w:after="0" w:line="3" w:lineRule="exact"/>
        <w:rPr>
          <w:rFonts w:ascii="Arial" w:cs="Arial" w:eastAsia="Arial" w:hAnsi="Arial"/>
          <w:sz w:val="13"/>
          <w:szCs w:val="13"/>
          <w:color w:val="auto"/>
        </w:rPr>
      </w:pPr>
    </w:p>
    <w:p>
      <w:pPr>
        <w:jc w:val="both"/>
        <w:ind w:left="400" w:hanging="394"/>
        <w:spacing w:after="0" w:line="244" w:lineRule="auto"/>
        <w:tabs>
          <w:tab w:leader="none" w:pos="392"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50.1% ownership interest reflected in this table is comprised of our 25.1% economic interest and a 25.0% economic interest held by a third-party. The third-party's economic interest is held within a joint venture that we consolidate and recognize in Noncontrolling interests in other partnerships on our consolidated balance sheet. An additional third-party owns the remaining 49.9% economic interest in the property.</w:t>
      </w:r>
    </w:p>
    <w:p>
      <w:pPr>
        <w:spacing w:after="0" w:line="1" w:lineRule="exact"/>
        <w:rPr>
          <w:rFonts w:ascii="Arial" w:cs="Arial" w:eastAsia="Arial" w:hAnsi="Arial"/>
          <w:sz w:val="14"/>
          <w:szCs w:val="14"/>
          <w:color w:val="auto"/>
        </w:rPr>
      </w:pPr>
    </w:p>
    <w:p>
      <w:pPr>
        <w:ind w:left="400" w:hanging="394"/>
        <w:spacing w:after="0" w:line="249" w:lineRule="auto"/>
        <w:tabs>
          <w:tab w:leader="none" w:pos="392"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September 2022, the Company converted its mezzanine loan position secured by the equity interest in 5 Times Square to an equity interest in a joint venture partnership with the existing equity holders. See Note 5, " Debt and Preferred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Joint Venture Interests or Properties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investments in unconsolidated joint ventures sold during the years ended December 31, 2022, 2021, and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Ownership Interest</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Gross Asset Valuation</w:t>
            </w:r>
          </w:p>
        </w:tc>
        <w:tc>
          <w:tcPr>
            <w:tcW w:w="160" w:type="dxa"/>
            <w:vAlign w:val="bottom"/>
          </w:tcPr>
          <w:p>
            <w:pPr>
              <w:spacing w:after="0"/>
              <w:rPr>
                <w:sz w:val="16"/>
                <w:szCs w:val="16"/>
                <w:color w:val="auto"/>
              </w:rPr>
            </w:pPr>
          </w:p>
        </w:tc>
        <w:tc>
          <w:tcPr>
            <w:tcW w:w="1440" w:type="dxa"/>
            <w:vAlign w:val="bottom"/>
          </w:tcPr>
          <w:p>
            <w:pPr>
              <w:jc w:val="center"/>
              <w:ind w:right="80"/>
              <w:spacing w:after="0"/>
              <w:rPr>
                <w:sz w:val="20"/>
                <w:szCs w:val="20"/>
                <w:color w:val="auto"/>
              </w:rPr>
            </w:pPr>
            <w:r>
              <w:rPr>
                <w:rFonts w:ascii="Arial" w:cs="Arial" w:eastAsia="Arial" w:hAnsi="Arial"/>
                <w:sz w:val="16"/>
                <w:szCs w:val="16"/>
                <w:b w:val="1"/>
                <w:bCs w:val="1"/>
                <w:color w:val="auto"/>
                <w:w w:val="90"/>
              </w:rPr>
              <w:t>(Loss) Gain</w:t>
            </w: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3880" w:type="dxa"/>
            <w:vAlign w:val="bottom"/>
            <w:vMerge w:val="restart"/>
          </w:tcPr>
          <w:p>
            <w:pPr>
              <w:ind w:left="1500"/>
              <w:spacing w:after="0"/>
              <w:rPr>
                <w:sz w:val="20"/>
                <w:szCs w:val="20"/>
                <w:color w:val="auto"/>
              </w:rPr>
            </w:pPr>
            <w:r>
              <w:rPr>
                <w:rFonts w:ascii="Arial" w:cs="Arial" w:eastAsia="Arial" w:hAnsi="Arial"/>
                <w:sz w:val="16"/>
                <w:szCs w:val="16"/>
                <w:b w:val="1"/>
                <w:bCs w:val="1"/>
                <w:color w:val="auto"/>
              </w:rPr>
              <w:t>Property</w:t>
            </w:r>
          </w:p>
        </w:tc>
        <w:tc>
          <w:tcPr>
            <w:tcW w:w="140" w:type="dxa"/>
            <w:vAlign w:val="bottom"/>
            <w:vMerge w:val="restart"/>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Disposition Date</w:t>
            </w:r>
          </w:p>
        </w:tc>
        <w:tc>
          <w:tcPr>
            <w:tcW w:w="140" w:type="dxa"/>
            <w:vAlign w:val="bottom"/>
            <w:vMerge w:val="restart"/>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w w:val="84"/>
              </w:rPr>
              <w:t>on Sale</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Sold</w:t>
            </w:r>
          </w:p>
        </w:tc>
        <w:tc>
          <w:tcPr>
            <w:tcW w:w="14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80"/>
              <w:spacing w:after="0" w:line="213" w:lineRule="exact"/>
              <w:rPr>
                <w:sz w:val="20"/>
                <w:szCs w:val="20"/>
                <w:color w:val="auto"/>
              </w:rPr>
            </w:pPr>
            <w:r>
              <w:rPr>
                <w:rFonts w:ascii="Arial" w:cs="Arial" w:eastAsia="Arial" w:hAnsi="Arial"/>
                <w:sz w:val="16"/>
                <w:szCs w:val="16"/>
                <w:b w:val="1"/>
                <w:bCs w:val="1"/>
                <w:color w:val="auto"/>
                <w:w w:val="85"/>
              </w:rPr>
              <w:t xml:space="preserve">(in millions) </w:t>
            </w:r>
            <w:r>
              <w:rPr>
                <w:rFonts w:ascii="Arial" w:cs="Arial" w:eastAsia="Arial" w:hAnsi="Arial"/>
                <w:sz w:val="20"/>
                <w:szCs w:val="20"/>
                <w:b w:val="1"/>
                <w:bCs w:val="1"/>
                <w:color w:val="auto"/>
                <w:w w:val="85"/>
                <w:vertAlign w:val="superscript"/>
              </w:rPr>
              <w:t>(1) (2)</w:t>
            </w:r>
          </w:p>
        </w:tc>
        <w:tc>
          <w:tcPr>
            <w:tcW w:w="0" w:type="dxa"/>
            <w:vAlign w:val="bottom"/>
          </w:tcPr>
          <w:p>
            <w:pPr>
              <w:spacing w:after="0"/>
              <w:rPr>
                <w:sz w:val="1"/>
                <w:szCs w:val="1"/>
                <w:color w:val="auto"/>
              </w:rPr>
            </w:pPr>
          </w:p>
        </w:tc>
      </w:tr>
      <w:tr>
        <w:trPr>
          <w:trHeight w:val="20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Stonehenge Portfolio</w:t>
            </w: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Various</w:t>
            </w: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April 2022</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400</w:t>
            </w:r>
          </w:p>
        </w:tc>
        <w:tc>
          <w:tcPr>
            <w:tcW w:w="402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East 57th Street </w:t>
            </w:r>
            <w:r>
              <w:rPr>
                <w:rFonts w:ascii="Arial" w:cs="Arial" w:eastAsia="Arial" w:hAnsi="Arial"/>
                <w:sz w:val="20"/>
                <w:szCs w:val="20"/>
                <w:color w:val="auto"/>
                <w:vertAlign w:val="superscript"/>
              </w:rPr>
              <w:t>(3)</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41.00%</w:t>
            </w:r>
          </w:p>
        </w:tc>
        <w:tc>
          <w:tcPr>
            <w:tcW w:w="1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September 2021</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605</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West 42nd Street - Sky</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20.00%</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June 2021</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0"/>
        </w:trPr>
        <w:tc>
          <w:tcPr>
            <w:tcW w:w="4300" w:type="dxa"/>
            <w:vAlign w:val="bottom"/>
            <w:gridSpan w:val="3"/>
          </w:tcPr>
          <w:p>
            <w:pPr>
              <w:ind w:left="20"/>
              <w:spacing w:after="0"/>
              <w:rPr>
                <w:sz w:val="20"/>
                <w:szCs w:val="20"/>
                <w:color w:val="auto"/>
              </w:rPr>
            </w:pPr>
            <w:r>
              <w:rPr>
                <w:rFonts w:ascii="Arial" w:cs="Arial" w:eastAsia="Arial" w:hAnsi="Arial"/>
                <w:sz w:val="16"/>
                <w:szCs w:val="16"/>
                <w:color w:val="auto"/>
              </w:rPr>
              <w:t>55 West 46th Street - Tower 46</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25.00%</w:t>
            </w:r>
          </w:p>
        </w:tc>
        <w:tc>
          <w:tcPr>
            <w:tcW w:w="1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March 2021</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885 Third Avenue </w:t>
            </w:r>
            <w:r>
              <w:rPr>
                <w:rFonts w:ascii="Arial" w:cs="Arial" w:eastAsia="Arial" w:hAnsi="Arial"/>
                <w:sz w:val="20"/>
                <w:szCs w:val="20"/>
                <w:color w:val="auto"/>
                <w:vertAlign w:val="superscript"/>
              </w:rPr>
              <w:t>(4)</w:t>
            </w: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N/A</w:t>
            </w: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January 2021</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280" w:type="dxa"/>
            <w:vAlign w:val="bottom"/>
          </w:tcPr>
          <w:p>
            <w:pPr>
              <w:ind w:left="20"/>
              <w:spacing w:after="0"/>
              <w:rPr>
                <w:sz w:val="20"/>
                <w:szCs w:val="20"/>
                <w:color w:val="auto"/>
              </w:rPr>
            </w:pPr>
            <w:r>
              <w:rPr>
                <w:rFonts w:ascii="Arial" w:cs="Arial" w:eastAsia="Arial" w:hAnsi="Arial"/>
                <w:sz w:val="16"/>
                <w:szCs w:val="16"/>
                <w:color w:val="auto"/>
                <w:w w:val="89"/>
              </w:rPr>
              <w:t>333</w:t>
            </w: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East 22nd Street</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33.33%</w:t>
            </w:r>
          </w:p>
        </w:tc>
        <w:tc>
          <w:tcPr>
            <w:tcW w:w="1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December 2020</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00" w:hanging="394"/>
        <w:spacing w:after="0"/>
        <w:tabs>
          <w:tab w:leader="none" w:pos="4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Company's share of the gain or loss</w:t>
      </w:r>
    </w:p>
    <w:p>
      <w:pPr>
        <w:spacing w:after="0" w:line="10" w:lineRule="exact"/>
        <w:rPr>
          <w:rFonts w:ascii="Arial" w:cs="Arial" w:eastAsia="Arial" w:hAnsi="Arial"/>
          <w:sz w:val="14"/>
          <w:szCs w:val="14"/>
          <w:color w:val="auto"/>
        </w:rPr>
      </w:pPr>
    </w:p>
    <w:p>
      <w:pPr>
        <w:jc w:val="both"/>
        <w:ind w:left="400" w:hanging="394"/>
        <w:spacing w:after="0" w:line="255" w:lineRule="auto"/>
        <w:tabs>
          <w:tab w:leader="none" w:pos="392"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the year ended December 31, 2021, the (losses) gains on sale are net of $1.4 million of employee compensation accrued in connection with the realization of the investment dispositions. There were no amounts accrued for employee compensation in the years ended December 31, 2022 and 2020. Additionally, amounts do not include adjustments for expenses recorded in subsequent periods.</w:t>
      </w:r>
    </w:p>
    <w:p>
      <w:pPr>
        <w:spacing w:after="0" w:line="1" w:lineRule="exact"/>
        <w:rPr>
          <w:rFonts w:ascii="Arial" w:cs="Arial" w:eastAsia="Arial" w:hAnsi="Arial"/>
          <w:sz w:val="14"/>
          <w:szCs w:val="14"/>
          <w:color w:val="auto"/>
        </w:rPr>
      </w:pPr>
    </w:p>
    <w:p>
      <w:pPr>
        <w:ind w:left="400" w:hanging="394"/>
        <w:spacing w:after="0" w:line="251" w:lineRule="auto"/>
        <w:tabs>
          <w:tab w:leader="none" w:pos="392"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connection with our agreement to sell the property in April 2021, we recorded a charge of $5.7 million, which is included in Depreciable real estate reserves and impairments in the consolidated statements of operations.</w:t>
      </w:r>
    </w:p>
    <w:p>
      <w:pPr>
        <w:ind w:left="400" w:hanging="394"/>
        <w:spacing w:after="0" w:line="269" w:lineRule="auto"/>
        <w:tabs>
          <w:tab w:leader="none" w:pos="392"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January 2021, pursuant to the partnership documents, certain participating rights of the common member expired. As a result, it was determined that we are the primary beneficiary of the VIE and the investment was consolidated in our financial statements. See Note 3, "Property Acquisitions."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Mortgages and Other Loans Payable</w:t>
      </w:r>
    </w:p>
    <w:p>
      <w:pPr>
        <w:spacing w:after="0" w:line="118"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We generally finance our joint ventures with non-recourse debt. In certain cases we may provide guarantees or master leases, which terminate upon the satisfaction of specified circumstances or repayment of the underlying loans. The mortgage notes and other loans payable collateralized by the respective joint venture properties and assignment of leases as of December 31, 2022 and 2021, respectively,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Economic</w:t>
            </w:r>
          </w:p>
        </w:tc>
        <w:tc>
          <w:tcPr>
            <w:tcW w:w="1600" w:type="dxa"/>
            <w:vAlign w:val="bottom"/>
          </w:tcPr>
          <w:p>
            <w:pPr>
              <w:jc w:val="right"/>
              <w:ind w:right="140"/>
              <w:spacing w:after="0"/>
              <w:rPr>
                <w:sz w:val="20"/>
                <w:szCs w:val="20"/>
                <w:color w:val="auto"/>
              </w:rPr>
            </w:pPr>
            <w:r>
              <w:rPr>
                <w:rFonts w:ascii="Arial" w:cs="Arial" w:eastAsia="Arial" w:hAnsi="Arial"/>
                <w:sz w:val="16"/>
                <w:szCs w:val="16"/>
                <w:b w:val="1"/>
                <w:bCs w:val="1"/>
                <w:color w:val="auto"/>
              </w:rPr>
              <w:t>Current Maturity</w:t>
            </w: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Final Maturity Date</w:t>
            </w:r>
          </w:p>
        </w:tc>
        <w:tc>
          <w:tcPr>
            <w:tcW w:w="1320" w:type="dxa"/>
            <w:vAlign w:val="bottom"/>
            <w:gridSpan w:val="3"/>
          </w:tcPr>
          <w:p>
            <w:pPr>
              <w:ind w:left="340"/>
              <w:spacing w:after="0"/>
              <w:rPr>
                <w:sz w:val="20"/>
                <w:szCs w:val="20"/>
                <w:color w:val="auto"/>
              </w:rPr>
            </w:pPr>
            <w:r>
              <w:rPr>
                <w:rFonts w:ascii="Arial" w:cs="Arial" w:eastAsia="Arial" w:hAnsi="Arial"/>
                <w:sz w:val="16"/>
                <w:szCs w:val="16"/>
                <w:b w:val="1"/>
                <w:bCs w:val="1"/>
                <w:color w:val="auto"/>
              </w:rPr>
              <w:t>Interest</w:t>
            </w:r>
          </w:p>
        </w:tc>
        <w:tc>
          <w:tcPr>
            <w:tcW w:w="15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December 31, 2022</w:t>
            </w: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160"/>
        </w:trPr>
        <w:tc>
          <w:tcPr>
            <w:tcW w:w="2580" w:type="dxa"/>
            <w:vAlign w:val="bottom"/>
            <w:gridSpan w:val="3"/>
            <w:vMerge w:val="continue"/>
          </w:tcPr>
          <w:p>
            <w:pPr>
              <w:spacing w:after="0"/>
              <w:rPr>
                <w:sz w:val="13"/>
                <w:szCs w:val="13"/>
                <w:color w:val="auto"/>
              </w:rPr>
            </w:pPr>
          </w:p>
        </w:tc>
        <w:tc>
          <w:tcPr>
            <w:tcW w:w="1220" w:type="dxa"/>
            <w:vAlign w:val="bottom"/>
            <w:gridSpan w:val="2"/>
          </w:tcPr>
          <w:p>
            <w:pPr>
              <w:ind w:left="220"/>
              <w:spacing w:after="0" w:line="160" w:lineRule="exact"/>
              <w:rPr>
                <w:sz w:val="20"/>
                <w:szCs w:val="20"/>
                <w:color w:val="auto"/>
              </w:rPr>
            </w:pPr>
            <w:r>
              <w:rPr>
                <w:rFonts w:ascii="Arial" w:cs="Arial" w:eastAsia="Arial" w:hAnsi="Arial"/>
                <w:sz w:val="14"/>
                <w:szCs w:val="14"/>
                <w:b w:val="1"/>
                <w:bCs w:val="1"/>
                <w:color w:val="auto"/>
              </w:rPr>
              <w:t xml:space="preserve">Interest </w:t>
            </w:r>
            <w:r>
              <w:rPr>
                <w:rFonts w:ascii="Arial" w:cs="Arial" w:eastAsia="Arial" w:hAnsi="Arial"/>
                <w:sz w:val="18"/>
                <w:szCs w:val="18"/>
                <w:b w:val="1"/>
                <w:bCs w:val="1"/>
                <w:color w:val="auto"/>
                <w:vertAlign w:val="superscript"/>
              </w:rPr>
              <w:t>(1)</w:t>
            </w:r>
          </w:p>
        </w:tc>
        <w:tc>
          <w:tcPr>
            <w:tcW w:w="1600" w:type="dxa"/>
            <w:vAlign w:val="bottom"/>
          </w:tcPr>
          <w:p>
            <w:pPr>
              <w:jc w:val="right"/>
              <w:ind w:right="580"/>
              <w:spacing w:after="0" w:line="160" w:lineRule="exact"/>
              <w:rPr>
                <w:sz w:val="20"/>
                <w:szCs w:val="20"/>
                <w:color w:val="auto"/>
              </w:rPr>
            </w:pPr>
            <w:r>
              <w:rPr>
                <w:rFonts w:ascii="Arial" w:cs="Arial" w:eastAsia="Arial" w:hAnsi="Arial"/>
                <w:sz w:val="16"/>
                <w:szCs w:val="16"/>
                <w:b w:val="1"/>
                <w:bCs w:val="1"/>
                <w:color w:val="auto"/>
              </w:rPr>
              <w:t>Date</w:t>
            </w:r>
          </w:p>
        </w:tc>
        <w:tc>
          <w:tcPr>
            <w:tcW w:w="1520" w:type="dxa"/>
            <w:vAlign w:val="bottom"/>
          </w:tcPr>
          <w:p>
            <w:pPr>
              <w:jc w:val="right"/>
              <w:ind w:right="641"/>
              <w:spacing w:after="0"/>
              <w:rPr>
                <w:sz w:val="20"/>
                <w:szCs w:val="20"/>
                <w:color w:val="auto"/>
              </w:rPr>
            </w:pPr>
            <w:r>
              <w:rPr>
                <w:rFonts w:ascii="Arial" w:cs="Arial" w:eastAsia="Arial" w:hAnsi="Arial"/>
                <w:sz w:val="10"/>
                <w:szCs w:val="10"/>
                <w:b w:val="1"/>
                <w:bCs w:val="1"/>
                <w:color w:val="auto"/>
              </w:rPr>
              <w:t>(2)</w:t>
            </w:r>
          </w:p>
        </w:tc>
        <w:tc>
          <w:tcPr>
            <w:tcW w:w="100" w:type="dxa"/>
            <w:vAlign w:val="bottom"/>
          </w:tcPr>
          <w:p>
            <w:pPr>
              <w:spacing w:after="0"/>
              <w:rPr>
                <w:sz w:val="13"/>
                <w:szCs w:val="13"/>
                <w:color w:val="auto"/>
              </w:rPr>
            </w:pPr>
          </w:p>
        </w:tc>
        <w:tc>
          <w:tcPr>
            <w:tcW w:w="1320" w:type="dxa"/>
            <w:vAlign w:val="bottom"/>
            <w:gridSpan w:val="3"/>
          </w:tcPr>
          <w:p>
            <w:pPr>
              <w:ind w:left="360"/>
              <w:spacing w:after="0" w:line="160"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8"/>
                <w:szCs w:val="18"/>
                <w:b w:val="1"/>
                <w:bCs w:val="1"/>
                <w:color w:val="auto"/>
                <w:vertAlign w:val="superscript"/>
              </w:rPr>
              <w:t>(3)</w:t>
            </w:r>
          </w:p>
        </w:tc>
        <w:tc>
          <w:tcPr>
            <w:tcW w:w="1500" w:type="dxa"/>
            <w:vAlign w:val="bottom"/>
            <w:gridSpan w:val="3"/>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Fixed Rate Debt:</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717</w:t>
            </w: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Fifth Avenue</w:t>
            </w:r>
          </w:p>
        </w:tc>
        <w:tc>
          <w:tcPr>
            <w:tcW w:w="1120" w:type="dxa"/>
            <w:vAlign w:val="bottom"/>
          </w:tcPr>
          <w:p>
            <w:pPr>
              <w:jc w:val="right"/>
              <w:spacing w:after="0"/>
              <w:rPr>
                <w:sz w:val="20"/>
                <w:szCs w:val="20"/>
                <w:color w:val="auto"/>
              </w:rPr>
            </w:pPr>
            <w:r>
              <w:rPr>
                <w:rFonts w:ascii="Arial" w:cs="Arial" w:eastAsia="Arial" w:hAnsi="Arial"/>
                <w:sz w:val="16"/>
                <w:szCs w:val="16"/>
                <w:color w:val="auto"/>
              </w:rPr>
              <w:t>10.92 %</w:t>
            </w:r>
          </w:p>
        </w:tc>
        <w:tc>
          <w:tcPr>
            <w:tcW w:w="100" w:type="dxa"/>
            <w:vAlign w:val="bottom"/>
          </w:tcPr>
          <w:p>
            <w:pPr>
              <w:spacing w:after="0"/>
              <w:rPr>
                <w:sz w:val="18"/>
                <w:szCs w:val="18"/>
                <w:color w:val="auto"/>
              </w:rPr>
            </w:pPr>
          </w:p>
        </w:tc>
        <w:tc>
          <w:tcPr>
            <w:tcW w:w="1600" w:type="dxa"/>
            <w:vAlign w:val="bottom"/>
          </w:tcPr>
          <w:p>
            <w:pPr>
              <w:jc w:val="right"/>
              <w:spacing w:after="0" w:line="213" w:lineRule="exact"/>
              <w:rPr>
                <w:sz w:val="20"/>
                <w:szCs w:val="20"/>
                <w:color w:val="auto"/>
              </w:rPr>
            </w:pPr>
            <w:r>
              <w:rPr>
                <w:rFonts w:ascii="Arial" w:cs="Arial" w:eastAsia="Arial" w:hAnsi="Arial"/>
                <w:sz w:val="16"/>
                <w:szCs w:val="16"/>
                <w:color w:val="auto"/>
              </w:rPr>
              <w:t xml:space="preserve">July 2022 </w:t>
            </w:r>
            <w:r>
              <w:rPr>
                <w:rFonts w:ascii="Arial" w:cs="Arial" w:eastAsia="Arial" w:hAnsi="Arial"/>
                <w:sz w:val="20"/>
                <w:szCs w:val="20"/>
                <w:color w:val="auto"/>
                <w:vertAlign w:val="superscript"/>
              </w:rPr>
              <w:t>(4)</w:t>
            </w:r>
          </w:p>
        </w:tc>
        <w:tc>
          <w:tcPr>
            <w:tcW w:w="1620" w:type="dxa"/>
            <w:vAlign w:val="bottom"/>
            <w:gridSpan w:val="2"/>
          </w:tcPr>
          <w:p>
            <w:pPr>
              <w:jc w:val="right"/>
              <w:ind w:right="120"/>
              <w:spacing w:after="0" w:line="213" w:lineRule="exact"/>
              <w:rPr>
                <w:sz w:val="20"/>
                <w:szCs w:val="20"/>
                <w:color w:val="auto"/>
              </w:rPr>
            </w:pPr>
            <w:r>
              <w:rPr>
                <w:rFonts w:ascii="Arial" w:cs="Arial" w:eastAsia="Arial" w:hAnsi="Arial"/>
                <w:sz w:val="16"/>
                <w:szCs w:val="16"/>
                <w:color w:val="auto"/>
              </w:rPr>
              <w:t xml:space="preserve">July 2022 </w:t>
            </w:r>
            <w:r>
              <w:rPr>
                <w:rFonts w:ascii="Arial" w:cs="Arial" w:eastAsia="Arial" w:hAnsi="Arial"/>
                <w:sz w:val="20"/>
                <w:szCs w:val="20"/>
                <w:color w:val="auto"/>
                <w:vertAlign w:val="superscript"/>
              </w:rPr>
              <w:t>(4)</w:t>
            </w:r>
          </w:p>
        </w:tc>
        <w:tc>
          <w:tcPr>
            <w:tcW w:w="6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655,328</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655,328</w:t>
            </w: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650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Fifth Avenue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2023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April 2023</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21 East 66th Street</w:t>
            </w:r>
          </w:p>
        </w:tc>
        <w:tc>
          <w:tcPr>
            <w:tcW w:w="1120" w:type="dxa"/>
            <w:vAlign w:val="bottom"/>
          </w:tcPr>
          <w:p>
            <w:pPr>
              <w:jc w:val="right"/>
              <w:spacing w:after="0"/>
              <w:rPr>
                <w:sz w:val="20"/>
                <w:szCs w:val="20"/>
                <w:color w:val="auto"/>
              </w:rPr>
            </w:pPr>
            <w:r>
              <w:rPr>
                <w:rFonts w:ascii="Arial" w:cs="Arial" w:eastAsia="Arial" w:hAnsi="Arial"/>
                <w:sz w:val="16"/>
                <w:szCs w:val="16"/>
                <w:color w:val="auto"/>
              </w:rPr>
              <w:t>32.28 %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April 2023</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6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15"/>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919</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2023</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11"/>
        </w:trPr>
        <w:tc>
          <w:tcPr>
            <w:tcW w:w="280" w:type="dxa"/>
            <w:vAlign w:val="bottom"/>
          </w:tcPr>
          <w:p>
            <w:pPr>
              <w:ind w:left="20"/>
              <w:spacing w:after="0"/>
              <w:rPr>
                <w:sz w:val="20"/>
                <w:szCs w:val="20"/>
                <w:color w:val="auto"/>
              </w:rPr>
            </w:pPr>
            <w:r>
              <w:rPr>
                <w:rFonts w:ascii="Arial" w:cs="Arial" w:eastAsia="Arial" w:hAnsi="Arial"/>
                <w:sz w:val="16"/>
                <w:szCs w:val="16"/>
                <w:color w:val="auto"/>
                <w:w w:val="89"/>
              </w:rPr>
              <w:t>220</w:t>
            </w: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East 42nd Street</w:t>
            </w:r>
          </w:p>
        </w:tc>
        <w:tc>
          <w:tcPr>
            <w:tcW w:w="1120" w:type="dxa"/>
            <w:vAlign w:val="bottom"/>
          </w:tcPr>
          <w:p>
            <w:pPr>
              <w:jc w:val="right"/>
              <w:spacing w:after="0"/>
              <w:rPr>
                <w:sz w:val="20"/>
                <w:szCs w:val="20"/>
                <w:color w:val="auto"/>
              </w:rPr>
            </w:pPr>
            <w:r>
              <w:rPr>
                <w:rFonts w:ascii="Arial" w:cs="Arial" w:eastAsia="Arial" w:hAnsi="Arial"/>
                <w:sz w:val="16"/>
                <w:szCs w:val="16"/>
                <w:color w:val="auto"/>
              </w:rPr>
              <w:t>51.00 %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June 2023</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2025</w:t>
            </w:r>
          </w:p>
        </w:tc>
        <w:tc>
          <w:tcPr>
            <w:tcW w:w="6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510,000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280 Park Avenue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2023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2024</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5 Times Square</w:t>
            </w:r>
          </w:p>
        </w:tc>
        <w:tc>
          <w:tcPr>
            <w:tcW w:w="1120" w:type="dxa"/>
            <w:vAlign w:val="bottom"/>
          </w:tcPr>
          <w:p>
            <w:pPr>
              <w:jc w:val="right"/>
              <w:spacing w:after="0"/>
              <w:rPr>
                <w:sz w:val="20"/>
                <w:szCs w:val="20"/>
                <w:color w:val="auto"/>
              </w:rPr>
            </w:pPr>
            <w:r>
              <w:rPr>
                <w:rFonts w:ascii="Arial" w:cs="Arial" w:eastAsia="Arial" w:hAnsi="Arial"/>
                <w:sz w:val="16"/>
                <w:szCs w:val="16"/>
                <w:color w:val="auto"/>
              </w:rPr>
              <w:t>31.55 %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September 2024</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2026</w:t>
            </w:r>
          </w:p>
        </w:tc>
        <w:tc>
          <w:tcPr>
            <w:tcW w:w="6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10 East 53rd Street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2025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2025</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1515 Broadway</w:t>
            </w:r>
          </w:p>
        </w:tc>
        <w:tc>
          <w:tcPr>
            <w:tcW w:w="1120" w:type="dxa"/>
            <w:vAlign w:val="bottom"/>
          </w:tcPr>
          <w:p>
            <w:pPr>
              <w:jc w:val="right"/>
              <w:spacing w:after="0"/>
              <w:rPr>
                <w:sz w:val="20"/>
                <w:szCs w:val="20"/>
                <w:color w:val="auto"/>
              </w:rPr>
            </w:pPr>
            <w:r>
              <w:rPr>
                <w:rFonts w:ascii="Arial" w:cs="Arial" w:eastAsia="Arial" w:hAnsi="Arial"/>
                <w:sz w:val="16"/>
                <w:szCs w:val="16"/>
                <w:color w:val="auto"/>
              </w:rPr>
              <w:t>56.87 %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March 2025</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6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782,321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801,845</w:t>
            </w:r>
          </w:p>
        </w:tc>
        <w:tc>
          <w:tcPr>
            <w:tcW w:w="0" w:type="dxa"/>
            <w:vAlign w:val="bottom"/>
          </w:tcPr>
          <w:p>
            <w:pPr>
              <w:spacing w:after="0"/>
              <w:rPr>
                <w:sz w:val="1"/>
                <w:szCs w:val="1"/>
                <w:color w:val="auto"/>
              </w:rPr>
            </w:pPr>
          </w:p>
        </w:tc>
      </w:tr>
      <w:tr>
        <w:trPr>
          <w:trHeight w:val="215"/>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450 Park Avenue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2027</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11 Madison Avenue</w:t>
            </w:r>
          </w:p>
        </w:tc>
        <w:tc>
          <w:tcPr>
            <w:tcW w:w="1120" w:type="dxa"/>
            <w:vAlign w:val="bottom"/>
          </w:tcPr>
          <w:p>
            <w:pPr>
              <w:jc w:val="right"/>
              <w:spacing w:after="0"/>
              <w:rPr>
                <w:sz w:val="20"/>
                <w:szCs w:val="20"/>
                <w:color w:val="auto"/>
              </w:rPr>
            </w:pPr>
            <w:r>
              <w:rPr>
                <w:rFonts w:ascii="Arial" w:cs="Arial" w:eastAsia="Arial" w:hAnsi="Arial"/>
                <w:sz w:val="16"/>
                <w:szCs w:val="16"/>
                <w:color w:val="auto"/>
              </w:rPr>
              <w:t>60.00 %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September 2025</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2025</w:t>
            </w:r>
          </w:p>
        </w:tc>
        <w:tc>
          <w:tcPr>
            <w:tcW w:w="6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1,400,000</w:t>
            </w:r>
          </w:p>
        </w:tc>
        <w:tc>
          <w:tcPr>
            <w:tcW w:w="0" w:type="dxa"/>
            <w:vAlign w:val="bottom"/>
          </w:tcPr>
          <w:p>
            <w:pPr>
              <w:spacing w:after="0"/>
              <w:rPr>
                <w:sz w:val="1"/>
                <w:szCs w:val="1"/>
                <w:color w:val="auto"/>
              </w:rPr>
            </w:pPr>
          </w:p>
        </w:tc>
      </w:tr>
      <w:tr>
        <w:trPr>
          <w:trHeight w:val="215"/>
        </w:trPr>
        <w:tc>
          <w:tcPr>
            <w:tcW w:w="2580" w:type="dxa"/>
            <w:vAlign w:val="bottom"/>
            <w:gridSpan w:val="3"/>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One Madison Avenue </w:t>
            </w:r>
            <w:r>
              <w:rPr>
                <w:rFonts w:ascii="Arial" w:cs="Arial" w:eastAsia="Arial" w:hAnsi="Arial"/>
                <w:sz w:val="20"/>
                <w:szCs w:val="20"/>
                <w:color w:val="auto"/>
                <w:vertAlign w:val="superscript"/>
              </w:rPr>
              <w:t>(5)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2025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2026</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80" w:type="dxa"/>
            <w:vAlign w:val="bottom"/>
          </w:tcPr>
          <w:p>
            <w:pPr>
              <w:ind w:left="20"/>
              <w:spacing w:after="0"/>
              <w:rPr>
                <w:sz w:val="20"/>
                <w:szCs w:val="20"/>
                <w:color w:val="auto"/>
              </w:rPr>
            </w:pPr>
            <w:r>
              <w:rPr>
                <w:rFonts w:ascii="Arial" w:cs="Arial" w:eastAsia="Arial" w:hAnsi="Arial"/>
                <w:sz w:val="16"/>
                <w:szCs w:val="16"/>
                <w:color w:val="auto"/>
                <w:w w:val="89"/>
              </w:rPr>
              <w:t>800</w:t>
            </w: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Third Avenue</w:t>
            </w:r>
          </w:p>
        </w:tc>
        <w:tc>
          <w:tcPr>
            <w:tcW w:w="1120" w:type="dxa"/>
            <w:vAlign w:val="bottom"/>
          </w:tcPr>
          <w:p>
            <w:pPr>
              <w:jc w:val="right"/>
              <w:spacing w:after="0"/>
              <w:rPr>
                <w:sz w:val="20"/>
                <w:szCs w:val="20"/>
                <w:color w:val="auto"/>
              </w:rPr>
            </w:pPr>
            <w:r>
              <w:rPr>
                <w:rFonts w:ascii="Arial" w:cs="Arial" w:eastAsia="Arial" w:hAnsi="Arial"/>
                <w:sz w:val="16"/>
                <w:szCs w:val="16"/>
                <w:color w:val="auto"/>
              </w:rPr>
              <w:t>60.52 %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February 2026</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2026</w:t>
            </w:r>
          </w:p>
        </w:tc>
        <w:tc>
          <w:tcPr>
            <w:tcW w:w="6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177,000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177,000</w:t>
            </w:r>
          </w:p>
        </w:tc>
        <w:tc>
          <w:tcPr>
            <w:tcW w:w="0" w:type="dxa"/>
            <w:vAlign w:val="bottom"/>
          </w:tcPr>
          <w:p>
            <w:pPr>
              <w:spacing w:after="0"/>
              <w:rPr>
                <w:sz w:val="1"/>
                <w:szCs w:val="1"/>
                <w:color w:val="auto"/>
              </w:rPr>
            </w:pPr>
          </w:p>
        </w:tc>
      </w:tr>
      <w:tr>
        <w:trPr>
          <w:trHeight w:val="215"/>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Worldwide Plaza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2027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2027</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One Vanderbilt Avenue</w:t>
            </w:r>
          </w:p>
        </w:tc>
        <w:tc>
          <w:tcPr>
            <w:tcW w:w="1120" w:type="dxa"/>
            <w:vAlign w:val="bottom"/>
          </w:tcPr>
          <w:p>
            <w:pPr>
              <w:jc w:val="right"/>
              <w:spacing w:after="0"/>
              <w:rPr>
                <w:sz w:val="20"/>
                <w:szCs w:val="20"/>
                <w:color w:val="auto"/>
              </w:rPr>
            </w:pPr>
            <w:r>
              <w:rPr>
                <w:rFonts w:ascii="Arial" w:cs="Arial" w:eastAsia="Arial" w:hAnsi="Arial"/>
                <w:sz w:val="16"/>
                <w:szCs w:val="16"/>
                <w:color w:val="auto"/>
              </w:rPr>
              <w:t>71.01 %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July 2031</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2031</w:t>
            </w:r>
          </w:p>
        </w:tc>
        <w:tc>
          <w:tcPr>
            <w:tcW w:w="6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15"/>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650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Fifth Avenue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Stonehenge Portfolio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195,493</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Total fixed rate debt</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10,855,657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8,216,666</w:t>
            </w:r>
          </w:p>
        </w:tc>
        <w:tc>
          <w:tcPr>
            <w:tcW w:w="0" w:type="dxa"/>
            <w:vAlign w:val="bottom"/>
          </w:tcPr>
          <w:p>
            <w:pPr>
              <w:spacing w:after="0"/>
              <w:rPr>
                <w:sz w:val="1"/>
                <w:szCs w:val="1"/>
                <w:color w:val="auto"/>
              </w:rPr>
            </w:pPr>
          </w:p>
        </w:tc>
      </w:tr>
      <w:tr>
        <w:trPr>
          <w:trHeight w:val="213"/>
        </w:trPr>
        <w:tc>
          <w:tcPr>
            <w:tcW w:w="24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Floating Rate Debt: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1552 Broadway</w:t>
            </w:r>
          </w:p>
        </w:tc>
        <w:tc>
          <w:tcPr>
            <w:tcW w:w="1120" w:type="dxa"/>
            <w:vAlign w:val="bottom"/>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tcPr>
          <w:p>
            <w:pPr>
              <w:spacing w:after="0"/>
              <w:rPr>
                <w:sz w:val="18"/>
                <w:szCs w:val="18"/>
                <w:color w:val="auto"/>
              </w:rPr>
            </w:pPr>
          </w:p>
        </w:tc>
        <w:tc>
          <w:tcPr>
            <w:tcW w:w="1600" w:type="dxa"/>
            <w:vAlign w:val="bottom"/>
          </w:tcPr>
          <w:p>
            <w:pPr>
              <w:jc w:val="right"/>
              <w:spacing w:after="0" w:line="213" w:lineRule="exact"/>
              <w:rPr>
                <w:sz w:val="20"/>
                <w:szCs w:val="20"/>
                <w:color w:val="auto"/>
              </w:rPr>
            </w:pPr>
            <w:r>
              <w:rPr>
                <w:rFonts w:ascii="Arial" w:cs="Arial" w:eastAsia="Arial" w:hAnsi="Arial"/>
                <w:sz w:val="16"/>
                <w:szCs w:val="16"/>
                <w:color w:val="auto"/>
              </w:rPr>
              <w:t xml:space="preserve">December 2022 </w:t>
            </w:r>
            <w:r>
              <w:rPr>
                <w:rFonts w:ascii="Arial" w:cs="Arial" w:eastAsia="Arial" w:hAnsi="Arial"/>
                <w:sz w:val="20"/>
                <w:szCs w:val="20"/>
                <w:color w:val="auto"/>
                <w:vertAlign w:val="superscript"/>
              </w:rPr>
              <w:t>(6)</w:t>
            </w:r>
          </w:p>
        </w:tc>
        <w:tc>
          <w:tcPr>
            <w:tcW w:w="1620" w:type="dxa"/>
            <w:vAlign w:val="bottom"/>
            <w:gridSpan w:val="2"/>
          </w:tcPr>
          <w:p>
            <w:pPr>
              <w:jc w:val="right"/>
              <w:ind w:right="120"/>
              <w:spacing w:after="0" w:line="213" w:lineRule="exact"/>
              <w:rPr>
                <w:sz w:val="20"/>
                <w:szCs w:val="20"/>
                <w:color w:val="auto"/>
              </w:rPr>
            </w:pPr>
            <w:r>
              <w:rPr>
                <w:rFonts w:ascii="Arial" w:cs="Arial" w:eastAsia="Arial" w:hAnsi="Arial"/>
                <w:sz w:val="16"/>
                <w:szCs w:val="16"/>
                <w:color w:val="auto"/>
              </w:rPr>
              <w:t xml:space="preserve">December 2022 </w:t>
            </w:r>
            <w:r>
              <w:rPr>
                <w:rFonts w:ascii="Arial" w:cs="Arial" w:eastAsia="Arial" w:hAnsi="Arial"/>
                <w:sz w:val="20"/>
                <w:szCs w:val="20"/>
                <w:color w:val="auto"/>
                <w:vertAlign w:val="superscript"/>
              </w:rPr>
              <w:t>(6)</w:t>
            </w:r>
          </w:p>
        </w:tc>
        <w:tc>
          <w:tcPr>
            <w:tcW w:w="600" w:type="dxa"/>
            <w:vAlign w:val="bottom"/>
          </w:tcPr>
          <w:p>
            <w:pPr>
              <w:ind w:left="320"/>
              <w:spacing w:after="0"/>
              <w:rPr>
                <w:sz w:val="20"/>
                <w:szCs w:val="20"/>
                <w:color w:val="auto"/>
              </w:rPr>
            </w:pPr>
            <w:r>
              <w:rPr>
                <w:rFonts w:ascii="Arial" w:cs="Arial" w:eastAsia="Arial" w:hAnsi="Arial"/>
                <w:sz w:val="16"/>
                <w:szCs w:val="16"/>
                <w:color w:val="auto"/>
              </w:rPr>
              <w:t>L+</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193,132</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193,132</w:t>
            </w:r>
          </w:p>
        </w:tc>
        <w:tc>
          <w:tcPr>
            <w:tcW w:w="0" w:type="dxa"/>
            <w:vAlign w:val="bottom"/>
          </w:tcPr>
          <w:p>
            <w:pPr>
              <w:spacing w:after="0"/>
              <w:rPr>
                <w:sz w:val="1"/>
                <w:szCs w:val="1"/>
                <w:color w:val="auto"/>
              </w:rPr>
            </w:pPr>
          </w:p>
        </w:tc>
      </w:tr>
      <w:tr>
        <w:trPr>
          <w:trHeight w:val="213"/>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11 West 34th Street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3" w:lineRule="exact"/>
              <w:rPr>
                <w:sz w:val="20"/>
                <w:szCs w:val="20"/>
                <w:color w:val="auto"/>
              </w:rPr>
            </w:pPr>
            <w:r>
              <w:rPr>
                <w:rFonts w:ascii="Arial" w:cs="Arial" w:eastAsia="Arial" w:hAnsi="Arial"/>
                <w:sz w:val="16"/>
                <w:szCs w:val="16"/>
                <w:color w:val="auto"/>
              </w:rPr>
              <w:t xml:space="preserve">January 2023 </w:t>
            </w:r>
            <w:r>
              <w:rPr>
                <w:rFonts w:ascii="Arial" w:cs="Arial" w:eastAsia="Arial" w:hAnsi="Arial"/>
                <w:sz w:val="20"/>
                <w:szCs w:val="20"/>
                <w:color w:val="auto"/>
                <w:vertAlign w:val="superscript"/>
              </w:rPr>
              <w:t>(7)</w:t>
            </w:r>
          </w:p>
        </w:tc>
        <w:tc>
          <w:tcPr>
            <w:tcW w:w="1620" w:type="dxa"/>
            <w:vAlign w:val="bottom"/>
            <w:gridSpan w:val="2"/>
            <w:shd w:val="clear" w:color="auto" w:fill="CCEEFF"/>
          </w:tcPr>
          <w:p>
            <w:pPr>
              <w:jc w:val="right"/>
              <w:ind w:right="120"/>
              <w:spacing w:after="0" w:line="213" w:lineRule="exact"/>
              <w:rPr>
                <w:sz w:val="20"/>
                <w:szCs w:val="20"/>
                <w:color w:val="auto"/>
              </w:rPr>
            </w:pPr>
            <w:r>
              <w:rPr>
                <w:rFonts w:ascii="Arial" w:cs="Arial" w:eastAsia="Arial" w:hAnsi="Arial"/>
                <w:sz w:val="16"/>
                <w:szCs w:val="16"/>
                <w:color w:val="auto"/>
              </w:rPr>
              <w:t xml:space="preserve">January 2023 </w:t>
            </w:r>
            <w:r>
              <w:rPr>
                <w:rFonts w:ascii="Arial" w:cs="Arial" w:eastAsia="Arial" w:hAnsi="Arial"/>
                <w:sz w:val="20"/>
                <w:szCs w:val="20"/>
                <w:color w:val="auto"/>
                <w:vertAlign w:val="superscript"/>
              </w:rPr>
              <w:t>(7)</w:t>
            </w: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r>
        <w:trPr>
          <w:trHeight w:val="211"/>
        </w:trPr>
        <w:tc>
          <w:tcPr>
            <w:tcW w:w="280" w:type="dxa"/>
            <w:vAlign w:val="bottom"/>
          </w:tcPr>
          <w:p>
            <w:pPr>
              <w:ind w:left="20"/>
              <w:spacing w:after="0"/>
              <w:rPr>
                <w:sz w:val="20"/>
                <w:szCs w:val="20"/>
                <w:color w:val="auto"/>
              </w:rPr>
            </w:pPr>
            <w:r>
              <w:rPr>
                <w:rFonts w:ascii="Arial" w:cs="Arial" w:eastAsia="Arial" w:hAnsi="Arial"/>
                <w:sz w:val="16"/>
                <w:szCs w:val="16"/>
                <w:color w:val="auto"/>
                <w:w w:val="89"/>
              </w:rPr>
              <w:t>650</w:t>
            </w: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Fifth Avenue</w:t>
            </w:r>
          </w:p>
        </w:tc>
        <w:tc>
          <w:tcPr>
            <w:tcW w:w="1120" w:type="dxa"/>
            <w:vAlign w:val="bottom"/>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April 2023</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600" w:type="dxa"/>
            <w:vAlign w:val="bottom"/>
          </w:tcPr>
          <w:p>
            <w:pPr>
              <w:ind w:left="340"/>
              <w:spacing w:after="0"/>
              <w:rPr>
                <w:sz w:val="20"/>
                <w:szCs w:val="20"/>
                <w:color w:val="auto"/>
              </w:rPr>
            </w:pPr>
            <w:r>
              <w:rPr>
                <w:rFonts w:ascii="Arial" w:cs="Arial" w:eastAsia="Arial" w:hAnsi="Arial"/>
                <w:sz w:val="16"/>
                <w:szCs w:val="16"/>
                <w:color w:val="auto"/>
              </w:rPr>
              <w:t>S+</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210,000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121</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Greene Street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2023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May 2023</w:t>
            </w:r>
          </w:p>
        </w:tc>
        <w:tc>
          <w:tcPr>
            <w:tcW w:w="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13,228</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115 Spring Street</w:t>
            </w:r>
          </w:p>
        </w:tc>
        <w:tc>
          <w:tcPr>
            <w:tcW w:w="1120" w:type="dxa"/>
            <w:vAlign w:val="bottom"/>
          </w:tcPr>
          <w:p>
            <w:pPr>
              <w:jc w:val="right"/>
              <w:spacing w:after="0"/>
              <w:rPr>
                <w:sz w:val="20"/>
                <w:szCs w:val="20"/>
                <w:color w:val="auto"/>
              </w:rPr>
            </w:pPr>
            <w:r>
              <w:rPr>
                <w:rFonts w:ascii="Arial" w:cs="Arial" w:eastAsia="Arial" w:hAnsi="Arial"/>
                <w:sz w:val="16"/>
                <w:szCs w:val="16"/>
                <w:color w:val="auto"/>
              </w:rPr>
              <w:t>51.00 %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September 2023</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2023</w:t>
            </w:r>
          </w:p>
        </w:tc>
        <w:tc>
          <w:tcPr>
            <w:tcW w:w="600" w:type="dxa"/>
            <w:vAlign w:val="bottom"/>
          </w:tcPr>
          <w:p>
            <w:pPr>
              <w:ind w:left="320"/>
              <w:spacing w:after="0"/>
              <w:rPr>
                <w:sz w:val="20"/>
                <w:szCs w:val="20"/>
                <w:color w:val="auto"/>
              </w:rPr>
            </w:pPr>
            <w:r>
              <w:rPr>
                <w:rFonts w:ascii="Arial" w:cs="Arial" w:eastAsia="Arial" w:hAnsi="Arial"/>
                <w:sz w:val="16"/>
                <w:szCs w:val="16"/>
                <w:color w:val="auto"/>
              </w:rPr>
              <w:t>L+</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65,550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65,550</w:t>
            </w:r>
          </w:p>
        </w:tc>
        <w:tc>
          <w:tcPr>
            <w:tcW w:w="0" w:type="dxa"/>
            <w:vAlign w:val="bottom"/>
          </w:tcPr>
          <w:p>
            <w:pPr>
              <w:spacing w:after="0"/>
              <w:rPr>
                <w:sz w:val="1"/>
                <w:szCs w:val="1"/>
                <w:color w:val="auto"/>
              </w:rPr>
            </w:pPr>
          </w:p>
        </w:tc>
      </w:tr>
      <w:tr>
        <w:trPr>
          <w:trHeight w:val="215"/>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 Herald Square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2023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2023</w:t>
            </w:r>
          </w:p>
        </w:tc>
        <w:tc>
          <w:tcPr>
            <w:tcW w:w="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200,989</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100 Park Avenue</w:t>
            </w:r>
          </w:p>
        </w:tc>
        <w:tc>
          <w:tcPr>
            <w:tcW w:w="1120" w:type="dxa"/>
            <w:vAlign w:val="bottom"/>
          </w:tcPr>
          <w:p>
            <w:pPr>
              <w:jc w:val="right"/>
              <w:spacing w:after="0"/>
              <w:rPr>
                <w:sz w:val="20"/>
                <w:szCs w:val="20"/>
                <w:color w:val="auto"/>
              </w:rPr>
            </w:pPr>
            <w:r>
              <w:rPr>
                <w:rFonts w:ascii="Arial" w:cs="Arial" w:eastAsia="Arial" w:hAnsi="Arial"/>
                <w:sz w:val="16"/>
                <w:szCs w:val="16"/>
                <w:color w:val="auto"/>
              </w:rPr>
              <w:t>49.90 %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December 2023</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2025</w:t>
            </w:r>
          </w:p>
        </w:tc>
        <w:tc>
          <w:tcPr>
            <w:tcW w:w="600" w:type="dxa"/>
            <w:vAlign w:val="bottom"/>
          </w:tcPr>
          <w:p>
            <w:pPr>
              <w:ind w:left="320"/>
              <w:spacing w:after="0"/>
              <w:rPr>
                <w:sz w:val="20"/>
                <w:szCs w:val="20"/>
                <w:color w:val="auto"/>
              </w:rPr>
            </w:pPr>
            <w:r>
              <w:rPr>
                <w:rFonts w:ascii="Arial" w:cs="Arial" w:eastAsia="Arial" w:hAnsi="Arial"/>
                <w:sz w:val="16"/>
                <w:szCs w:val="16"/>
                <w:color w:val="auto"/>
              </w:rPr>
              <w:t>L+</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360,000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360,000</w:t>
            </w:r>
          </w:p>
        </w:tc>
        <w:tc>
          <w:tcPr>
            <w:tcW w:w="0" w:type="dxa"/>
            <w:vAlign w:val="bottom"/>
          </w:tcPr>
          <w:p>
            <w:pPr>
              <w:spacing w:after="0"/>
              <w:rPr>
                <w:sz w:val="1"/>
                <w:szCs w:val="1"/>
                <w:color w:val="auto"/>
              </w:rPr>
            </w:pPr>
          </w:p>
        </w:tc>
      </w:tr>
      <w:tr>
        <w:trPr>
          <w:trHeight w:val="215"/>
        </w:trPr>
        <w:tc>
          <w:tcPr>
            <w:tcW w:w="2580" w:type="dxa"/>
            <w:vAlign w:val="bottom"/>
            <w:gridSpan w:val="3"/>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15 Beekman </w:t>
            </w:r>
            <w:r>
              <w:rPr>
                <w:rFonts w:ascii="Arial" w:cs="Arial" w:eastAsia="Arial" w:hAnsi="Arial"/>
                <w:sz w:val="20"/>
                <w:szCs w:val="20"/>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2024</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2025</w:t>
            </w: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86,738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43,566</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5 Times Square</w:t>
            </w:r>
          </w:p>
        </w:tc>
        <w:tc>
          <w:tcPr>
            <w:tcW w:w="1120" w:type="dxa"/>
            <w:vAlign w:val="bottom"/>
          </w:tcPr>
          <w:p>
            <w:pPr>
              <w:jc w:val="right"/>
              <w:spacing w:after="0"/>
              <w:rPr>
                <w:sz w:val="20"/>
                <w:szCs w:val="20"/>
                <w:color w:val="auto"/>
              </w:rPr>
            </w:pPr>
            <w:r>
              <w:rPr>
                <w:rFonts w:ascii="Arial" w:cs="Arial" w:eastAsia="Arial" w:hAnsi="Arial"/>
                <w:sz w:val="16"/>
                <w:szCs w:val="16"/>
                <w:color w:val="auto"/>
              </w:rPr>
              <w:t>31.55 %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September 2024</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2026</w:t>
            </w:r>
          </w:p>
        </w:tc>
        <w:tc>
          <w:tcPr>
            <w:tcW w:w="600" w:type="dxa"/>
            <w:vAlign w:val="bottom"/>
          </w:tcPr>
          <w:p>
            <w:pPr>
              <w:ind w:left="340"/>
              <w:spacing w:after="0"/>
              <w:rPr>
                <w:sz w:val="20"/>
                <w:szCs w:val="20"/>
                <w:color w:val="auto"/>
              </w:rPr>
            </w:pPr>
            <w:r>
              <w:rPr>
                <w:rFonts w:ascii="Arial" w:cs="Arial" w:eastAsia="Arial" w:hAnsi="Arial"/>
                <w:sz w:val="16"/>
                <w:szCs w:val="16"/>
                <w:color w:val="auto"/>
              </w:rPr>
              <w:t>S+</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495,924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21 East 66th Street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2033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2033</w:t>
            </w: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1"/>
        </w:trPr>
        <w:tc>
          <w:tcPr>
            <w:tcW w:w="280" w:type="dxa"/>
            <w:vAlign w:val="bottom"/>
          </w:tcPr>
          <w:p>
            <w:pPr>
              <w:ind w:left="20"/>
              <w:spacing w:after="0"/>
              <w:rPr>
                <w:sz w:val="20"/>
                <w:szCs w:val="20"/>
                <w:color w:val="auto"/>
              </w:rPr>
            </w:pPr>
            <w:r>
              <w:rPr>
                <w:rFonts w:ascii="Arial" w:cs="Arial" w:eastAsia="Arial" w:hAnsi="Arial"/>
                <w:sz w:val="16"/>
                <w:szCs w:val="16"/>
                <w:color w:val="auto"/>
                <w:w w:val="89"/>
              </w:rPr>
              <w:t>220</w:t>
            </w: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East 42nd Street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510,000</w:t>
            </w:r>
          </w:p>
        </w:tc>
        <w:tc>
          <w:tcPr>
            <w:tcW w:w="0" w:type="dxa"/>
            <w:vAlign w:val="bottom"/>
          </w:tcPr>
          <w:p>
            <w:pPr>
              <w:spacing w:after="0"/>
              <w:rPr>
                <w:sz w:val="1"/>
                <w:szCs w:val="1"/>
                <w:color w:val="auto"/>
              </w:rPr>
            </w:pPr>
          </w:p>
        </w:tc>
      </w:tr>
      <w:tr>
        <w:trPr>
          <w:trHeight w:val="215"/>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280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Park Avenue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211"/>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10 East 53rd Street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220,000</w:t>
            </w:r>
          </w:p>
        </w:tc>
        <w:tc>
          <w:tcPr>
            <w:tcW w:w="0" w:type="dxa"/>
            <w:vAlign w:val="bottom"/>
          </w:tcPr>
          <w:p>
            <w:pPr>
              <w:spacing w:after="0"/>
              <w:rPr>
                <w:sz w:val="1"/>
                <w:szCs w:val="1"/>
                <w:color w:val="auto"/>
              </w:rPr>
            </w:pPr>
          </w:p>
        </w:tc>
      </w:tr>
      <w:tr>
        <w:trPr>
          <w:trHeight w:val="215"/>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One Madison Avenue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169,629</w:t>
            </w:r>
          </w:p>
        </w:tc>
        <w:tc>
          <w:tcPr>
            <w:tcW w:w="0" w:type="dxa"/>
            <w:vAlign w:val="bottom"/>
          </w:tcPr>
          <w:p>
            <w:pPr>
              <w:spacing w:after="0"/>
              <w:rPr>
                <w:sz w:val="1"/>
                <w:szCs w:val="1"/>
                <w:color w:val="auto"/>
              </w:rPr>
            </w:pPr>
          </w:p>
        </w:tc>
      </w:tr>
      <w:tr>
        <w:trPr>
          <w:trHeight w:val="204"/>
        </w:trPr>
        <w:tc>
          <w:tcPr>
            <w:tcW w:w="2580" w:type="dxa"/>
            <w:vAlign w:val="bottom"/>
            <w:gridSpan w:val="3"/>
          </w:tcPr>
          <w:p>
            <w:pPr>
              <w:ind w:left="140"/>
              <w:spacing w:after="0"/>
              <w:rPr>
                <w:sz w:val="20"/>
                <w:szCs w:val="20"/>
                <w:color w:val="auto"/>
              </w:rPr>
            </w:pPr>
            <w:r>
              <w:rPr>
                <w:rFonts w:ascii="Arial" w:cs="Arial" w:eastAsia="Arial" w:hAnsi="Arial"/>
                <w:sz w:val="16"/>
                <w:szCs w:val="16"/>
                <w:color w:val="auto"/>
              </w:rPr>
              <w:t>Total floating rate debt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1,629,980</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2,999,726</w:t>
            </w:r>
          </w:p>
        </w:tc>
        <w:tc>
          <w:tcPr>
            <w:tcW w:w="0" w:type="dxa"/>
            <w:vAlign w:val="bottom"/>
          </w:tcPr>
          <w:p>
            <w:pPr>
              <w:spacing w:after="0"/>
              <w:rPr>
                <w:sz w:val="1"/>
                <w:szCs w:val="1"/>
                <w:color w:val="auto"/>
              </w:rPr>
            </w:pPr>
          </w:p>
        </w:tc>
      </w:tr>
      <w:tr>
        <w:trPr>
          <w:trHeight w:val="215"/>
        </w:trPr>
        <w:tc>
          <w:tcPr>
            <w:tcW w:w="38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w w:val="98"/>
              </w:rPr>
              <w:t>Total joint venture mortgages and other loans payable</w:t>
            </w: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12,485,637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11,216,392</w:t>
            </w:r>
          </w:p>
        </w:tc>
        <w:tc>
          <w:tcPr>
            <w:tcW w:w="0" w:type="dxa"/>
            <w:vAlign w:val="bottom"/>
          </w:tcPr>
          <w:p>
            <w:pPr>
              <w:spacing w:after="0"/>
              <w:rPr>
                <w:sz w:val="1"/>
                <w:szCs w:val="1"/>
                <w:color w:val="auto"/>
              </w:rPr>
            </w:pPr>
          </w:p>
        </w:tc>
      </w:tr>
      <w:tr>
        <w:trPr>
          <w:trHeight w:val="211"/>
        </w:trPr>
        <w:tc>
          <w:tcPr>
            <w:tcW w:w="25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Deferred financing costs, net</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(130,516)</w:t>
            </w:r>
          </w:p>
        </w:tc>
        <w:tc>
          <w:tcPr>
            <w:tcW w:w="0" w:type="dxa"/>
            <w:vAlign w:val="bottom"/>
          </w:tcPr>
          <w:p>
            <w:pPr>
              <w:spacing w:after="0"/>
              <w:rPr>
                <w:sz w:val="1"/>
                <w:szCs w:val="1"/>
                <w:color w:val="auto"/>
              </w:rPr>
            </w:pPr>
          </w:p>
        </w:tc>
      </w:tr>
      <w:tr>
        <w:trPr>
          <w:trHeight w:val="145"/>
        </w:trPr>
        <w:tc>
          <w:tcPr>
            <w:tcW w:w="3800" w:type="dxa"/>
            <w:vAlign w:val="bottom"/>
            <w:gridSpan w:val="5"/>
            <w:shd w:val="clear" w:color="auto" w:fill="CCEEFF"/>
          </w:tcPr>
          <w:p>
            <w:pPr>
              <w:ind w:left="20"/>
              <w:spacing w:after="0" w:line="145" w:lineRule="exact"/>
              <w:rPr>
                <w:sz w:val="20"/>
                <w:szCs w:val="20"/>
                <w:color w:val="auto"/>
              </w:rPr>
            </w:pPr>
            <w:r>
              <w:rPr>
                <w:rFonts w:ascii="Arial" w:cs="Arial" w:eastAsia="Arial" w:hAnsi="Arial"/>
                <w:sz w:val="16"/>
                <w:szCs w:val="16"/>
                <w:color w:val="auto"/>
                <w:w w:val="97"/>
              </w:rPr>
              <w:t>Total joint venture mortgages and other loans payable,</w:t>
            </w:r>
          </w:p>
        </w:tc>
        <w:tc>
          <w:tcPr>
            <w:tcW w:w="16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12,348,954</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11,085,876</w:t>
            </w:r>
          </w:p>
        </w:tc>
        <w:tc>
          <w:tcPr>
            <w:tcW w:w="0" w:type="dxa"/>
            <w:vAlign w:val="bottom"/>
          </w:tcPr>
          <w:p>
            <w:pPr>
              <w:spacing w:after="0"/>
              <w:rPr>
                <w:sz w:val="1"/>
                <w:szCs w:val="1"/>
                <w:color w:val="auto"/>
              </w:rPr>
            </w:pPr>
          </w:p>
        </w:tc>
      </w:tr>
      <w:tr>
        <w:trPr>
          <w:trHeight w:val="203"/>
        </w:trPr>
        <w:tc>
          <w:tcPr>
            <w:tcW w:w="2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net</w:t>
            </w:r>
          </w:p>
        </w:tc>
        <w:tc>
          <w:tcPr>
            <w:tcW w:w="2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0" w:hanging="394"/>
        <w:spacing w:after="0" w:line="263" w:lineRule="auto"/>
        <w:tabs>
          <w:tab w:leader="none" w:pos="392" w:val="left"/>
        </w:tabs>
        <w:numPr>
          <w:ilvl w:val="0"/>
          <w:numId w:val="57"/>
        </w:numPr>
        <w:rPr>
          <w:rFonts w:ascii="Arial" w:cs="Arial" w:eastAsia="Arial" w:hAnsi="Arial"/>
          <w:sz w:val="14"/>
          <w:szCs w:val="14"/>
          <w:color w:val="auto"/>
        </w:rPr>
      </w:pPr>
      <w:r>
        <w:rPr>
          <w:rFonts w:ascii="Arial" w:cs="Arial" w:eastAsia="Arial" w:hAnsi="Arial"/>
          <w:sz w:val="14"/>
          <w:szCs w:val="14"/>
          <w:color w:val="auto"/>
        </w:rPr>
        <w:t>Economic interest represents the Company's interests in the joint venture as of December 31, 2022. Changes in ownership or economic interests, if any, within the current year are disclosed in the notes to the investment in unconsolidated joint ventures table above.</w:t>
      </w:r>
    </w:p>
    <w:p>
      <w:pPr>
        <w:ind w:left="400" w:hanging="394"/>
        <w:spacing w:after="0" w:line="257" w:lineRule="auto"/>
        <w:tabs>
          <w:tab w:leader="none" w:pos="392"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Reflects exercise of all available options. The ability to exercise extension options may be subject to certain conditions, including meeting tests based on the operating performance of the property.</w:t>
      </w:r>
    </w:p>
    <w:p>
      <w:pPr>
        <w:spacing w:after="0" w:line="1" w:lineRule="exact"/>
        <w:rPr>
          <w:rFonts w:ascii="Arial" w:cs="Arial" w:eastAsia="Arial" w:hAnsi="Arial"/>
          <w:sz w:val="14"/>
          <w:szCs w:val="14"/>
          <w:color w:val="auto"/>
        </w:rPr>
      </w:pPr>
    </w:p>
    <w:p>
      <w:pPr>
        <w:ind w:left="400" w:hanging="394"/>
        <w:spacing w:after="0" w:line="256" w:lineRule="auto"/>
        <w:tabs>
          <w:tab w:leader="none" w:pos="392"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Interest rates as of December 31, 2022, taking into account interest rate hedges in effect during the period. Floating rate debt is presented with the stated spread over the 30-day LIBOR ("L"), Term SOFR ("S") or 1-year Treasury ("T").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4" w:lineRule="exact"/>
        <w:rPr>
          <w:sz w:val="20"/>
          <w:szCs w:val="20"/>
          <w:color w:val="auto"/>
        </w:rPr>
      </w:pPr>
    </w:p>
    <w:p>
      <w:pPr>
        <w:ind w:left="400" w:hanging="394"/>
        <w:spacing w:after="0"/>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loan matured in July 2022. The Company is in discussions with the lender on a resolution.</w:t>
      </w:r>
    </w:p>
    <w:p>
      <w:pPr>
        <w:spacing w:after="0" w:line="19" w:lineRule="exact"/>
        <w:rPr>
          <w:rFonts w:ascii="Arial" w:cs="Arial" w:eastAsia="Arial" w:hAnsi="Arial"/>
          <w:sz w:val="14"/>
          <w:szCs w:val="14"/>
          <w:color w:val="auto"/>
        </w:rPr>
      </w:pPr>
    </w:p>
    <w:p>
      <w:pPr>
        <w:ind w:left="400" w:hanging="394"/>
        <w:spacing w:after="0" w:line="270" w:lineRule="auto"/>
        <w:tabs>
          <w:tab w:leader="none" w:pos="392"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loan is a $1.25 billion construction facility with an initial term of five years with one, one year extension option. Advances under the loan are subject to costs incurred. In conjunction with the loan, we provided partial guarantees for interest and principal payments, the amounts of which are based on certain construction milestones and operating metrics.</w:t>
      </w:r>
    </w:p>
    <w:p>
      <w:pPr>
        <w:spacing w:after="0" w:line="1" w:lineRule="exact"/>
        <w:rPr>
          <w:rFonts w:ascii="Arial" w:cs="Arial" w:eastAsia="Arial" w:hAnsi="Arial"/>
          <w:sz w:val="13"/>
          <w:szCs w:val="13"/>
          <w:color w:val="auto"/>
        </w:rPr>
      </w:pPr>
    </w:p>
    <w:p>
      <w:pPr>
        <w:ind w:left="400" w:hanging="394"/>
        <w:spacing w:after="0"/>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 January 2023, the maturity date of the loan was extended by one month.</w:t>
      </w:r>
    </w:p>
    <w:p>
      <w:pPr>
        <w:spacing w:after="0" w:line="7" w:lineRule="exact"/>
        <w:rPr>
          <w:rFonts w:ascii="Arial" w:cs="Arial" w:eastAsia="Arial" w:hAnsi="Arial"/>
          <w:sz w:val="14"/>
          <w:szCs w:val="14"/>
          <w:color w:val="auto"/>
        </w:rPr>
      </w:pPr>
    </w:p>
    <w:p>
      <w:pPr>
        <w:ind w:left="400" w:hanging="394"/>
        <w:spacing w:after="0"/>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loan matured in February 2023. The Company is in discussions with the lender on a resolution.</w:t>
      </w:r>
    </w:p>
    <w:p>
      <w:pPr>
        <w:spacing w:after="0" w:line="12" w:lineRule="exact"/>
        <w:rPr>
          <w:rFonts w:ascii="Arial" w:cs="Arial" w:eastAsia="Arial" w:hAnsi="Arial"/>
          <w:sz w:val="14"/>
          <w:szCs w:val="14"/>
          <w:color w:val="auto"/>
        </w:rPr>
      </w:pPr>
    </w:p>
    <w:p>
      <w:pPr>
        <w:ind w:left="400" w:hanging="394"/>
        <w:spacing w:after="0"/>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loan is a $125.0 million construction facility. Advances under the loan are subject to costs incurred.</w:t>
      </w:r>
    </w:p>
    <w:p>
      <w:pPr>
        <w:spacing w:after="0" w:line="251"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We are entitled to receive fees for providing management, leasing, construction supervision and asset management services to certain of our joint ventures. We earned $24.0 million, $19.6 million and $15.8 million from these services, net of our ownership share of the joint ventures, for the years ended December 31, 2022, 2021, and 2020, respectively. In addition, we have the ability to earn incentive fees based on the ultimate financial performance of certain of the joint venture properties.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combined balance sheets for the unconsolidated joint ventures, as of December 31, 2022 and 2021,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2"/>
              </w:rPr>
              <w:t>December 31, 2021</w:t>
            </w:r>
          </w:p>
        </w:tc>
      </w:tr>
      <w:tr>
        <w:trPr>
          <w:trHeight w:val="195"/>
        </w:trPr>
        <w:tc>
          <w:tcPr>
            <w:tcW w:w="73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6"/>
                <w:szCs w:val="16"/>
                <w:b w:val="1"/>
                <w:bCs w:val="1"/>
                <w:i w:val="1"/>
                <w:iCs w:val="1"/>
                <w:color w:val="auto"/>
              </w:rPr>
              <w:t xml:space="preserve">Assets </w:t>
            </w:r>
            <w:r>
              <w:rPr>
                <w:rFonts w:ascii="Arial" w:cs="Arial" w:eastAsia="Arial" w:hAnsi="Arial"/>
                <w:sz w:val="20"/>
                <w:szCs w:val="20"/>
                <w:b w:val="1"/>
                <w:bCs w:val="1"/>
                <w:i w:val="1"/>
                <w:iCs w:val="1"/>
                <w:color w:val="auto"/>
                <w:vertAlign w:val="superscript"/>
              </w:rPr>
              <w:t>(1)</w:t>
            </w:r>
          </w:p>
        </w:tc>
        <w:tc>
          <w:tcPr>
            <w:tcW w:w="1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6"/>
                <w:szCs w:val="16"/>
                <w:color w:val="auto"/>
              </w:rPr>
              <w:t>Commercial real estate property, net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15,989,642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14,763,874</w:t>
            </w:r>
          </w:p>
        </w:tc>
      </w:tr>
      <w:tr>
        <w:trPr>
          <w:trHeight w:val="215"/>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restricted cash</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709,299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768,510</w:t>
            </w:r>
          </w:p>
        </w:tc>
      </w:tr>
      <w:tr>
        <w:trPr>
          <w:trHeight w:val="211"/>
        </w:trPr>
        <w:tc>
          <w:tcPr>
            <w:tcW w:w="7320" w:type="dxa"/>
            <w:vAlign w:val="bottom"/>
          </w:tcPr>
          <w:p>
            <w:pPr>
              <w:ind w:left="20"/>
              <w:spacing w:after="0"/>
              <w:rPr>
                <w:sz w:val="20"/>
                <w:szCs w:val="20"/>
                <w:color w:val="auto"/>
              </w:rPr>
            </w:pPr>
            <w:r>
              <w:rPr>
                <w:rFonts w:ascii="Arial" w:cs="Arial" w:eastAsia="Arial" w:hAnsi="Arial"/>
                <w:sz w:val="16"/>
                <w:szCs w:val="16"/>
                <w:color w:val="auto"/>
              </w:rPr>
              <w:t>Tenant and other receivables, related party receivables, and deferred rents receivable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601,552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533,455</w:t>
            </w:r>
          </w:p>
        </w:tc>
      </w:tr>
      <w:tr>
        <w:trPr>
          <w:trHeight w:val="213"/>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2,551,426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1,776,030</w:t>
            </w:r>
          </w:p>
        </w:tc>
      </w:tr>
      <w:tr>
        <w:trPr>
          <w:trHeight w:val="209"/>
        </w:trPr>
        <w:tc>
          <w:tcPr>
            <w:tcW w:w="732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19,851,919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17,841,869</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0"/>
        </w:trPr>
        <w:tc>
          <w:tcPr>
            <w:tcW w:w="73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i w:val="1"/>
                <w:iCs w:val="1"/>
                <w:color w:val="auto"/>
              </w:rPr>
              <w:t xml:space="preserve">Liabilities and equity </w:t>
            </w:r>
            <w:r>
              <w:rPr>
                <w:rFonts w:ascii="Arial" w:cs="Arial" w:eastAsia="Arial" w:hAnsi="Arial"/>
                <w:sz w:val="20"/>
                <w:szCs w:val="20"/>
                <w:b w:val="1"/>
                <w:bCs w:val="1"/>
                <w:i w:val="1"/>
                <w:iCs w:val="1"/>
                <w:color w:val="auto"/>
                <w:vertAlign w:val="superscript"/>
              </w:rPr>
              <w:t>(1)</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6"/>
                <w:szCs w:val="16"/>
                <w:color w:val="auto"/>
              </w:rPr>
              <w:t>Mortgages and other loans payable, net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12,348,954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11,085,876</w:t>
            </w:r>
          </w:p>
        </w:tc>
      </w:tr>
      <w:tr>
        <w:trPr>
          <w:trHeight w:val="215"/>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revenue/gain</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1,077,901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1,158,242</w:t>
            </w:r>
          </w:p>
        </w:tc>
      </w:tr>
      <w:tr>
        <w:trPr>
          <w:trHeight w:val="211"/>
        </w:trPr>
        <w:tc>
          <w:tcPr>
            <w:tcW w:w="732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1,000,356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980,595</w:t>
            </w:r>
          </w:p>
        </w:tc>
      </w:tr>
      <w:tr>
        <w:trPr>
          <w:trHeight w:val="215"/>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456,537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352,499</w:t>
            </w:r>
          </w:p>
        </w:tc>
      </w:tr>
      <w:tr>
        <w:trPr>
          <w:trHeight w:val="211"/>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4,968,171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4,264,657</w:t>
            </w:r>
          </w:p>
        </w:tc>
      </w:tr>
      <w:tr>
        <w:trPr>
          <w:trHeight w:val="234"/>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19,851,919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17,841,869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7320" w:type="dxa"/>
            <w:vAlign w:val="bottom"/>
          </w:tcPr>
          <w:p>
            <w:pPr>
              <w:ind w:left="20"/>
              <w:spacing w:after="0"/>
              <w:rPr>
                <w:sz w:val="20"/>
                <w:szCs w:val="20"/>
                <w:color w:val="auto"/>
              </w:rPr>
            </w:pPr>
            <w:r>
              <w:rPr>
                <w:rFonts w:ascii="Arial" w:cs="Arial" w:eastAsia="Arial" w:hAnsi="Arial"/>
                <w:sz w:val="16"/>
                <w:szCs w:val="16"/>
                <w:color w:val="auto"/>
              </w:rPr>
              <w:t>Company's investments in unconsolidated joint ventures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3,190,137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2,997,934</w:t>
            </w: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0" w:hanging="394"/>
        <w:spacing w:after="0" w:line="374" w:lineRule="auto"/>
        <w:tabs>
          <w:tab w:leader="none" w:pos="392" w:val="left"/>
        </w:tabs>
        <w:numPr>
          <w:ilvl w:val="0"/>
          <w:numId w:val="59"/>
        </w:numPr>
        <w:rPr>
          <w:rFonts w:ascii="Arial" w:cs="Arial" w:eastAsia="Arial" w:hAnsi="Arial"/>
          <w:sz w:val="12"/>
          <w:szCs w:val="12"/>
          <w:color w:val="auto"/>
        </w:rPr>
      </w:pPr>
      <w:r>
        <w:rPr>
          <w:rFonts w:ascii="Arial" w:cs="Arial" w:eastAsia="Arial" w:hAnsi="Arial"/>
          <w:sz w:val="12"/>
          <w:szCs w:val="12"/>
          <w:color w:val="auto"/>
        </w:rPr>
        <w:t>As of December 31, 2022, $547.6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spacing w:after="0" w:line="29"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The combined statements of operations for the unconsolidated joint ventures, from acquisition date through the years ended December 31, 2022, 2021, and 2020 are as follows (unaudited,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07"/>
        </w:trPr>
        <w:tc>
          <w:tcPr>
            <w:tcW w:w="6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2020</w:t>
            </w: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1,339,364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1,228,364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1,133,217</w:t>
            </w:r>
          </w:p>
        </w:tc>
      </w:tr>
      <w:tr>
        <w:trPr>
          <w:trHeight w:val="204"/>
        </w:trPr>
        <w:tc>
          <w:tcPr>
            <w:tcW w:w="6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240,002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203,332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180,201</w:t>
            </w:r>
          </w:p>
        </w:tc>
      </w:tr>
      <w:tr>
        <w:trPr>
          <w:trHeight w:val="215"/>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252,806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220,633</w:t>
            </w:r>
          </w:p>
        </w:tc>
      </w:tr>
      <w:tr>
        <w:trPr>
          <w:trHeight w:val="211"/>
        </w:trPr>
        <w:tc>
          <w:tcPr>
            <w:tcW w:w="6220" w:type="dxa"/>
            <w:vAlign w:val="bottom"/>
          </w:tcPr>
          <w:p>
            <w:pPr>
              <w:ind w:left="20"/>
              <w:spacing w:after="0"/>
              <w:rPr>
                <w:sz w:val="20"/>
                <w:szCs w:val="20"/>
                <w:color w:val="auto"/>
              </w:rPr>
            </w:pPr>
            <w:r>
              <w:rPr>
                <w:rFonts w:ascii="Arial" w:cs="Arial" w:eastAsia="Arial" w:hAnsi="Arial"/>
                <w:sz w:val="16"/>
                <w:szCs w:val="16"/>
                <w:color w:val="auto"/>
              </w:rPr>
              <w:t>Operating lease rent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26,152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22,576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24,134</w:t>
            </w:r>
          </w:p>
        </w:tc>
      </w:tr>
      <w:tr>
        <w:trPr>
          <w:trHeight w:val="215"/>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 of interest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431,865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325,500</w:t>
            </w:r>
          </w:p>
        </w:tc>
      </w:tr>
      <w:tr>
        <w:trPr>
          <w:trHeight w:val="211"/>
        </w:trPr>
        <w:tc>
          <w:tcPr>
            <w:tcW w:w="622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27,754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31,423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20,427</w:t>
            </w:r>
          </w:p>
        </w:tc>
      </w:tr>
      <w:tr>
        <w:trPr>
          <w:trHeight w:val="215"/>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465,100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407,834</w:t>
            </w:r>
          </w:p>
        </w:tc>
      </w:tr>
      <w:tr>
        <w:trPr>
          <w:trHeight w:val="204"/>
        </w:trPr>
        <w:tc>
          <w:tcPr>
            <w:tcW w:w="6220" w:type="dxa"/>
            <w:vAlign w:val="bottom"/>
          </w:tcPr>
          <w:p>
            <w:pPr>
              <w:ind w:left="140"/>
              <w:spacing w:after="0"/>
              <w:rPr>
                <w:sz w:val="20"/>
                <w:szCs w:val="20"/>
                <w:color w:val="auto"/>
              </w:rPr>
            </w:pPr>
            <w:r>
              <w:rPr>
                <w:rFonts w:ascii="Arial" w:cs="Arial" w:eastAsia="Arial" w:hAnsi="Arial"/>
                <w:sz w:val="16"/>
                <w:szCs w:val="16"/>
                <w:color w:val="auto"/>
              </w:rPr>
              <w:t>Total expenses</w:t>
            </w:r>
          </w:p>
        </w:tc>
        <w:tc>
          <w:tcPr>
            <w:tcW w:w="340" w:type="dxa"/>
            <w:vAlign w:val="bottom"/>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1,443,679</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1,309,475</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1,178,729</w:t>
            </w:r>
          </w:p>
        </w:tc>
      </w:tr>
      <w:tr>
        <w:trPr>
          <w:trHeight w:val="213"/>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extinguishment of debt</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Net loss before (loss) gain on sale</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(104,782)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(45,706)</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Company's equity in net loss from unconsolidated joint ventures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(57,958)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Costs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costs as of December 31, 2022 and 2021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Borders>
              <w:bottom w:val="single" w:sz="8" w:color="auto"/>
            </w:tcBorders>
          </w:tcPr>
          <w:p>
            <w:pPr>
              <w:spacing w:after="0"/>
              <w:rPr>
                <w:sz w:val="18"/>
                <w:szCs w:val="18"/>
                <w:color w:val="auto"/>
              </w:rPr>
            </w:pPr>
          </w:p>
        </w:tc>
      </w:tr>
      <w:tr>
        <w:trPr>
          <w:trHeight w:val="207"/>
        </w:trPr>
        <w:tc>
          <w:tcPr>
            <w:tcW w:w="7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2021</w:t>
            </w: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leasing costs</w:t>
            </w:r>
          </w:p>
        </w:tc>
        <w:tc>
          <w:tcPr>
            <w:tcW w:w="1240" w:type="dxa"/>
            <w:vAlign w:val="bottom"/>
            <w:shd w:val="clear" w:color="auto" w:fill="CCEEFF"/>
          </w:tcPr>
          <w:p>
            <w:pPr>
              <w:jc w:val="right"/>
              <w:ind w:right="1060"/>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407,188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640"/>
              <w:spacing w:after="0"/>
              <w:rPr>
                <w:sz w:val="20"/>
                <w:szCs w:val="20"/>
                <w:color w:val="auto"/>
              </w:rPr>
            </w:pPr>
            <w:r>
              <w:rPr>
                <w:rFonts w:ascii="Arial" w:cs="Arial" w:eastAsia="Arial" w:hAnsi="Arial"/>
                <w:sz w:val="16"/>
                <w:szCs w:val="16"/>
                <w:color w:val="auto"/>
                <w:w w:val="89"/>
              </w:rPr>
              <w:t>400,419</w:t>
            </w:r>
          </w:p>
        </w:tc>
      </w:tr>
      <w:tr>
        <w:trPr>
          <w:trHeight w:val="211"/>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accumulated amortization</w:t>
            </w:r>
          </w:p>
        </w:tc>
        <w:tc>
          <w:tcPr>
            <w:tcW w:w="1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(286,031)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600"/>
              <w:spacing w:after="0"/>
              <w:rPr>
                <w:sz w:val="20"/>
                <w:szCs w:val="20"/>
                <w:color w:val="auto"/>
              </w:rPr>
            </w:pPr>
            <w:r>
              <w:rPr>
                <w:rFonts w:ascii="Arial" w:cs="Arial" w:eastAsia="Arial" w:hAnsi="Arial"/>
                <w:sz w:val="16"/>
                <w:szCs w:val="16"/>
                <w:color w:val="auto"/>
                <w:w w:val="93"/>
              </w:rPr>
              <w:t>(275,924)</w:t>
            </w: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costs, net</w:t>
            </w:r>
          </w:p>
        </w:tc>
        <w:tc>
          <w:tcPr>
            <w:tcW w:w="124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121,157</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center"/>
              <w:ind w:left="640"/>
              <w:spacing w:after="0"/>
              <w:rPr>
                <w:sz w:val="20"/>
                <w:szCs w:val="20"/>
                <w:color w:val="auto"/>
              </w:rPr>
            </w:pPr>
            <w:r>
              <w:rPr>
                <w:rFonts w:ascii="Arial" w:cs="Arial" w:eastAsia="Arial" w:hAnsi="Arial"/>
                <w:sz w:val="16"/>
                <w:szCs w:val="16"/>
                <w:color w:val="auto"/>
                <w:w w:val="89"/>
              </w:rPr>
              <w:t>124,495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Mortgages and Other Loans Payable</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mortgages and other loans payable collateralized by the respective properties and assignment of leases or debt investments as of December 31,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2022 and 2021, respectively, were as follows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460" w:type="dxa"/>
            <w:vAlign w:val="bottom"/>
          </w:tcPr>
          <w:p>
            <w:pPr>
              <w:jc w:val="right"/>
              <w:ind w:right="40"/>
              <w:spacing w:after="0"/>
              <w:rPr>
                <w:sz w:val="20"/>
                <w:szCs w:val="20"/>
                <w:color w:val="auto"/>
              </w:rPr>
            </w:pPr>
            <w:r>
              <w:rPr>
                <w:rFonts w:ascii="Arial" w:cs="Arial" w:eastAsia="Arial" w:hAnsi="Arial"/>
                <w:sz w:val="16"/>
                <w:szCs w:val="16"/>
                <w:b w:val="1"/>
                <w:bCs w:val="1"/>
                <w:color w:val="auto"/>
              </w:rPr>
              <w:t>Current Maturity</w:t>
            </w: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Final Maturity Date</w:t>
            </w:r>
          </w:p>
        </w:tc>
        <w:tc>
          <w:tcPr>
            <w:tcW w:w="1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Interest</w:t>
            </w:r>
          </w:p>
        </w:tc>
        <w:tc>
          <w:tcPr>
            <w:tcW w:w="160" w:type="dxa"/>
            <w:vAlign w:val="bottom"/>
          </w:tcPr>
          <w:p>
            <w:pPr>
              <w:spacing w:after="0"/>
              <w:rPr>
                <w:sz w:val="18"/>
                <w:szCs w:val="18"/>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Pr>
          <w:p>
            <w:pPr>
              <w:spacing w:after="0"/>
              <w:rPr>
                <w:sz w:val="18"/>
                <w:szCs w:val="18"/>
                <w:color w:val="auto"/>
              </w:rPr>
            </w:pPr>
          </w:p>
        </w:tc>
        <w:tc>
          <w:tcPr>
            <w:tcW w:w="156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w w:val="92"/>
              </w:rPr>
              <w:t>December 31, 2021</w:t>
            </w:r>
          </w:p>
        </w:tc>
        <w:tc>
          <w:tcPr>
            <w:tcW w:w="0" w:type="dxa"/>
            <w:vAlign w:val="bottom"/>
          </w:tcPr>
          <w:p>
            <w:pPr>
              <w:spacing w:after="0"/>
              <w:rPr>
                <w:sz w:val="1"/>
                <w:szCs w:val="1"/>
                <w:color w:val="auto"/>
              </w:rPr>
            </w:pPr>
          </w:p>
        </w:tc>
      </w:tr>
      <w:tr>
        <w:trPr>
          <w:trHeight w:val="160"/>
        </w:trPr>
        <w:tc>
          <w:tcPr>
            <w:tcW w:w="3680" w:type="dxa"/>
            <w:vAlign w:val="bottom"/>
            <w:gridSpan w:val="3"/>
            <w:vMerge w:val="continue"/>
          </w:tcPr>
          <w:p>
            <w:pPr>
              <w:spacing w:after="0"/>
              <w:rPr>
                <w:sz w:val="13"/>
                <w:szCs w:val="13"/>
                <w:color w:val="auto"/>
              </w:rPr>
            </w:pPr>
          </w:p>
        </w:tc>
        <w:tc>
          <w:tcPr>
            <w:tcW w:w="1460" w:type="dxa"/>
            <w:vAlign w:val="bottom"/>
          </w:tcPr>
          <w:p>
            <w:pPr>
              <w:jc w:val="right"/>
              <w:ind w:right="500"/>
              <w:spacing w:after="0" w:line="160" w:lineRule="exact"/>
              <w:rPr>
                <w:sz w:val="20"/>
                <w:szCs w:val="20"/>
                <w:color w:val="auto"/>
              </w:rPr>
            </w:pPr>
            <w:r>
              <w:rPr>
                <w:rFonts w:ascii="Arial" w:cs="Arial" w:eastAsia="Arial" w:hAnsi="Arial"/>
                <w:sz w:val="16"/>
                <w:szCs w:val="16"/>
                <w:b w:val="1"/>
                <w:bCs w:val="1"/>
                <w:color w:val="auto"/>
              </w:rPr>
              <w:t>Date</w:t>
            </w:r>
          </w:p>
        </w:tc>
        <w:tc>
          <w:tcPr>
            <w:tcW w:w="1440" w:type="dxa"/>
            <w:vAlign w:val="bottom"/>
          </w:tcPr>
          <w:p>
            <w:pPr>
              <w:jc w:val="right"/>
              <w:ind w:right="583"/>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3"/>
                <w:szCs w:val="13"/>
                <w:color w:val="auto"/>
              </w:rPr>
            </w:pPr>
          </w:p>
        </w:tc>
        <w:tc>
          <w:tcPr>
            <w:tcW w:w="104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18"/>
                <w:szCs w:val="18"/>
                <w:b w:val="1"/>
                <w:bCs w:val="1"/>
                <w:color w:val="auto"/>
                <w:w w:val="98"/>
                <w:vertAlign w:val="superscript"/>
              </w:rPr>
              <w:t>(2)</w:t>
            </w:r>
          </w:p>
        </w:tc>
        <w:tc>
          <w:tcPr>
            <w:tcW w:w="16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5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Fixed Rate Debt: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0" w:type="dxa"/>
            <w:vAlign w:val="bottom"/>
          </w:tcPr>
          <w:p>
            <w:pPr>
              <w:ind w:left="20"/>
              <w:spacing w:after="0"/>
              <w:rPr>
                <w:sz w:val="20"/>
                <w:szCs w:val="20"/>
                <w:color w:val="auto"/>
              </w:rPr>
            </w:pPr>
            <w:r>
              <w:rPr>
                <w:rFonts w:ascii="Arial" w:cs="Arial" w:eastAsia="Arial" w:hAnsi="Arial"/>
                <w:sz w:val="16"/>
                <w:szCs w:val="16"/>
                <w:color w:val="auto"/>
                <w:w w:val="89"/>
              </w:rPr>
              <w:t>719</w:t>
            </w:r>
          </w:p>
        </w:tc>
        <w:tc>
          <w:tcPr>
            <w:tcW w:w="3400" w:type="dxa"/>
            <w:vAlign w:val="bottom"/>
            <w:gridSpan w:val="2"/>
          </w:tcPr>
          <w:p>
            <w:pPr>
              <w:ind w:left="20"/>
              <w:spacing w:after="0"/>
              <w:rPr>
                <w:sz w:val="20"/>
                <w:szCs w:val="20"/>
                <w:color w:val="auto"/>
              </w:rPr>
            </w:pPr>
            <w:r>
              <w:rPr>
                <w:rFonts w:ascii="Arial" w:cs="Arial" w:eastAsia="Arial" w:hAnsi="Arial"/>
                <w:sz w:val="16"/>
                <w:szCs w:val="16"/>
                <w:color w:val="auto"/>
              </w:rPr>
              <w:t>Seventh Avenue</w:t>
            </w:r>
          </w:p>
        </w:tc>
        <w:tc>
          <w:tcPr>
            <w:tcW w:w="1460" w:type="dxa"/>
            <w:vAlign w:val="bottom"/>
          </w:tcPr>
          <w:p>
            <w:pPr>
              <w:jc w:val="right"/>
              <w:spacing w:after="0"/>
              <w:rPr>
                <w:sz w:val="20"/>
                <w:szCs w:val="20"/>
                <w:color w:val="auto"/>
              </w:rPr>
            </w:pPr>
            <w:r>
              <w:rPr>
                <w:rFonts w:ascii="Arial" w:cs="Arial" w:eastAsia="Arial" w:hAnsi="Arial"/>
                <w:sz w:val="16"/>
                <w:szCs w:val="16"/>
                <w:color w:val="auto"/>
              </w:rPr>
              <w:t>September 2023</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2023</w:t>
            </w:r>
          </w:p>
        </w:tc>
        <w:tc>
          <w:tcPr>
            <w:tcW w:w="380" w:type="dxa"/>
            <w:vAlign w:val="bottom"/>
          </w:tcPr>
          <w:p>
            <w:pPr>
              <w:spacing w:after="0"/>
              <w:rPr>
                <w:sz w:val="18"/>
                <w:szCs w:val="18"/>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w w:val="96"/>
              </w:rPr>
              <w:t>4.70%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80" w:type="dxa"/>
            <w:vAlign w:val="bottom"/>
            <w:gridSpan w:val="3"/>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7 Dey / 185 Broadway </w:t>
            </w:r>
            <w:r>
              <w:rPr>
                <w:rFonts w:ascii="Arial" w:cs="Arial" w:eastAsia="Arial" w:hAnsi="Arial"/>
                <w:sz w:val="20"/>
                <w:szCs w:val="20"/>
                <w:color w:val="auto"/>
                <w:vertAlign w:val="superscript"/>
              </w:rPr>
              <w:t>(3)</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2023</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2023</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6"/>
              </w:rPr>
              <w:t>7.59%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80" w:type="dxa"/>
            <w:vAlign w:val="bottom"/>
          </w:tcPr>
          <w:p>
            <w:pPr>
              <w:ind w:left="20"/>
              <w:spacing w:after="0"/>
              <w:rPr>
                <w:sz w:val="20"/>
                <w:szCs w:val="20"/>
                <w:color w:val="auto"/>
              </w:rPr>
            </w:pPr>
            <w:r>
              <w:rPr>
                <w:rFonts w:ascii="Arial" w:cs="Arial" w:eastAsia="Arial" w:hAnsi="Arial"/>
                <w:sz w:val="16"/>
                <w:szCs w:val="16"/>
                <w:color w:val="auto"/>
                <w:w w:val="89"/>
              </w:rPr>
              <w:t>420</w:t>
            </w:r>
          </w:p>
        </w:tc>
        <w:tc>
          <w:tcPr>
            <w:tcW w:w="3400" w:type="dxa"/>
            <w:vAlign w:val="bottom"/>
            <w:gridSpan w:val="2"/>
          </w:tcPr>
          <w:p>
            <w:pPr>
              <w:ind w:left="20"/>
              <w:spacing w:after="0"/>
              <w:rPr>
                <w:sz w:val="20"/>
                <w:szCs w:val="20"/>
                <w:color w:val="auto"/>
              </w:rPr>
            </w:pPr>
            <w:r>
              <w:rPr>
                <w:rFonts w:ascii="Arial" w:cs="Arial" w:eastAsia="Arial" w:hAnsi="Arial"/>
                <w:sz w:val="16"/>
                <w:szCs w:val="16"/>
                <w:color w:val="auto"/>
              </w:rPr>
              <w:t>Lexington Avenue</w:t>
            </w:r>
          </w:p>
        </w:tc>
        <w:tc>
          <w:tcPr>
            <w:tcW w:w="1460" w:type="dxa"/>
            <w:vAlign w:val="bottom"/>
          </w:tcPr>
          <w:p>
            <w:pPr>
              <w:jc w:val="right"/>
              <w:spacing w:after="0"/>
              <w:rPr>
                <w:sz w:val="20"/>
                <w:szCs w:val="20"/>
                <w:color w:val="auto"/>
              </w:rPr>
            </w:pPr>
            <w:r>
              <w:rPr>
                <w:rFonts w:ascii="Arial" w:cs="Arial" w:eastAsia="Arial" w:hAnsi="Arial"/>
                <w:sz w:val="16"/>
                <w:szCs w:val="16"/>
                <w:color w:val="auto"/>
              </w:rPr>
              <w:t>October 2024</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2040</w:t>
            </w:r>
          </w:p>
        </w:tc>
        <w:tc>
          <w:tcPr>
            <w:tcW w:w="380" w:type="dxa"/>
            <w:vAlign w:val="bottom"/>
          </w:tcPr>
          <w:p>
            <w:pPr>
              <w:spacing w:after="0"/>
              <w:rPr>
                <w:sz w:val="18"/>
                <w:szCs w:val="18"/>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w w:val="96"/>
              </w:rPr>
              <w:t>3.99%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283,064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288,660</w:t>
            </w:r>
          </w:p>
        </w:tc>
        <w:tc>
          <w:tcPr>
            <w:tcW w:w="0" w:type="dxa"/>
            <w:vAlign w:val="bottom"/>
          </w:tcPr>
          <w:p>
            <w:pPr>
              <w:spacing w:after="0"/>
              <w:rPr>
                <w:sz w:val="1"/>
                <w:szCs w:val="1"/>
                <w:color w:val="auto"/>
              </w:rPr>
            </w:pPr>
          </w:p>
        </w:tc>
      </w:tr>
      <w:tr>
        <w:trPr>
          <w:trHeight w:val="215"/>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100</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Church Street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2025</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2027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6"/>
              </w:rPr>
              <w:t>5.89%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Landmark Square</w:t>
            </w:r>
          </w:p>
        </w:tc>
        <w:tc>
          <w:tcPr>
            <w:tcW w:w="1460" w:type="dxa"/>
            <w:vAlign w:val="bottom"/>
          </w:tcPr>
          <w:p>
            <w:pPr>
              <w:jc w:val="right"/>
              <w:spacing w:after="0"/>
              <w:rPr>
                <w:sz w:val="20"/>
                <w:szCs w:val="20"/>
                <w:color w:val="auto"/>
              </w:rPr>
            </w:pPr>
            <w:r>
              <w:rPr>
                <w:rFonts w:ascii="Arial" w:cs="Arial" w:eastAsia="Arial" w:hAnsi="Arial"/>
                <w:sz w:val="16"/>
                <w:szCs w:val="16"/>
                <w:color w:val="auto"/>
              </w:rPr>
              <w:t>January 2027</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2027</w:t>
            </w:r>
          </w:p>
        </w:tc>
        <w:tc>
          <w:tcPr>
            <w:tcW w:w="380" w:type="dxa"/>
            <w:vAlign w:val="bottom"/>
          </w:tcPr>
          <w:p>
            <w:pPr>
              <w:spacing w:after="0"/>
              <w:rPr>
                <w:sz w:val="18"/>
                <w:szCs w:val="18"/>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w w:val="96"/>
              </w:rPr>
              <w:t>4.90%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5"/>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485</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Lexington Avenue</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2027</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6"/>
              </w:rPr>
              <w:t>4.25%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0" w:type="dxa"/>
            <w:vAlign w:val="bottom"/>
          </w:tcPr>
          <w:p>
            <w:pPr>
              <w:spacing w:after="0"/>
              <w:rPr>
                <w:sz w:val="1"/>
                <w:szCs w:val="1"/>
                <w:color w:val="auto"/>
              </w:rPr>
            </w:pPr>
          </w:p>
        </w:tc>
      </w:tr>
      <w:tr>
        <w:trPr>
          <w:trHeight w:val="211"/>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245 Park Avenue</w:t>
            </w:r>
          </w:p>
        </w:tc>
        <w:tc>
          <w:tcPr>
            <w:tcW w:w="1460" w:type="dxa"/>
            <w:vAlign w:val="bottom"/>
          </w:tcPr>
          <w:p>
            <w:pPr>
              <w:jc w:val="right"/>
              <w:spacing w:after="0"/>
              <w:rPr>
                <w:sz w:val="20"/>
                <w:szCs w:val="20"/>
                <w:color w:val="auto"/>
              </w:rPr>
            </w:pPr>
            <w:r>
              <w:rPr>
                <w:rFonts w:ascii="Arial" w:cs="Arial" w:eastAsia="Arial" w:hAnsi="Arial"/>
                <w:sz w:val="16"/>
                <w:szCs w:val="16"/>
                <w:color w:val="auto"/>
              </w:rPr>
              <w:t>June 2027</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2027</w:t>
            </w:r>
          </w:p>
        </w:tc>
        <w:tc>
          <w:tcPr>
            <w:tcW w:w="380" w:type="dxa"/>
            <w:vAlign w:val="bottom"/>
          </w:tcPr>
          <w:p>
            <w:pPr>
              <w:spacing w:after="0"/>
              <w:rPr>
                <w:sz w:val="18"/>
                <w:szCs w:val="18"/>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w w:val="96"/>
              </w:rPr>
              <w:t>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1,712,750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100</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Church Street</w:t>
            </w:r>
          </w:p>
        </w:tc>
        <w:tc>
          <w:tcPr>
            <w:tcW w:w="1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200,212</w:t>
            </w:r>
          </w:p>
        </w:tc>
        <w:tc>
          <w:tcPr>
            <w:tcW w:w="0" w:type="dxa"/>
            <w:vAlign w:val="bottom"/>
          </w:tcPr>
          <w:p>
            <w:pPr>
              <w:spacing w:after="0"/>
              <w:rPr>
                <w:sz w:val="1"/>
                <w:szCs w:val="1"/>
                <w:color w:val="auto"/>
              </w:rPr>
            </w:pPr>
          </w:p>
        </w:tc>
      </w:tr>
      <w:tr>
        <w:trPr>
          <w:trHeight w:val="211"/>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1080 Amsterdam</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34,537</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Total fixed rate debt</w:t>
            </w:r>
          </w:p>
        </w:tc>
        <w:tc>
          <w:tcPr>
            <w:tcW w:w="14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3,165,814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1,073,409</w:t>
            </w:r>
          </w:p>
        </w:tc>
        <w:tc>
          <w:tcPr>
            <w:tcW w:w="0" w:type="dxa"/>
            <w:vAlign w:val="bottom"/>
          </w:tcPr>
          <w:p>
            <w:pPr>
              <w:spacing w:after="0"/>
              <w:rPr>
                <w:sz w:val="1"/>
                <w:szCs w:val="1"/>
                <w:color w:val="auto"/>
              </w:rPr>
            </w:pPr>
          </w:p>
        </w:tc>
      </w:tr>
      <w:tr>
        <w:trPr>
          <w:trHeight w:val="191"/>
        </w:trPr>
        <w:tc>
          <w:tcPr>
            <w:tcW w:w="3680" w:type="dxa"/>
            <w:vAlign w:val="bottom"/>
            <w:gridSpan w:val="3"/>
          </w:tcPr>
          <w:p>
            <w:pPr>
              <w:ind w:left="20"/>
              <w:spacing w:after="0"/>
              <w:rPr>
                <w:sz w:val="20"/>
                <w:szCs w:val="20"/>
                <w:color w:val="auto"/>
              </w:rPr>
            </w:pPr>
            <w:r>
              <w:rPr>
                <w:rFonts w:ascii="Arial" w:cs="Arial" w:eastAsia="Arial" w:hAnsi="Arial"/>
                <w:sz w:val="16"/>
                <w:szCs w:val="16"/>
                <w:b w:val="1"/>
                <w:bCs w:val="1"/>
                <w:color w:val="auto"/>
              </w:rPr>
              <w:t>Floating Rate Debt:</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80" w:type="dxa"/>
            <w:vAlign w:val="bottom"/>
            <w:gridSpan w:val="3"/>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7 Dey / 185 Broadway </w:t>
            </w:r>
            <w:r>
              <w:rPr>
                <w:rFonts w:ascii="Arial" w:cs="Arial" w:eastAsia="Arial" w:hAnsi="Arial"/>
                <w:sz w:val="20"/>
                <w:szCs w:val="20"/>
                <w:color w:val="auto"/>
                <w:vertAlign w:val="superscript"/>
              </w:rPr>
              <w:t>(3)</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2023</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2023</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6"/>
              </w:rPr>
              <w:t>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80" w:type="dxa"/>
            <w:vAlign w:val="bottom"/>
          </w:tcPr>
          <w:p>
            <w:pPr>
              <w:ind w:left="20"/>
              <w:spacing w:after="0"/>
              <w:rPr>
                <w:sz w:val="20"/>
                <w:szCs w:val="20"/>
                <w:color w:val="auto"/>
              </w:rPr>
            </w:pPr>
            <w:r>
              <w:rPr>
                <w:rFonts w:ascii="Arial" w:cs="Arial" w:eastAsia="Arial" w:hAnsi="Arial"/>
                <w:sz w:val="16"/>
                <w:szCs w:val="16"/>
                <w:color w:val="auto"/>
                <w:w w:val="89"/>
              </w:rPr>
              <w:t>690</w:t>
            </w:r>
          </w:p>
        </w:tc>
        <w:tc>
          <w:tcPr>
            <w:tcW w:w="3400" w:type="dxa"/>
            <w:vAlign w:val="bottom"/>
            <w:gridSpan w:val="2"/>
          </w:tcPr>
          <w:p>
            <w:pPr>
              <w:ind w:left="20"/>
              <w:spacing w:after="0"/>
              <w:rPr>
                <w:sz w:val="20"/>
                <w:szCs w:val="20"/>
                <w:color w:val="auto"/>
              </w:rPr>
            </w:pPr>
            <w:r>
              <w:rPr>
                <w:rFonts w:ascii="Arial" w:cs="Arial" w:eastAsia="Arial" w:hAnsi="Arial"/>
                <w:sz w:val="16"/>
                <w:szCs w:val="16"/>
                <w:color w:val="auto"/>
              </w:rPr>
              <w:t>Madison Avenue</w:t>
            </w:r>
          </w:p>
        </w:tc>
        <w:tc>
          <w:tcPr>
            <w:tcW w:w="1460" w:type="dxa"/>
            <w:vAlign w:val="bottom"/>
          </w:tcPr>
          <w:p>
            <w:pPr>
              <w:jc w:val="right"/>
              <w:spacing w:after="0"/>
              <w:rPr>
                <w:sz w:val="20"/>
                <w:szCs w:val="20"/>
                <w:color w:val="auto"/>
              </w:rPr>
            </w:pPr>
            <w:r>
              <w:rPr>
                <w:rFonts w:ascii="Arial" w:cs="Arial" w:eastAsia="Arial" w:hAnsi="Arial"/>
                <w:sz w:val="16"/>
                <w:szCs w:val="16"/>
                <w:color w:val="auto"/>
              </w:rPr>
              <w:t>July 2024</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2025</w:t>
            </w:r>
          </w:p>
        </w:tc>
        <w:tc>
          <w:tcPr>
            <w:tcW w:w="380" w:type="dxa"/>
            <w:vAlign w:val="bottom"/>
          </w:tcPr>
          <w:p>
            <w:pPr>
              <w:jc w:val="right"/>
              <w:spacing w:after="0"/>
              <w:rPr>
                <w:sz w:val="20"/>
                <w:szCs w:val="20"/>
                <w:color w:val="auto"/>
              </w:rPr>
            </w:pPr>
            <w:r>
              <w:rPr>
                <w:rFonts w:ascii="Arial" w:cs="Arial" w:eastAsia="Arial" w:hAnsi="Arial"/>
                <w:sz w:val="16"/>
                <w:szCs w:val="16"/>
                <w:color w:val="auto"/>
              </w:rPr>
              <w:t>L+</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w w:val="96"/>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60,000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15"/>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719</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Seventh Avenue</w:t>
            </w:r>
          </w:p>
        </w:tc>
        <w:tc>
          <w:tcPr>
            <w:tcW w:w="1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1"/>
        </w:trPr>
        <w:tc>
          <w:tcPr>
            <w:tcW w:w="280" w:type="dxa"/>
            <w:vAlign w:val="bottom"/>
          </w:tcPr>
          <w:p>
            <w:pPr>
              <w:ind w:left="20"/>
              <w:spacing w:after="0"/>
              <w:rPr>
                <w:sz w:val="20"/>
                <w:szCs w:val="20"/>
                <w:color w:val="auto"/>
              </w:rPr>
            </w:pPr>
            <w:r>
              <w:rPr>
                <w:rFonts w:ascii="Arial" w:cs="Arial" w:eastAsia="Arial" w:hAnsi="Arial"/>
                <w:sz w:val="16"/>
                <w:szCs w:val="16"/>
                <w:color w:val="auto"/>
                <w:w w:val="89"/>
              </w:rPr>
              <w:t>609</w:t>
            </w:r>
          </w:p>
        </w:tc>
        <w:tc>
          <w:tcPr>
            <w:tcW w:w="3400" w:type="dxa"/>
            <w:vAlign w:val="bottom"/>
            <w:gridSpan w:val="2"/>
          </w:tcPr>
          <w:p>
            <w:pPr>
              <w:ind w:left="20"/>
              <w:spacing w:after="0"/>
              <w:rPr>
                <w:sz w:val="20"/>
                <w:szCs w:val="20"/>
                <w:color w:val="auto"/>
              </w:rPr>
            </w:pPr>
            <w:r>
              <w:rPr>
                <w:rFonts w:ascii="Arial" w:cs="Arial" w:eastAsia="Arial" w:hAnsi="Arial"/>
                <w:sz w:val="16"/>
                <w:szCs w:val="16"/>
                <w:color w:val="auto"/>
              </w:rPr>
              <w:t>Fifth Avenue</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52,882</w:t>
            </w:r>
          </w:p>
        </w:tc>
        <w:tc>
          <w:tcPr>
            <w:tcW w:w="0" w:type="dxa"/>
            <w:vAlign w:val="bottom"/>
          </w:tcPr>
          <w:p>
            <w:pPr>
              <w:spacing w:after="0"/>
              <w:rPr>
                <w:sz w:val="1"/>
                <w:szCs w:val="1"/>
                <w:color w:val="auto"/>
              </w:rPr>
            </w:pPr>
          </w:p>
        </w:tc>
      </w:tr>
      <w:tr>
        <w:trPr>
          <w:trHeight w:val="215"/>
        </w:trPr>
        <w:tc>
          <w:tcPr>
            <w:tcW w:w="3680" w:type="dxa"/>
            <w:vAlign w:val="bottom"/>
            <w:gridSpan w:val="3"/>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7 Dey / 185 Broadway </w:t>
            </w:r>
            <w:r>
              <w:rPr>
                <w:rFonts w:ascii="Arial" w:cs="Arial" w:eastAsia="Arial" w:hAnsi="Arial"/>
                <w:sz w:val="20"/>
                <w:szCs w:val="20"/>
                <w:color w:val="auto"/>
                <w:vertAlign w:val="superscript"/>
              </w:rPr>
              <w:t>(3)</w:t>
            </w:r>
          </w:p>
        </w:tc>
        <w:tc>
          <w:tcPr>
            <w:tcW w:w="1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198,169</w:t>
            </w:r>
          </w:p>
        </w:tc>
        <w:tc>
          <w:tcPr>
            <w:tcW w:w="0" w:type="dxa"/>
            <w:vAlign w:val="bottom"/>
          </w:tcPr>
          <w:p>
            <w:pPr>
              <w:spacing w:after="0"/>
              <w:rPr>
                <w:sz w:val="1"/>
                <w:szCs w:val="1"/>
                <w:color w:val="auto"/>
              </w:rPr>
            </w:pPr>
          </w:p>
        </w:tc>
      </w:tr>
      <w:tr>
        <w:trPr>
          <w:trHeight w:val="204"/>
        </w:trPr>
        <w:tc>
          <w:tcPr>
            <w:tcW w:w="36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Total floating rate debt</w:t>
            </w:r>
          </w:p>
        </w:tc>
        <w:tc>
          <w:tcPr>
            <w:tcW w:w="14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70,148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361,051</w:t>
            </w:r>
          </w:p>
        </w:tc>
        <w:tc>
          <w:tcPr>
            <w:tcW w:w="0" w:type="dxa"/>
            <w:vAlign w:val="bottom"/>
          </w:tcPr>
          <w:p>
            <w:pPr>
              <w:spacing w:after="0"/>
              <w:rPr>
                <w:sz w:val="1"/>
                <w:szCs w:val="1"/>
                <w:color w:val="auto"/>
              </w:rPr>
            </w:pPr>
          </w:p>
        </w:tc>
      </w:tr>
      <w:tr>
        <w:trPr>
          <w:trHeight w:val="209"/>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fixed rate and floating rate debt</w:t>
            </w:r>
          </w:p>
        </w:tc>
        <w:tc>
          <w:tcPr>
            <w:tcW w:w="1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3,235,962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1,434,460</w:t>
            </w:r>
          </w:p>
        </w:tc>
        <w:tc>
          <w:tcPr>
            <w:tcW w:w="0" w:type="dxa"/>
            <w:vAlign w:val="bottom"/>
          </w:tcPr>
          <w:p>
            <w:pPr>
              <w:spacing w:after="0"/>
              <w:rPr>
                <w:sz w:val="1"/>
                <w:szCs w:val="1"/>
                <w:color w:val="auto"/>
              </w:rPr>
            </w:pPr>
          </w:p>
        </w:tc>
      </w:tr>
      <w:tr>
        <w:trPr>
          <w:trHeight w:val="204"/>
        </w:trPr>
        <w:tc>
          <w:tcPr>
            <w:tcW w:w="514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Mortgages reclassed to liabilities related to assets held for sale</w:t>
            </w: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(34,537)</w:t>
            </w:r>
          </w:p>
        </w:tc>
        <w:tc>
          <w:tcPr>
            <w:tcW w:w="0" w:type="dxa"/>
            <w:vAlign w:val="bottom"/>
          </w:tcPr>
          <w:p>
            <w:pPr>
              <w:spacing w:after="0"/>
              <w:rPr>
                <w:sz w:val="1"/>
                <w:szCs w:val="1"/>
                <w:color w:val="auto"/>
              </w:rPr>
            </w:pPr>
          </w:p>
        </w:tc>
      </w:tr>
      <w:tr>
        <w:trPr>
          <w:trHeight w:val="209"/>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mortgages and other loans payable</w:t>
            </w:r>
          </w:p>
        </w:tc>
        <w:tc>
          <w:tcPr>
            <w:tcW w:w="1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3,235,962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1,399,923</w:t>
            </w:r>
          </w:p>
        </w:tc>
        <w:tc>
          <w:tcPr>
            <w:tcW w:w="0" w:type="dxa"/>
            <w:vAlign w:val="bottom"/>
          </w:tcPr>
          <w:p>
            <w:pPr>
              <w:spacing w:after="0"/>
              <w:rPr>
                <w:sz w:val="1"/>
                <w:szCs w:val="1"/>
                <w:color w:val="auto"/>
              </w:rPr>
            </w:pPr>
          </w:p>
        </w:tc>
      </w:tr>
      <w:tr>
        <w:trPr>
          <w:trHeight w:val="211"/>
        </w:trPr>
        <w:tc>
          <w:tcPr>
            <w:tcW w:w="36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Deferred financing costs, net of amortization</w:t>
            </w:r>
          </w:p>
        </w:tc>
        <w:tc>
          <w:tcPr>
            <w:tcW w:w="14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w:t>
            </w:r>
          </w:p>
        </w:tc>
        <w:tc>
          <w:tcPr>
            <w:tcW w:w="0" w:type="dxa"/>
            <w:vAlign w:val="bottom"/>
          </w:tcPr>
          <w:p>
            <w:pPr>
              <w:spacing w:after="0"/>
              <w:rPr>
                <w:sz w:val="1"/>
                <w:szCs w:val="1"/>
                <w:color w:val="auto"/>
              </w:rPr>
            </w:pPr>
          </w:p>
        </w:tc>
      </w:tr>
      <w:tr>
        <w:trPr>
          <w:trHeight w:val="234"/>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mortgages and other loans payable, net</w:t>
            </w:r>
          </w:p>
        </w:tc>
        <w:tc>
          <w:tcPr>
            <w:tcW w:w="1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3,227,563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1,394,386</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0" w:hanging="394"/>
        <w:spacing w:after="0"/>
        <w:tabs>
          <w:tab w:leader="none" w:pos="4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Reflects exercise of all available options. The ability to exercise extension options may be subject to certain tests based on the operating performance of the property.</w:t>
      </w:r>
    </w:p>
    <w:p>
      <w:pPr>
        <w:spacing w:after="0" w:line="19" w:lineRule="exact"/>
        <w:rPr>
          <w:rFonts w:ascii="Arial" w:cs="Arial" w:eastAsia="Arial" w:hAnsi="Arial"/>
          <w:sz w:val="14"/>
          <w:szCs w:val="14"/>
          <w:color w:val="auto"/>
        </w:rPr>
      </w:pPr>
    </w:p>
    <w:p>
      <w:pPr>
        <w:ind w:left="400" w:hanging="394"/>
        <w:spacing w:after="0" w:line="257" w:lineRule="auto"/>
        <w:tabs>
          <w:tab w:leader="none" w:pos="392"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Interest rate as of December 31, 2022, taking into account interest rate hedges in effect during the period. Floating rate debt is presented with the stated spread over the 30-day LIBOR ("L") or Term SOFR ("S"), unless otherwise specified.</w:t>
      </w:r>
    </w:p>
    <w:p>
      <w:pPr>
        <w:spacing w:after="0" w:line="1" w:lineRule="exact"/>
        <w:rPr>
          <w:rFonts w:ascii="Arial" w:cs="Arial" w:eastAsia="Arial" w:hAnsi="Arial"/>
          <w:sz w:val="14"/>
          <w:szCs w:val="14"/>
          <w:color w:val="auto"/>
        </w:rPr>
      </w:pPr>
    </w:p>
    <w:p>
      <w:pPr>
        <w:ind w:left="400" w:right="20" w:hanging="394"/>
        <w:spacing w:after="0" w:line="315" w:lineRule="auto"/>
        <w:tabs>
          <w:tab w:leader="none" w:pos="392"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This loan is a $225.0 million construction facility, with reductions in interest cost based on meeting certain conditions, and has an initial three year term with two one year extension options. Both extension options were exercised in October 2021 and 2022, respectively. Advances under the loan are subject to incurred costs and funded equity requirements..</w:t>
      </w:r>
    </w:p>
    <w:p>
      <w:pPr>
        <w:spacing w:after="0" w:line="46" w:lineRule="exact"/>
        <w:rPr>
          <w:sz w:val="20"/>
          <w:szCs w:val="20"/>
          <w:color w:val="auto"/>
        </w:rPr>
      </w:pPr>
    </w:p>
    <w:p>
      <w:pPr>
        <w:ind w:right="20" w:firstLine="399"/>
        <w:spacing w:after="0" w:line="266" w:lineRule="auto"/>
        <w:rPr>
          <w:sz w:val="20"/>
          <w:szCs w:val="20"/>
          <w:color w:val="auto"/>
        </w:rPr>
      </w:pPr>
      <w:r>
        <w:rPr>
          <w:rFonts w:ascii="Arial" w:cs="Arial" w:eastAsia="Arial" w:hAnsi="Arial"/>
          <w:sz w:val="18"/>
          <w:szCs w:val="18"/>
          <w:color w:val="auto"/>
        </w:rPr>
        <w:t>As of December 31, 2022 and 2021, the gross book value of the properties collateralizing the mortgages and other loans payable was approximately $3.8 billion and $2.1 billion, respectively.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Home Loan Bank of New York ("FHLB") Facility</w:t>
      </w:r>
    </w:p>
    <w:p>
      <w:pPr>
        <w:spacing w:after="0" w:line="118"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As of December 31, 2020, the Company’s wholly-owned subsidiary, Ticonderoga Insurance Company, or Ticonderoga, a Vermont licensed captive insurance company, was a member of the Federal Home Loan Bank of New York, or FHLBNY. As a member, Ticonderoga was able to borrow funds from the FHLBNY in the form of secured advances that bore interest at a floating rate. As a result of a Final Ruling from the Federal Housing Finance Authority, the regulator of the Federal Home Loan Bank system, all captive insurance company memberships were terminated as of February 2021. As such, all advances to Ticonderoga were repaid prior to such termination.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Master Repurchase Agreement</w:t>
      </w:r>
    </w:p>
    <w:p>
      <w:pPr>
        <w:spacing w:after="0" w:line="118"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The Company entered into a Master Repurchase Agreement, or MRA, known as the 2017 MRA, which provided us with the ability to sell certain mortgage investments with a simultaneous agreement to repurchase the same at a certain date or on demand. In April 2018, we increased the maximum facility capacity from $300.0 million to $400.0 million. The facility bore interest on a floating rate basis at a spread to 30-day LIBOR based on the pledged collateral and advanced rate. The facility matured in June 2022 and was not extended.</w:t>
      </w:r>
    </w:p>
    <w:p>
      <w:pPr>
        <w:spacing w:after="0" w:line="80" w:lineRule="exact"/>
        <w:rPr>
          <w:sz w:val="20"/>
          <w:szCs w:val="20"/>
          <w:color w:val="auto"/>
        </w:rPr>
      </w:pPr>
    </w:p>
    <w:p>
      <w:pPr>
        <w:ind w:right="9220" w:firstLine="6"/>
        <w:spacing w:after="0" w:line="420" w:lineRule="auto"/>
        <w:tabs>
          <w:tab w:leader="none" w:pos="178"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Indebtedness 2021 Credit Facility</w:t>
      </w:r>
    </w:p>
    <w:p>
      <w:pPr>
        <w:spacing w:after="0" w:line="1"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In December 2021, we entered into an amended and restated credit facility, referred to as the 2021 credit facility, that was previously amended by the Company in November 2017, or the 2017 credit facility, and was originally entered into by the Company in November 2012, or the 2012 credit facility. As of December 31, 2022, the 2021 credit facility consisted of a $1.25 billion revolving credit facility, a $1.05 billion term loan (or "Term Loan A"), and a $200.0 million term loan (or "Term Loan B") with maturity dates of May 15, 2026, May 15, 2027, and November 21, 2024, respectively.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75"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As of December 31, 2022,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20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As of December 31, 2022, the applicable spread over adjusted Term SOFR plus 10 basis points was 105 basis points for the revolving credit facility, 120 basis points for Term Loan A, and 125 basis points for Term Loan B. We are required to pay quarterly in arrears a 12.5 to 30 basis point facility fee on the total commitments under the revolving credit facility based on the credit rating assigned to the senior unsecured long-term indebtedness of the Company. As of December 31, 2022, the facility fee was 25 basis points.</w:t>
      </w:r>
    </w:p>
    <w:p>
      <w:pPr>
        <w:spacing w:after="0" w:line="86"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As of December 31, 2022, we had $2.0 million of outstanding letters of credit, $450.0 million drawn under the revolving credit facility and $1.25 billion outstanding under the term loan facilities, with total undrawn capacity of $800.0 million under the 2021 credit facility. As of December 31, 2022 and December 31, 2021, the revolving credit facility had a carrying value of $443.2 million and $381.3 million, respectively, net of deferred financing costs. As of December 31, 2022 and December 31, 2021, the term loan facilities had a carrying value of $1.2 billion and $1.2 billion, respectively, net of deferred financing costs.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Operating Partnership are borrowers jointly and severally obligated under the 2021 credit facility.</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2021 credit facility includes certain restrictions and covenants (see Restrictive Covenants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Term Loan</w:t>
      </w:r>
    </w:p>
    <w:p>
      <w:pPr>
        <w:spacing w:after="0" w:line="118"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In October 2022, we entered into a term loan agreement, referred to as the 2022 term loan. As of December 31, 2022, the 2022 term loan consisted of a $400.0 million term loan with a maturity date of October 6, 2023. The 2022 term loan has one six-month as-of-right extension option to April 6, 2024. We also have an option, subject to customary conditions, to increase the capacity of the 2022 term loan to $500.0 million on or before January 7, 2023 without the consent of existing lenders, by obtaining additional commitments from our existing lenders and other financial institutions. In January 2023, the 2022 term loan was increased by $25.0 million to $425.0 million.</w:t>
      </w:r>
    </w:p>
    <w:p>
      <w:pPr>
        <w:spacing w:after="0" w:line="89"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As of December 31, 2022, the 2022 term loan bore interest at a spread over adjusted Term SOFR plus 10 basis points, ranging from 100 basis points to 180 basis points, in each case based on the credit rating assigned to the senior unsecured long-term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 As of December 31, 2022, the applicable spread over adjusted Term SOFR plus 10 basis points was 140 basis points. As of December 31, 2022, the 2022 term loan had a carrying value of $398.2 million, net of deferred financing costs.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Operating Partnership are borrowers jointly and severally obligated under the 2022 term loan.</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2022 term loan includes certain restrictions and covenants (see Restrictive Covenants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following table sets forth our senior unsecured notes and other related disclosures as of December 31, 2022 and 2021, respectively, by scheduled maturity date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6"/>
                <w:szCs w:val="16"/>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10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92"/>
              </w:rPr>
              <w:t>Unpaid</w:t>
            </w:r>
          </w:p>
        </w:tc>
        <w:tc>
          <w:tcPr>
            <w:tcW w:w="120" w:type="dxa"/>
            <w:vAlign w:val="bottom"/>
          </w:tcPr>
          <w:p>
            <w:pPr>
              <w:spacing w:after="0"/>
              <w:rPr>
                <w:sz w:val="13"/>
                <w:szCs w:val="13"/>
                <w:color w:val="auto"/>
              </w:rPr>
            </w:pPr>
          </w:p>
        </w:tc>
        <w:tc>
          <w:tcPr>
            <w:tcW w:w="1120" w:type="dxa"/>
            <w:vAlign w:val="bottom"/>
          </w:tcPr>
          <w:p>
            <w:pPr>
              <w:jc w:val="center"/>
              <w:ind w:right="40"/>
              <w:spacing w:after="0" w:line="160" w:lineRule="exact"/>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Initial Term</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Issuance</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91"/>
              </w:rPr>
              <w:t>Principal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87"/>
              </w:rPr>
              <w:t>Accreted</w:t>
            </w:r>
          </w:p>
        </w:tc>
        <w:tc>
          <w:tcPr>
            <w:tcW w:w="120" w:type="dxa"/>
            <w:vAlign w:val="bottom"/>
          </w:tcPr>
          <w:p>
            <w:pPr>
              <w:spacing w:after="0"/>
              <w:rPr>
                <w:sz w:val="13"/>
                <w:szCs w:val="13"/>
                <w:color w:val="auto"/>
              </w:rPr>
            </w:pPr>
          </w:p>
        </w:tc>
        <w:tc>
          <w:tcPr>
            <w:tcW w:w="1100" w:type="dxa"/>
            <w:vAlign w:val="bottom"/>
          </w:tcPr>
          <w:p>
            <w:pPr>
              <w:jc w:val="center"/>
              <w:ind w:right="40"/>
              <w:spacing w:after="0" w:line="160" w:lineRule="exact"/>
              <w:rPr>
                <w:sz w:val="20"/>
                <w:szCs w:val="20"/>
                <w:color w:val="auto"/>
              </w:rPr>
            </w:pPr>
            <w:r>
              <w:rPr>
                <w:rFonts w:ascii="Arial" w:cs="Arial" w:eastAsia="Arial" w:hAnsi="Arial"/>
                <w:sz w:val="16"/>
                <w:szCs w:val="16"/>
                <w:b w:val="1"/>
                <w:bCs w:val="1"/>
                <w:color w:val="auto"/>
                <w:w w:val="90"/>
              </w:rPr>
              <w:t>Accreted</w:t>
            </w:r>
          </w:p>
        </w:tc>
        <w:tc>
          <w:tcPr>
            <w:tcW w:w="10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Interest Rate </w:t>
            </w:r>
            <w:r>
              <w:rPr>
                <w:rFonts w:ascii="Arial" w:cs="Arial" w:eastAsia="Arial" w:hAnsi="Arial"/>
                <w:sz w:val="20"/>
                <w:szCs w:val="20"/>
                <w:b w:val="1"/>
                <w:bCs w:val="1"/>
                <w:color w:val="auto"/>
                <w:vertAlign w:val="superscript"/>
              </w:rPr>
              <w:t>(1)</w:t>
            </w:r>
          </w:p>
        </w:tc>
        <w:tc>
          <w:tcPr>
            <w:tcW w:w="1260" w:type="dxa"/>
            <w:vAlign w:val="bottom"/>
            <w:gridSpan w:val="2"/>
            <w:vMerge w:val="continue"/>
          </w:tcPr>
          <w:p>
            <w:pPr>
              <w:spacing w:after="0"/>
              <w:rPr>
                <w:sz w:val="13"/>
                <w:szCs w:val="13"/>
                <w:color w:val="auto"/>
              </w:rPr>
            </w:pPr>
          </w:p>
        </w:tc>
        <w:tc>
          <w:tcPr>
            <w:tcW w:w="138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3"/>
        </w:trPr>
        <w:tc>
          <w:tcPr>
            <w:tcW w:w="3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10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 Years)</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4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December 17, 2015 </w:t>
            </w:r>
            <w:r>
              <w:rPr>
                <w:rFonts w:ascii="Arial" w:cs="Arial" w:eastAsia="Arial" w:hAnsi="Arial"/>
                <w:sz w:val="20"/>
                <w:szCs w:val="20"/>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100,000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4.27 %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December 2025</w:t>
            </w:r>
          </w:p>
        </w:tc>
        <w:tc>
          <w:tcPr>
            <w:tcW w:w="0" w:type="dxa"/>
            <w:vAlign w:val="bottom"/>
          </w:tcPr>
          <w:p>
            <w:pPr>
              <w:spacing w:after="0"/>
              <w:rPr>
                <w:sz w:val="1"/>
                <w:szCs w:val="1"/>
                <w:color w:val="auto"/>
              </w:rPr>
            </w:pPr>
          </w:p>
        </w:tc>
      </w:tr>
      <w:tr>
        <w:trPr>
          <w:trHeight w:val="213"/>
        </w:trPr>
        <w:tc>
          <w:tcPr>
            <w:tcW w:w="314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October 5, 2017 </w:t>
            </w:r>
            <w:r>
              <w:rPr>
                <w:rFonts w:ascii="Arial" w:cs="Arial" w:eastAsia="Arial" w:hAnsi="Arial"/>
                <w:sz w:val="20"/>
                <w:szCs w:val="20"/>
                <w:color w:val="auto"/>
                <w:vertAlign w:val="superscript"/>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499,913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2022</w:t>
            </w:r>
          </w:p>
        </w:tc>
        <w:tc>
          <w:tcPr>
            <w:tcW w:w="0" w:type="dxa"/>
            <w:vAlign w:val="bottom"/>
          </w:tcPr>
          <w:p>
            <w:pPr>
              <w:spacing w:after="0"/>
              <w:rPr>
                <w:sz w:val="1"/>
                <w:szCs w:val="1"/>
                <w:color w:val="auto"/>
              </w:rPr>
            </w:pPr>
          </w:p>
        </w:tc>
      </w:tr>
      <w:tr>
        <w:trPr>
          <w:trHeight w:val="211"/>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November 15, 2012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301,002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December 2022</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900,915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financing costs, 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99,692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899,308</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00" w:hanging="394"/>
        <w:spacing w:after="0"/>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Interest rate as of December 31, 2022, taking into account interest rate hedges in effect during the period.</w:t>
      </w:r>
    </w:p>
    <w:p>
      <w:pPr>
        <w:spacing w:after="0" w:line="10" w:lineRule="exact"/>
        <w:rPr>
          <w:rFonts w:ascii="Arial" w:cs="Arial" w:eastAsia="Arial" w:hAnsi="Arial"/>
          <w:sz w:val="14"/>
          <w:szCs w:val="14"/>
          <w:color w:val="auto"/>
        </w:rPr>
      </w:pPr>
    </w:p>
    <w:p>
      <w:pPr>
        <w:ind w:left="400" w:hanging="394"/>
        <w:spacing w:after="0"/>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Issued by the Company and the Operating Partnership as co-obligors.</w:t>
      </w:r>
    </w:p>
    <w:p>
      <w:pPr>
        <w:spacing w:after="0" w:line="7" w:lineRule="exact"/>
        <w:rPr>
          <w:rFonts w:ascii="Arial" w:cs="Arial" w:eastAsia="Arial" w:hAnsi="Arial"/>
          <w:sz w:val="14"/>
          <w:szCs w:val="14"/>
          <w:color w:val="auto"/>
        </w:rPr>
      </w:pPr>
    </w:p>
    <w:p>
      <w:pPr>
        <w:ind w:left="400" w:hanging="394"/>
        <w:spacing w:after="0"/>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Issued by the Operating Partnership with the Company as the guarantor.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18"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The terms of the 2021 credit facility, 2022 term loan and certain of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December 31, 2022 and 2021, we were in compliance with all such covenants.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Deferrable Interest Debentures</w:t>
      </w:r>
    </w:p>
    <w:p>
      <w:pPr>
        <w:spacing w:after="0" w:line="118"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In June 2005, the Company and the Operating Partnership issued $100.0 million in unsecured trust preferred securities through a newly formed trust, SL Green Capital Trust I, or the Trust, which is a wholly-owned subsidiary of the Operating Partnership. The securities mature in 2035 and bear interest at a floating rate of 125 basis points over the three-month LIBOR.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Maturities</w:t>
      </w:r>
    </w:p>
    <w:p>
      <w:pPr>
        <w:spacing w:after="0" w:line="118" w:lineRule="exact"/>
        <w:rPr>
          <w:sz w:val="20"/>
          <w:szCs w:val="20"/>
          <w:color w:val="auto"/>
        </w:rPr>
      </w:pPr>
    </w:p>
    <w:p>
      <w:pPr>
        <w:jc w:val="both"/>
        <w:ind w:right="20" w:firstLine="399"/>
        <w:spacing w:after="0" w:line="330" w:lineRule="auto"/>
        <w:rPr>
          <w:sz w:val="20"/>
          <w:szCs w:val="20"/>
          <w:color w:val="auto"/>
        </w:rPr>
      </w:pPr>
      <w:r>
        <w:rPr>
          <w:rFonts w:ascii="Arial" w:cs="Arial" w:eastAsia="Arial" w:hAnsi="Arial"/>
          <w:sz w:val="16"/>
          <w:szCs w:val="16"/>
          <w:color w:val="auto"/>
        </w:rPr>
        <w:t>Combined aggregate principal maturities of mortgages and other loans payable, the 2021 credit facility, the 2022 term loan, trust preferred securities, senior unsecured notes and our share of joint venture debt as of December 31, 2022, including as-of-right extension options,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Revolving</w:t>
            </w:r>
          </w:p>
        </w:tc>
        <w:tc>
          <w:tcPr>
            <w:tcW w:w="12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Unsecured</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Trust</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Senior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23"/>
              <w:spacing w:after="0"/>
              <w:rPr>
                <w:sz w:val="20"/>
                <w:szCs w:val="20"/>
                <w:color w:val="auto"/>
              </w:rPr>
            </w:pPr>
            <w:r>
              <w:rPr>
                <w:rFonts w:ascii="Arial" w:cs="Arial" w:eastAsia="Arial" w:hAnsi="Arial"/>
                <w:sz w:val="14"/>
                <w:szCs w:val="14"/>
                <w:b w:val="1"/>
                <w:bCs w:val="1"/>
                <w:color w:val="auto"/>
                <w:w w:val="89"/>
              </w:rPr>
              <w:t>Joint</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8"/>
              </w:rPr>
              <w:t>Unsecured</w:t>
            </w:r>
          </w:p>
        </w:tc>
        <w:tc>
          <w:tcPr>
            <w:tcW w:w="260" w:type="dxa"/>
            <w:vAlign w:val="bottom"/>
          </w:tcPr>
          <w:p>
            <w:pPr>
              <w:spacing w:after="0"/>
              <w:rPr>
                <w:sz w:val="12"/>
                <w:szCs w:val="12"/>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43"/>
              <w:spacing w:after="0" w:line="143" w:lineRule="exact"/>
              <w:rPr>
                <w:sz w:val="20"/>
                <w:szCs w:val="20"/>
                <w:color w:val="auto"/>
              </w:rPr>
            </w:pPr>
            <w:r>
              <w:rPr>
                <w:rFonts w:ascii="Arial" w:cs="Arial" w:eastAsia="Arial" w:hAnsi="Arial"/>
                <w:sz w:val="14"/>
                <w:szCs w:val="14"/>
                <w:b w:val="1"/>
                <w:bCs w:val="1"/>
                <w:color w:val="auto"/>
                <w:w w:val="91"/>
              </w:rPr>
              <w:t>Venture</w:t>
            </w:r>
          </w:p>
        </w:tc>
        <w:tc>
          <w:tcPr>
            <w:tcW w:w="0" w:type="dxa"/>
            <w:vAlign w:val="bottom"/>
          </w:tcPr>
          <w:p>
            <w:pPr>
              <w:spacing w:after="0"/>
              <w:rPr>
                <w:sz w:val="1"/>
                <w:szCs w:val="1"/>
                <w:color w:val="auto"/>
              </w:rPr>
            </w:pPr>
          </w:p>
        </w:tc>
      </w:tr>
      <w:tr>
        <w:trPr>
          <w:trHeight w:val="194"/>
        </w:trPr>
        <w:tc>
          <w:tcPr>
            <w:tcW w:w="1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3"/>
              </w:rPr>
              <w:t>Term Loans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265,975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1,155,465</w:t>
            </w:r>
          </w:p>
        </w:tc>
        <w:tc>
          <w:tcPr>
            <w:tcW w:w="0" w:type="dxa"/>
            <w:vAlign w:val="bottom"/>
          </w:tcPr>
          <w:p>
            <w:pPr>
              <w:spacing w:after="0"/>
              <w:rPr>
                <w:sz w:val="1"/>
                <w:szCs w:val="1"/>
                <w:color w:val="auto"/>
              </w:rPr>
            </w:pPr>
          </w:p>
        </w:tc>
      </w:tr>
      <w:tr>
        <w:trPr>
          <w:trHeight w:val="210"/>
        </w:trPr>
        <w:tc>
          <w:tcPr>
            <w:tcW w:w="168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332,749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937,237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894,655</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1,466,750</w:t>
            </w:r>
          </w:p>
        </w:tc>
        <w:tc>
          <w:tcPr>
            <w:tcW w:w="0" w:type="dxa"/>
            <w:vAlign w:val="bottom"/>
          </w:tcPr>
          <w:p>
            <w:pPr>
              <w:spacing w:after="0"/>
              <w:rPr>
                <w:sz w:val="1"/>
                <w:szCs w:val="1"/>
                <w:color w:val="auto"/>
              </w:rPr>
            </w:pPr>
          </w:p>
        </w:tc>
      </w:tr>
      <w:tr>
        <w:trPr>
          <w:trHeight w:val="210"/>
        </w:trPr>
        <w:tc>
          <w:tcPr>
            <w:tcW w:w="1680" w:type="dxa"/>
            <w:vAlign w:val="bottom"/>
          </w:tcPr>
          <w:p>
            <w:pPr>
              <w:ind w:left="2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226,224</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2,262,750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3,712,750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299,417</w:t>
            </w:r>
          </w:p>
        </w:tc>
        <w:tc>
          <w:tcPr>
            <w:tcW w:w="0" w:type="dxa"/>
            <w:vAlign w:val="bottom"/>
          </w:tcPr>
          <w:p>
            <w:pPr>
              <w:spacing w:after="0"/>
              <w:rPr>
                <w:sz w:val="1"/>
                <w:szCs w:val="1"/>
                <w:color w:val="auto"/>
              </w:rPr>
            </w:pPr>
          </w:p>
        </w:tc>
      </w:tr>
      <w:tr>
        <w:trPr>
          <w:trHeight w:val="210"/>
        </w:trPr>
        <w:tc>
          <w:tcPr>
            <w:tcW w:w="16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2,130,404</w:t>
            </w:r>
          </w:p>
        </w:tc>
        <w:tc>
          <w:tcPr>
            <w:tcW w:w="0" w:type="dxa"/>
            <w:vAlign w:val="bottom"/>
          </w:tcPr>
          <w:p>
            <w:pPr>
              <w:spacing w:after="0"/>
              <w:rPr>
                <w:sz w:val="1"/>
                <w:szCs w:val="1"/>
                <w:color w:val="auto"/>
              </w:rPr>
            </w:pPr>
          </w:p>
        </w:tc>
      </w:tr>
      <w:tr>
        <w:trPr>
          <w:trHeight w:val="231"/>
        </w:trPr>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3,225,647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5,535,962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6,172,915</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Consolidated interest expense, excluding capitalized interest, was comprised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26"/>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7"/>
        </w:trPr>
        <w:tc>
          <w:tcPr>
            <w:tcW w:w="7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before capitalized interest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166,493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145,197</w:t>
            </w:r>
          </w:p>
        </w:tc>
        <w:tc>
          <w:tcPr>
            <w:tcW w:w="42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185,934</w:t>
            </w:r>
          </w:p>
        </w:tc>
      </w:tr>
      <w:tr>
        <w:trPr>
          <w:trHeight w:val="211"/>
        </w:trPr>
        <w:tc>
          <w:tcPr>
            <w:tcW w:w="7000" w:type="dxa"/>
            <w:vAlign w:val="bottom"/>
          </w:tcPr>
          <w:p>
            <w:pPr>
              <w:ind w:left="20"/>
              <w:spacing w:after="0"/>
              <w:rPr>
                <w:sz w:val="20"/>
                <w:szCs w:val="20"/>
                <w:color w:val="auto"/>
              </w:rPr>
            </w:pPr>
            <w:r>
              <w:rPr>
                <w:rFonts w:ascii="Arial" w:cs="Arial" w:eastAsia="Arial" w:hAnsi="Arial"/>
                <w:sz w:val="16"/>
                <w:szCs w:val="16"/>
                <w:color w:val="auto"/>
              </w:rPr>
              <w:t>Interest on financing leases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8,091</w:t>
            </w:r>
          </w:p>
        </w:tc>
      </w:tr>
      <w:tr>
        <w:trPr>
          <w:trHeight w:val="215"/>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capitalized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(82,444)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(75,167)</w:t>
            </w:r>
          </w:p>
        </w:tc>
      </w:tr>
      <w:tr>
        <w:trPr>
          <w:trHeight w:val="211"/>
        </w:trPr>
        <w:tc>
          <w:tcPr>
            <w:tcW w:w="7000" w:type="dxa"/>
            <w:vAlign w:val="bottom"/>
          </w:tcPr>
          <w:p>
            <w:pPr>
              <w:ind w:left="20"/>
              <w:spacing w:after="0"/>
              <w:rPr>
                <w:sz w:val="20"/>
                <w:szCs w:val="20"/>
                <w:color w:val="auto"/>
              </w:rPr>
            </w:pPr>
            <w:r>
              <w:rPr>
                <w:rFonts w:ascii="Arial" w:cs="Arial" w:eastAsia="Arial" w:hAnsi="Arial"/>
                <w:sz w:val="16"/>
                <w:szCs w:val="16"/>
                <w:color w:val="auto"/>
              </w:rPr>
              <w:t>Amortization of discount on assumed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r>
      <w:tr>
        <w:trPr>
          <w:trHeight w:val="229"/>
        </w:trPr>
        <w:tc>
          <w:tcPr>
            <w:tcW w:w="70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89,473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70,891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116,679</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 Security/ Messenger and Restoration Services</w:t>
      </w:r>
    </w:p>
    <w:p>
      <w:pPr>
        <w:spacing w:after="0" w:line="118"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Alliance Building Services, or Alliance, and its affiliates, which provide services to certain properties owned by us, were previously partially owned by Gary Green, a son of Stephen L. Green, who serves as a member and as the chairman emeritus of our Board of Directors.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w:t>
      </w:r>
    </w:p>
    <w:p>
      <w:pPr>
        <w:spacing w:after="0" w:line="75"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Income earned from the profit participation, which is included in Other income on the consolidated statements of operations, was $1.4 million, $1.7 million and $1.4 million for the years ended December 31, 2022, 2021 and 2020, respectively.</w:t>
      </w:r>
    </w:p>
    <w:p>
      <w:pPr>
        <w:spacing w:after="0" w:line="74"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We also recorded expenses, inclusive of capitalized expenses, of $8.6 million, $14.0 million and $13.3 million for the years ended December 31, 2022, 2021 and 2020, respectively, for these services (excluding services provided directly to tenants).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We received management fees from this entity of $0.6 million, $0.7 million and $0.6 million for the years ended December 31, 2022, 2021, and 2020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Vanderbilt Avenue Investment</w:t>
      </w:r>
    </w:p>
    <w:p>
      <w:pPr>
        <w:spacing w:after="0" w:line="118"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In December 2016, we entered into agreements with entities owned and controlled by our Chairman and CEO, Marc Holliday, and our President, Andrew Mathias, pursuant to which they agreed to make an investment in our One Vanderbilt project (inclusive of the property and Summit One Vanderbilt) at the appraised fair market value for the interests acquired. This investment entitles these entities to receive approximately 1.50% - 1.80% and 1.00% - 1.20%, respectively, of any profits realized by the Company from its One Vanderbilt project in excess of the Company’s capital contributions. The entities have no right to any return of capital. Accordingly, subject to previously disclosed repurchase rights, these interests will have no value and will not entitle these entities to any amounts (other than limited distributions to cover tax liabilities incurred) unless and until the Company has received distributions from the One Vanderbilt project in excess of the Company’s aggregate investment in the project. In the event that the Company does not realize a profit on its investment in the project (or would not realize a profit based on the value at the time the interests are repurchased), the entities owned and controlled by Messrs. Holliday and Mathias will lose the entire amount of their investment. The entities owned and controlled by Messrs. Holliday and Mathias paid $1.4 million and $1.0 million, respectively, which equaled the fair market value of the interests acquired as of the date the investment agreements were entered into as determined by an independent third party appraisal that we obtained.</w:t>
      </w:r>
    </w:p>
    <w:p>
      <w:pPr>
        <w:spacing w:after="0" w:line="75" w:lineRule="exact"/>
        <w:rPr>
          <w:sz w:val="20"/>
          <w:szCs w:val="20"/>
          <w:color w:val="auto"/>
        </w:rPr>
      </w:pPr>
    </w:p>
    <w:p>
      <w:pPr>
        <w:jc w:val="both"/>
        <w:ind w:firstLine="439"/>
        <w:spacing w:after="0" w:line="285" w:lineRule="auto"/>
        <w:rPr>
          <w:sz w:val="20"/>
          <w:szCs w:val="20"/>
          <w:color w:val="auto"/>
        </w:rPr>
      </w:pPr>
      <w:r>
        <w:rPr>
          <w:rFonts w:ascii="Arial" w:cs="Arial" w:eastAsia="Arial" w:hAnsi="Arial"/>
          <w:sz w:val="16"/>
          <w:szCs w:val="16"/>
          <w:color w:val="auto"/>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7-year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being based on the project's sale price, if applicable, or fair market value as determined by an independent third party appraiser. In 2022, stabilization of the property (but not Summit One Vanderbilt) was achieved. Therefore, Messrs. Holiday and Mathias exercised their rights to tender 50% of their interests in the property (but not Summit One Vanderbilt) for liquidation values of $17.9 million and $11.9 million, respectively, which were paid in July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Vanderbilt Avenue Leases</w:t>
      </w:r>
    </w:p>
    <w:p>
      <w:pPr>
        <w:spacing w:after="0" w:line="118" w:lineRule="exact"/>
        <w:rPr>
          <w:sz w:val="20"/>
          <w:szCs w:val="20"/>
          <w:color w:val="auto"/>
        </w:rPr>
      </w:pPr>
    </w:p>
    <w:p>
      <w:pPr>
        <w:jc w:val="both"/>
        <w:ind w:firstLine="439"/>
        <w:spacing w:after="0" w:line="333" w:lineRule="auto"/>
        <w:rPr>
          <w:sz w:val="20"/>
          <w:szCs w:val="20"/>
          <w:color w:val="auto"/>
        </w:rPr>
      </w:pPr>
      <w:r>
        <w:rPr>
          <w:rFonts w:ascii="Arial" w:cs="Arial" w:eastAsia="Arial" w:hAnsi="Arial"/>
          <w:sz w:val="14"/>
          <w:szCs w:val="14"/>
          <w:color w:val="auto"/>
        </w:rPr>
        <w:t>In November 2018, we entered into a lease agreement with the One Vanderbilt Avenue joint venture covering certain floors at the property. In March 2021, the lease commenced and we relocated our corporate headquarters to the leased space. For the years ended December 31, 2022 and 2021 we recorded $3.0 million and $2.4 million, respectively, of rent expense under the lease. Additionally, in June 2021, we, through a wholly-owned subsidiary, entered into a lease agreement with the One Vanderbilt Avenue joint venture for Summit One Vanderbilt, which commenced operations in October 2021. For the year ended December 31, 2022, we recorded $33.0 million of rent expense under the lease, including percentage rent, of which $22.8 million was recognized as income as a component of Equity in net loss from unconsolidated joint ventures in our consolidated statements of operations. For the year ended December 31, 2021, we recorded $5.0 million of rent expense under the lease with no percentage rent. See Note 20, "Commitments and Contingencies."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are entitled to receive fees for providing management, leasing, construction supervision, and asset management services to certain of our joint ventures as further described in Note 6, "Investments in Unconsolidated Joint Ventures." Amounts due from joint ventures and related parties as of December 31, 2022 and 2021 consisted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Borders>
              <w:bottom w:val="single" w:sz="8" w:color="auto"/>
            </w:tcBorders>
          </w:tcPr>
          <w:p>
            <w:pPr>
              <w:spacing w:after="0"/>
              <w:rPr>
                <w:sz w:val="18"/>
                <w:szCs w:val="18"/>
                <w:color w:val="auto"/>
              </w:rPr>
            </w:pPr>
          </w:p>
        </w:tc>
      </w:tr>
      <w:tr>
        <w:trPr>
          <w:trHeight w:val="207"/>
        </w:trPr>
        <w:tc>
          <w:tcPr>
            <w:tcW w:w="7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2021</w:t>
            </w: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joint ventures</w:t>
            </w:r>
          </w:p>
        </w:tc>
        <w:tc>
          <w:tcPr>
            <w:tcW w:w="1320" w:type="dxa"/>
            <w:vAlign w:val="bottom"/>
            <w:shd w:val="clear" w:color="auto" w:fill="CCEEFF"/>
          </w:tcPr>
          <w:p>
            <w:pPr>
              <w:jc w:val="right"/>
              <w:ind w:right="1140"/>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26,812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28,204</w:t>
            </w:r>
          </w:p>
        </w:tc>
      </w:tr>
      <w:tr>
        <w:trPr>
          <w:trHeight w:val="21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540</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w:t>
            </w:r>
          </w:p>
        </w:tc>
      </w:tr>
      <w:tr>
        <w:trPr>
          <w:trHeight w:val="23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party receivables</w:t>
            </w:r>
          </w:p>
        </w:tc>
        <w:tc>
          <w:tcPr>
            <w:tcW w:w="1320" w:type="dxa"/>
            <w:vAlign w:val="bottom"/>
            <w:tcBorders>
              <w:bottom w:val="single" w:sz="8" w:color="auto"/>
            </w:tcBorders>
            <w:shd w:val="clear" w:color="auto" w:fill="CCEEFF"/>
          </w:tcPr>
          <w:p>
            <w:pPr>
              <w:jc w:val="right"/>
              <w:ind w:right="1140"/>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27,352</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Noncontrolling Interests on the Company's Consolidated Financial Statements</w:t>
      </w:r>
    </w:p>
    <w:p>
      <w:pPr>
        <w:spacing w:after="0" w:line="118"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 of Limited Partnership Interest in the Operating Partnership</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of December 31, 2022 and 2021, the noncontrolling interest unit holders owned 5.39%, or 3,670,343 units, and 5.57%, or 3,781,565 units, of the Operating Partnership, respectively. As of December 31, 2022, 3,670,343 shares of our common stock were reserved for issuance upon the redemption of units of limited partnership interest of the Operating Partnership.</w:t>
      </w:r>
    </w:p>
    <w:p>
      <w:pPr>
        <w:spacing w:after="0" w:line="83"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Noncontrolling interests in the Operating Partnership is recorded at the greater of its cost basis or fair market value based on the closing stock price of our common stock at the end of the reporting period.</w:t>
      </w:r>
    </w:p>
    <w:p>
      <w:pPr>
        <w:spacing w:after="0" w:line="74"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Below is a summary of the activity relating to the noncontrolling interests in the Operating Partnership for twelve months ended December 31, 2022 and 2021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7"/>
        </w:trPr>
        <w:tc>
          <w:tcPr>
            <w:tcW w:w="8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2021</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344,252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358,262</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(16,272)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(15,749)</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units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22,855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18,678</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Redemption and conversion of common units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(40,901)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(53,289)</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(5,794)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25,457</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Accumulated other comprehensive income allocation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5,827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1,042</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adjustment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(39,974)</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9,851</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269,993</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344,252</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Units of Limited Partnership Interest in the Operating Partnership</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Below is a summary of the preferred units of limited partnership interest in the Operating Partnership as of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5"/>
              </w:rPr>
              <w:t>Stated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2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Annual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Liquidation</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Conversion</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Issuance</w:t>
            </w:r>
          </w:p>
        </w:tc>
        <w:tc>
          <w:tcPr>
            <w:tcW w:w="100" w:type="dxa"/>
            <w:vAlign w:val="bottom"/>
            <w:vMerge w:val="restart"/>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40" w:type="dxa"/>
            <w:vAlign w:val="bottom"/>
            <w:gridSpan w:val="2"/>
          </w:tcPr>
          <w:p>
            <w:pPr>
              <w:jc w:val="center"/>
              <w:ind w:right="120"/>
              <w:spacing w:after="0" w:line="160" w:lineRule="exact"/>
              <w:rPr>
                <w:sz w:val="20"/>
                <w:szCs w:val="20"/>
                <w:color w:val="auto"/>
              </w:rPr>
            </w:pPr>
            <w:r>
              <w:rPr>
                <w:rFonts w:ascii="Arial" w:cs="Arial" w:eastAsia="Arial" w:hAnsi="Arial"/>
                <w:sz w:val="16"/>
                <w:szCs w:val="16"/>
                <w:b w:val="1"/>
                <w:bCs w:val="1"/>
                <w:color w:val="auto"/>
                <w:w w:val="89"/>
              </w:rPr>
              <w:t>Units</w:t>
            </w:r>
          </w:p>
        </w:tc>
        <w:tc>
          <w:tcPr>
            <w:tcW w:w="1240" w:type="dxa"/>
            <w:vAlign w:val="bottom"/>
            <w:gridSpan w:val="2"/>
            <w:vMerge w:val="continue"/>
          </w:tcPr>
          <w:p>
            <w:pPr>
              <w:spacing w:after="0"/>
              <w:rPr>
                <w:sz w:val="13"/>
                <w:szCs w:val="13"/>
                <w:color w:val="auto"/>
              </w:rPr>
            </w:pPr>
          </w:p>
        </w:tc>
        <w:tc>
          <w:tcPr>
            <w:tcW w:w="1260" w:type="dxa"/>
            <w:vAlign w:val="bottom"/>
            <w:gridSpan w:val="2"/>
          </w:tcPr>
          <w:p>
            <w:pPr>
              <w:jc w:val="center"/>
              <w:ind w:right="100"/>
              <w:spacing w:after="0" w:line="160" w:lineRule="exact"/>
              <w:rPr>
                <w:sz w:val="20"/>
                <w:szCs w:val="20"/>
                <w:color w:val="auto"/>
              </w:rPr>
            </w:pPr>
            <w:r>
              <w:rPr>
                <w:rFonts w:ascii="Arial" w:cs="Arial" w:eastAsia="Arial" w:hAnsi="Arial"/>
                <w:sz w:val="16"/>
                <w:szCs w:val="16"/>
                <w:b w:val="1"/>
                <w:bCs w:val="1"/>
                <w:color w:val="auto"/>
                <w:w w:val="89"/>
              </w:rPr>
              <w:t>Units</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60" w:lineRule="exact"/>
              <w:rPr>
                <w:sz w:val="20"/>
                <w:szCs w:val="20"/>
                <w:color w:val="auto"/>
              </w:rPr>
            </w:pPr>
            <w:r>
              <w:rPr>
                <w:rFonts w:ascii="Arial" w:cs="Arial" w:eastAsia="Arial" w:hAnsi="Arial"/>
                <w:sz w:val="16"/>
                <w:szCs w:val="16"/>
                <w:b w:val="1"/>
                <w:bCs w:val="1"/>
                <w:color w:val="auto"/>
                <w:w w:val="91"/>
              </w:rPr>
              <w:t>Dividend Per</w:t>
            </w:r>
          </w:p>
        </w:tc>
        <w:tc>
          <w:tcPr>
            <w:tcW w:w="1240" w:type="dxa"/>
            <w:vAlign w:val="bottom"/>
            <w:gridSpan w:val="3"/>
          </w:tcPr>
          <w:p>
            <w:pPr>
              <w:jc w:val="center"/>
              <w:ind w:right="100"/>
              <w:spacing w:after="0" w:line="160" w:lineRule="exact"/>
              <w:rPr>
                <w:sz w:val="20"/>
                <w:szCs w:val="20"/>
                <w:color w:val="auto"/>
              </w:rPr>
            </w:pPr>
            <w:r>
              <w:rPr>
                <w:rFonts w:ascii="Arial" w:cs="Arial" w:eastAsia="Arial" w:hAnsi="Arial"/>
                <w:sz w:val="16"/>
                <w:szCs w:val="16"/>
                <w:b w:val="1"/>
                <w:bCs w:val="1"/>
                <w:color w:val="auto"/>
                <w:w w:val="90"/>
              </w:rPr>
              <w:t>Preference Per</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60" w:lineRule="exact"/>
              <w:rPr>
                <w:sz w:val="20"/>
                <w:szCs w:val="20"/>
                <w:color w:val="auto"/>
              </w:rPr>
            </w:pPr>
            <w:r>
              <w:rPr>
                <w:rFonts w:ascii="Arial" w:cs="Arial" w:eastAsia="Arial" w:hAnsi="Arial"/>
                <w:sz w:val="16"/>
                <w:szCs w:val="16"/>
                <w:b w:val="1"/>
                <w:bCs w:val="1"/>
                <w:color w:val="auto"/>
                <w:w w:val="89"/>
              </w:rPr>
              <w:t>Price Per</w:t>
            </w:r>
          </w:p>
        </w:tc>
        <w:tc>
          <w:tcPr>
            <w:tcW w:w="13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w w:val="94"/>
              </w:rPr>
              <w:t>Date of Issuance</w:t>
            </w:r>
          </w:p>
        </w:tc>
        <w:tc>
          <w:tcPr>
            <w:tcW w:w="0" w:type="dxa"/>
            <w:vAlign w:val="bottom"/>
          </w:tcPr>
          <w:p>
            <w:pPr>
              <w:spacing w:after="0"/>
              <w:rPr>
                <w:sz w:val="1"/>
                <w:szCs w:val="1"/>
                <w:color w:val="auto"/>
              </w:rPr>
            </w:pPr>
          </w:p>
        </w:tc>
      </w:tr>
      <w:tr>
        <w:trPr>
          <w:trHeight w:val="213"/>
        </w:trPr>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Distribution Rate</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Authorized</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Units Issued</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6"/>
                <w:szCs w:val="16"/>
                <w:b w:val="1"/>
                <w:bCs w:val="1"/>
                <w:color w:val="auto"/>
                <w:w w:val="88"/>
              </w:rPr>
              <w:t>Unit</w:t>
            </w:r>
            <w:r>
              <w:rPr>
                <w:rFonts w:ascii="Arial" w:cs="Arial" w:eastAsia="Arial" w:hAnsi="Arial"/>
                <w:sz w:val="20"/>
                <w:szCs w:val="20"/>
                <w:b w:val="1"/>
                <w:bCs w:val="1"/>
                <w:color w:val="auto"/>
                <w:w w:val="88"/>
                <w:vertAlign w:val="superscript"/>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0"/>
              <w:spacing w:after="0" w:line="213" w:lineRule="exact"/>
              <w:rPr>
                <w:sz w:val="20"/>
                <w:szCs w:val="20"/>
                <w:color w:val="auto"/>
              </w:rPr>
            </w:pPr>
            <w:r>
              <w:rPr>
                <w:rFonts w:ascii="Arial" w:cs="Arial" w:eastAsia="Arial" w:hAnsi="Arial"/>
                <w:sz w:val="16"/>
                <w:szCs w:val="16"/>
                <w:b w:val="1"/>
                <w:bCs w:val="1"/>
                <w:color w:val="auto"/>
                <w:w w:val="88"/>
              </w:rPr>
              <w:t>Unit</w:t>
            </w:r>
            <w:r>
              <w:rPr>
                <w:rFonts w:ascii="Arial" w:cs="Arial" w:eastAsia="Arial" w:hAnsi="Arial"/>
                <w:sz w:val="20"/>
                <w:szCs w:val="20"/>
                <w:b w:val="1"/>
                <w:bCs w:val="1"/>
                <w:color w:val="auto"/>
                <w:w w:val="88"/>
                <w:vertAlign w:val="superscript"/>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line="213" w:lineRule="exact"/>
              <w:rPr>
                <w:sz w:val="20"/>
                <w:szCs w:val="20"/>
                <w:color w:val="auto"/>
              </w:rPr>
            </w:pPr>
            <w:r>
              <w:rPr>
                <w:rFonts w:ascii="Arial" w:cs="Arial" w:eastAsia="Arial" w:hAnsi="Arial"/>
                <w:sz w:val="16"/>
                <w:szCs w:val="16"/>
                <w:b w:val="1"/>
                <w:bCs w:val="1"/>
                <w:color w:val="auto"/>
                <w:w w:val="88"/>
              </w:rPr>
              <w:t>Unit</w:t>
            </w:r>
            <w:r>
              <w:rPr>
                <w:rFonts w:ascii="Arial" w:cs="Arial" w:eastAsia="Arial" w:hAnsi="Arial"/>
                <w:sz w:val="20"/>
                <w:szCs w:val="20"/>
                <w:b w:val="1"/>
                <w:bCs w:val="1"/>
                <w:color w:val="auto"/>
                <w:w w:val="88"/>
                <w:vertAlign w:val="superscript"/>
              </w:rPr>
              <w:t>(3)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Series A </w:t>
            </w:r>
            <w:r>
              <w:rPr>
                <w:rFonts w:ascii="Arial" w:cs="Arial" w:eastAsia="Arial" w:hAnsi="Arial"/>
                <w:sz w:val="20"/>
                <w:szCs w:val="20"/>
                <w:color w:val="auto"/>
                <w:vertAlign w:val="superscript"/>
              </w:rPr>
              <w:t>(4)</w:t>
            </w:r>
          </w:p>
        </w:tc>
        <w:tc>
          <w:tcPr>
            <w:tcW w:w="1300" w:type="dxa"/>
            <w:vAlign w:val="bottom"/>
            <w:shd w:val="clear" w:color="auto" w:fill="CCEEFF"/>
          </w:tcPr>
          <w:p>
            <w:pPr>
              <w:jc w:val="center"/>
              <w:ind w:left="720"/>
              <w:spacing w:after="0"/>
              <w:rPr>
                <w:sz w:val="20"/>
                <w:szCs w:val="20"/>
                <w:color w:val="auto"/>
              </w:rPr>
            </w:pPr>
            <w:r>
              <w:rPr>
                <w:rFonts w:ascii="Arial" w:cs="Arial" w:eastAsia="Arial" w:hAnsi="Arial"/>
                <w:sz w:val="16"/>
                <w:szCs w:val="16"/>
                <w:color w:val="auto"/>
                <w:w w:val="92"/>
              </w:rPr>
              <w:t>3.50 %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109,161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109,161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2015</w:t>
            </w:r>
          </w:p>
        </w:tc>
        <w:tc>
          <w:tcPr>
            <w:tcW w:w="0" w:type="dxa"/>
            <w:vAlign w:val="bottom"/>
          </w:tcPr>
          <w:p>
            <w:pPr>
              <w:spacing w:after="0"/>
              <w:rPr>
                <w:sz w:val="1"/>
                <w:szCs w:val="1"/>
                <w:color w:val="auto"/>
              </w:rPr>
            </w:pPr>
          </w:p>
        </w:tc>
      </w:tr>
      <w:tr>
        <w:trPr>
          <w:trHeight w:val="210"/>
        </w:trPr>
        <w:tc>
          <w:tcPr>
            <w:tcW w:w="1100" w:type="dxa"/>
            <w:vAlign w:val="bottom"/>
            <w:gridSpan w:val="2"/>
          </w:tcPr>
          <w:p>
            <w:pPr>
              <w:ind w:left="20"/>
              <w:spacing w:after="0"/>
              <w:rPr>
                <w:sz w:val="20"/>
                <w:szCs w:val="20"/>
                <w:color w:val="auto"/>
              </w:rPr>
            </w:pPr>
            <w:r>
              <w:rPr>
                <w:rFonts w:ascii="Arial" w:cs="Arial" w:eastAsia="Arial" w:hAnsi="Arial"/>
                <w:sz w:val="16"/>
                <w:szCs w:val="16"/>
                <w:color w:val="auto"/>
              </w:rPr>
              <w:t>Series F</w:t>
            </w:r>
          </w:p>
        </w:tc>
        <w:tc>
          <w:tcPr>
            <w:tcW w:w="1300" w:type="dxa"/>
            <w:vAlign w:val="bottom"/>
          </w:tcPr>
          <w:p>
            <w:pPr>
              <w:jc w:val="center"/>
              <w:ind w:left="720"/>
              <w:spacing w:after="0"/>
              <w:rPr>
                <w:sz w:val="20"/>
                <w:szCs w:val="20"/>
                <w:color w:val="auto"/>
              </w:rPr>
            </w:pPr>
            <w:r>
              <w:rPr>
                <w:rFonts w:ascii="Arial" w:cs="Arial" w:eastAsia="Arial" w:hAnsi="Arial"/>
                <w:sz w:val="16"/>
                <w:szCs w:val="16"/>
                <w:color w:val="auto"/>
                <w:w w:val="92"/>
              </w:rPr>
              <w:t>7.00 %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January 2007</w:t>
            </w:r>
          </w:p>
        </w:tc>
        <w:tc>
          <w:tcPr>
            <w:tcW w:w="0" w:type="dxa"/>
            <w:vAlign w:val="bottom"/>
          </w:tcPr>
          <w:p>
            <w:pPr>
              <w:spacing w:after="0"/>
              <w:rPr>
                <w:sz w:val="1"/>
                <w:szCs w:val="1"/>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K</w:t>
            </w:r>
          </w:p>
        </w:tc>
        <w:tc>
          <w:tcPr>
            <w:tcW w:w="1300" w:type="dxa"/>
            <w:vAlign w:val="bottom"/>
            <w:shd w:val="clear" w:color="auto" w:fill="CCEEFF"/>
          </w:tcPr>
          <w:p>
            <w:pPr>
              <w:jc w:val="center"/>
              <w:ind w:left="720"/>
              <w:spacing w:after="0"/>
              <w:rPr>
                <w:sz w:val="20"/>
                <w:szCs w:val="20"/>
                <w:color w:val="auto"/>
              </w:rPr>
            </w:pPr>
            <w:r>
              <w:rPr>
                <w:rFonts w:ascii="Arial" w:cs="Arial" w:eastAsia="Arial" w:hAnsi="Arial"/>
                <w:sz w:val="16"/>
                <w:szCs w:val="16"/>
                <w:color w:val="auto"/>
                <w:w w:val="92"/>
              </w:rPr>
              <w:t>3.50 %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563,954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2014</w:t>
            </w:r>
          </w:p>
        </w:tc>
        <w:tc>
          <w:tcPr>
            <w:tcW w:w="0" w:type="dxa"/>
            <w:vAlign w:val="bottom"/>
          </w:tcPr>
          <w:p>
            <w:pPr>
              <w:spacing w:after="0"/>
              <w:rPr>
                <w:sz w:val="1"/>
                <w:szCs w:val="1"/>
                <w:color w:val="auto"/>
              </w:rPr>
            </w:pPr>
          </w:p>
        </w:tc>
      </w:tr>
      <w:tr>
        <w:trPr>
          <w:trHeight w:val="226"/>
        </w:trPr>
        <w:tc>
          <w:tcPr>
            <w:tcW w:w="1100" w:type="dxa"/>
            <w:vAlign w:val="bottom"/>
            <w:gridSpan w:val="2"/>
          </w:tcPr>
          <w:p>
            <w:pPr>
              <w:ind w:left="20"/>
              <w:spacing w:after="0"/>
              <w:rPr>
                <w:sz w:val="20"/>
                <w:szCs w:val="20"/>
                <w:color w:val="auto"/>
              </w:rPr>
            </w:pPr>
            <w:r>
              <w:rPr>
                <w:rFonts w:ascii="Arial" w:cs="Arial" w:eastAsia="Arial" w:hAnsi="Arial"/>
                <w:sz w:val="16"/>
                <w:szCs w:val="16"/>
                <w:color w:val="auto"/>
              </w:rPr>
              <w:t>Series L</w:t>
            </w:r>
          </w:p>
        </w:tc>
        <w:tc>
          <w:tcPr>
            <w:tcW w:w="1300" w:type="dxa"/>
            <w:vAlign w:val="bottom"/>
          </w:tcPr>
          <w:p>
            <w:pPr>
              <w:jc w:val="center"/>
              <w:ind w:left="720"/>
              <w:spacing w:after="0"/>
              <w:rPr>
                <w:sz w:val="20"/>
                <w:szCs w:val="20"/>
                <w:color w:val="auto"/>
              </w:rPr>
            </w:pPr>
            <w:r>
              <w:rPr>
                <w:rFonts w:ascii="Arial" w:cs="Arial" w:eastAsia="Arial" w:hAnsi="Arial"/>
                <w:sz w:val="16"/>
                <w:szCs w:val="16"/>
                <w:color w:val="auto"/>
                <w:w w:val="92"/>
              </w:rPr>
              <w:t>4.00 %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378,634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372,634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August 2014</w:t>
            </w:r>
          </w:p>
        </w:tc>
        <w:tc>
          <w:tcPr>
            <w:tcW w:w="0" w:type="dxa"/>
            <w:vAlign w:val="bottom"/>
          </w:tcPr>
          <w:p>
            <w:pPr>
              <w:spacing w:after="0"/>
              <w:rPr>
                <w:sz w:val="1"/>
                <w:szCs w:val="1"/>
                <w:color w:val="auto"/>
              </w:rPr>
            </w:pPr>
          </w:p>
        </w:tc>
      </w:tr>
      <w:tr>
        <w:trPr>
          <w:trHeight w:val="227"/>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P</w:t>
            </w:r>
          </w:p>
        </w:tc>
        <w:tc>
          <w:tcPr>
            <w:tcW w:w="1300" w:type="dxa"/>
            <w:vAlign w:val="bottom"/>
            <w:shd w:val="clear" w:color="auto" w:fill="CCEEFF"/>
          </w:tcPr>
          <w:p>
            <w:pPr>
              <w:jc w:val="center"/>
              <w:ind w:left="720"/>
              <w:spacing w:after="0"/>
              <w:rPr>
                <w:sz w:val="20"/>
                <w:szCs w:val="20"/>
                <w:color w:val="auto"/>
              </w:rPr>
            </w:pPr>
            <w:r>
              <w:rPr>
                <w:rFonts w:ascii="Arial" w:cs="Arial" w:eastAsia="Arial" w:hAnsi="Arial"/>
                <w:sz w:val="16"/>
                <w:szCs w:val="16"/>
                <w:color w:val="auto"/>
                <w:w w:val="92"/>
              </w:rPr>
              <w:t>4.00 %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2015</w:t>
            </w:r>
          </w:p>
        </w:tc>
        <w:tc>
          <w:tcPr>
            <w:tcW w:w="0" w:type="dxa"/>
            <w:vAlign w:val="bottom"/>
          </w:tcPr>
          <w:p>
            <w:pPr>
              <w:spacing w:after="0"/>
              <w:rPr>
                <w:sz w:val="1"/>
                <w:szCs w:val="1"/>
                <w:color w:val="auto"/>
              </w:rPr>
            </w:pPr>
          </w:p>
        </w:tc>
      </w:tr>
      <w:tr>
        <w:trPr>
          <w:trHeight w:val="210"/>
        </w:trPr>
        <w:tc>
          <w:tcPr>
            <w:tcW w:w="1100" w:type="dxa"/>
            <w:vAlign w:val="bottom"/>
            <w:gridSpan w:val="2"/>
          </w:tcPr>
          <w:p>
            <w:pPr>
              <w:ind w:left="20"/>
              <w:spacing w:after="0"/>
              <w:rPr>
                <w:sz w:val="20"/>
                <w:szCs w:val="20"/>
                <w:color w:val="auto"/>
              </w:rPr>
            </w:pPr>
            <w:r>
              <w:rPr>
                <w:rFonts w:ascii="Arial" w:cs="Arial" w:eastAsia="Arial" w:hAnsi="Arial"/>
                <w:sz w:val="16"/>
                <w:szCs w:val="16"/>
                <w:color w:val="auto"/>
              </w:rPr>
              <w:t>Series Q</w:t>
            </w:r>
          </w:p>
        </w:tc>
        <w:tc>
          <w:tcPr>
            <w:tcW w:w="1300" w:type="dxa"/>
            <w:vAlign w:val="bottom"/>
          </w:tcPr>
          <w:p>
            <w:pPr>
              <w:jc w:val="center"/>
              <w:ind w:left="720"/>
              <w:spacing w:after="0"/>
              <w:rPr>
                <w:sz w:val="20"/>
                <w:szCs w:val="20"/>
                <w:color w:val="auto"/>
              </w:rPr>
            </w:pPr>
            <w:r>
              <w:rPr>
                <w:rFonts w:ascii="Arial" w:cs="Arial" w:eastAsia="Arial" w:hAnsi="Arial"/>
                <w:sz w:val="16"/>
                <w:szCs w:val="16"/>
                <w:color w:val="auto"/>
                <w:w w:val="92"/>
              </w:rPr>
              <w:t>3.50 %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268,000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148.95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July 2015</w:t>
            </w:r>
          </w:p>
        </w:tc>
        <w:tc>
          <w:tcPr>
            <w:tcW w:w="0" w:type="dxa"/>
            <w:vAlign w:val="bottom"/>
          </w:tcPr>
          <w:p>
            <w:pPr>
              <w:spacing w:after="0"/>
              <w:rPr>
                <w:sz w:val="1"/>
                <w:szCs w:val="1"/>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R</w:t>
            </w:r>
          </w:p>
        </w:tc>
        <w:tc>
          <w:tcPr>
            <w:tcW w:w="1300" w:type="dxa"/>
            <w:vAlign w:val="bottom"/>
            <w:shd w:val="clear" w:color="auto" w:fill="CCEEFF"/>
          </w:tcPr>
          <w:p>
            <w:pPr>
              <w:jc w:val="center"/>
              <w:ind w:left="720"/>
              <w:spacing w:after="0"/>
              <w:rPr>
                <w:sz w:val="20"/>
                <w:szCs w:val="20"/>
                <w:color w:val="auto"/>
              </w:rPr>
            </w:pPr>
            <w:r>
              <w:rPr>
                <w:rFonts w:ascii="Arial" w:cs="Arial" w:eastAsia="Arial" w:hAnsi="Arial"/>
                <w:sz w:val="16"/>
                <w:szCs w:val="16"/>
                <w:color w:val="auto"/>
                <w:w w:val="92"/>
              </w:rPr>
              <w:t>3.50 %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2015</w:t>
            </w:r>
          </w:p>
        </w:tc>
        <w:tc>
          <w:tcPr>
            <w:tcW w:w="0" w:type="dxa"/>
            <w:vAlign w:val="bottom"/>
          </w:tcPr>
          <w:p>
            <w:pPr>
              <w:spacing w:after="0"/>
              <w:rPr>
                <w:sz w:val="1"/>
                <w:szCs w:val="1"/>
                <w:color w:val="auto"/>
              </w:rPr>
            </w:pPr>
          </w:p>
        </w:tc>
      </w:tr>
      <w:tr>
        <w:trPr>
          <w:trHeight w:val="210"/>
        </w:trPr>
        <w:tc>
          <w:tcPr>
            <w:tcW w:w="1100" w:type="dxa"/>
            <w:vAlign w:val="bottom"/>
            <w:gridSpan w:val="2"/>
          </w:tcPr>
          <w:p>
            <w:pPr>
              <w:ind w:left="20"/>
              <w:spacing w:after="0"/>
              <w:rPr>
                <w:sz w:val="20"/>
                <w:szCs w:val="20"/>
                <w:color w:val="auto"/>
              </w:rPr>
            </w:pPr>
            <w:r>
              <w:rPr>
                <w:rFonts w:ascii="Arial" w:cs="Arial" w:eastAsia="Arial" w:hAnsi="Arial"/>
                <w:sz w:val="16"/>
                <w:szCs w:val="16"/>
                <w:color w:val="auto"/>
              </w:rPr>
              <w:t>Series S</w:t>
            </w:r>
          </w:p>
        </w:tc>
        <w:tc>
          <w:tcPr>
            <w:tcW w:w="1300" w:type="dxa"/>
            <w:vAlign w:val="bottom"/>
          </w:tcPr>
          <w:p>
            <w:pPr>
              <w:jc w:val="center"/>
              <w:ind w:left="720"/>
              <w:spacing w:after="0"/>
              <w:rPr>
                <w:sz w:val="20"/>
                <w:szCs w:val="20"/>
                <w:color w:val="auto"/>
              </w:rPr>
            </w:pPr>
            <w:r>
              <w:rPr>
                <w:rFonts w:ascii="Arial" w:cs="Arial" w:eastAsia="Arial" w:hAnsi="Arial"/>
                <w:sz w:val="16"/>
                <w:szCs w:val="16"/>
                <w:color w:val="auto"/>
                <w:w w:val="92"/>
              </w:rPr>
              <w:t>4.00 %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1,077,280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1,077,280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1,077,280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August 2015</w:t>
            </w:r>
          </w:p>
        </w:tc>
        <w:tc>
          <w:tcPr>
            <w:tcW w:w="0" w:type="dxa"/>
            <w:vAlign w:val="bottom"/>
          </w:tcPr>
          <w:p>
            <w:pPr>
              <w:spacing w:after="0"/>
              <w:rPr>
                <w:sz w:val="1"/>
                <w:szCs w:val="1"/>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V</w:t>
            </w:r>
          </w:p>
        </w:tc>
        <w:tc>
          <w:tcPr>
            <w:tcW w:w="1300" w:type="dxa"/>
            <w:vAlign w:val="bottom"/>
            <w:shd w:val="clear" w:color="auto" w:fill="CCEEFF"/>
          </w:tcPr>
          <w:p>
            <w:pPr>
              <w:jc w:val="center"/>
              <w:ind w:left="720"/>
              <w:spacing w:after="0"/>
              <w:rPr>
                <w:sz w:val="20"/>
                <w:szCs w:val="20"/>
                <w:color w:val="auto"/>
              </w:rPr>
            </w:pPr>
            <w:r>
              <w:rPr>
                <w:rFonts w:ascii="Arial" w:cs="Arial" w:eastAsia="Arial" w:hAnsi="Arial"/>
                <w:sz w:val="16"/>
                <w:szCs w:val="16"/>
                <w:color w:val="auto"/>
                <w:w w:val="92"/>
              </w:rPr>
              <w:t>3.50 %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2019</w:t>
            </w:r>
          </w:p>
        </w:tc>
        <w:tc>
          <w:tcPr>
            <w:tcW w:w="0" w:type="dxa"/>
            <w:vAlign w:val="bottom"/>
          </w:tcPr>
          <w:p>
            <w:pPr>
              <w:spacing w:after="0"/>
              <w:rPr>
                <w:sz w:val="1"/>
                <w:szCs w:val="1"/>
                <w:color w:val="auto"/>
              </w:rPr>
            </w:pPr>
          </w:p>
        </w:tc>
      </w:tr>
      <w:tr>
        <w:trPr>
          <w:trHeight w:val="275"/>
        </w:trPr>
        <w:tc>
          <w:tcPr>
            <w:tcW w:w="1100" w:type="dxa"/>
            <w:vAlign w:val="bottom"/>
            <w:gridSpan w:val="2"/>
          </w:tcPr>
          <w:p>
            <w:pPr>
              <w:ind w:left="20"/>
              <w:spacing w:after="0"/>
              <w:rPr>
                <w:sz w:val="20"/>
                <w:szCs w:val="20"/>
                <w:color w:val="auto"/>
              </w:rPr>
            </w:pPr>
            <w:r>
              <w:rPr>
                <w:rFonts w:ascii="Arial" w:cs="Arial" w:eastAsia="Arial" w:hAnsi="Arial"/>
                <w:sz w:val="16"/>
                <w:szCs w:val="16"/>
                <w:color w:val="auto"/>
              </w:rPr>
              <w:t xml:space="preserve">Series W </w:t>
            </w:r>
            <w:r>
              <w:rPr>
                <w:rFonts w:ascii="Arial" w:cs="Arial" w:eastAsia="Arial" w:hAnsi="Arial"/>
                <w:sz w:val="20"/>
                <w:szCs w:val="20"/>
                <w:color w:val="auto"/>
                <w:vertAlign w:val="superscript"/>
              </w:rPr>
              <w:t>(5)</w:t>
            </w:r>
          </w:p>
        </w:tc>
        <w:tc>
          <w:tcPr>
            <w:tcW w:w="1300" w:type="dxa"/>
            <w:vAlign w:val="bottom"/>
          </w:tcPr>
          <w:p>
            <w:pPr>
              <w:jc w:val="center"/>
              <w:ind w:left="720"/>
              <w:spacing w:after="0"/>
              <w:rPr>
                <w:sz w:val="20"/>
                <w:szCs w:val="20"/>
                <w:color w:val="auto"/>
              </w:rPr>
            </w:pPr>
            <w:r>
              <w:rPr>
                <w:rFonts w:ascii="Arial" w:cs="Arial" w:eastAsia="Arial" w:hAnsi="Arial"/>
                <w:sz w:val="16"/>
                <w:szCs w:val="16"/>
                <w:color w:val="auto"/>
                <w:w w:val="91"/>
              </w:rPr>
              <w:t>(6)</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January 2020</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400" w:hanging="394"/>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Dividends are cumulative, subject to certain provisions.</w:t>
      </w:r>
    </w:p>
    <w:p>
      <w:pPr>
        <w:spacing w:after="0" w:line="10" w:lineRule="exact"/>
        <w:rPr>
          <w:rFonts w:ascii="Arial" w:cs="Arial" w:eastAsia="Arial" w:hAnsi="Arial"/>
          <w:sz w:val="14"/>
          <w:szCs w:val="14"/>
          <w:color w:val="auto"/>
        </w:rPr>
      </w:pPr>
    </w:p>
    <w:p>
      <w:pPr>
        <w:ind w:left="400" w:hanging="394"/>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Units are redeemable at any time at par for cash at the option of the unit holder unless otherwise specified.</w:t>
      </w:r>
    </w:p>
    <w:p>
      <w:pPr>
        <w:spacing w:after="0" w:line="7" w:lineRule="exact"/>
        <w:rPr>
          <w:rFonts w:ascii="Arial" w:cs="Arial" w:eastAsia="Arial" w:hAnsi="Arial"/>
          <w:sz w:val="14"/>
          <w:szCs w:val="14"/>
          <w:color w:val="auto"/>
        </w:rPr>
      </w:pPr>
    </w:p>
    <w:p>
      <w:pPr>
        <w:ind w:left="400" w:hanging="394"/>
        <w:spacing w:after="0" w:line="257" w:lineRule="auto"/>
        <w:tabs>
          <w:tab w:leader="none" w:pos="392" w:val="left"/>
        </w:tabs>
        <w:numPr>
          <w:ilvl w:val="0"/>
          <w:numId w:val="63"/>
        </w:numPr>
        <w:rPr>
          <w:rFonts w:ascii="Arial" w:cs="Arial" w:eastAsia="Arial" w:hAnsi="Arial"/>
          <w:sz w:val="14"/>
          <w:szCs w:val="14"/>
          <w:color w:val="auto"/>
        </w:rPr>
      </w:pPr>
      <w:r>
        <w:rPr>
          <w:rFonts w:ascii="Arial" w:cs="Arial" w:eastAsia="Arial" w:hAnsi="Arial"/>
          <w:sz w:val="14"/>
          <w:szCs w:val="14"/>
          <w:color w:val="auto"/>
        </w:rPr>
        <w:t>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spacing w:after="0" w:line="1" w:lineRule="exact"/>
        <w:rPr>
          <w:rFonts w:ascii="Arial" w:cs="Arial" w:eastAsia="Arial" w:hAnsi="Arial"/>
          <w:sz w:val="14"/>
          <w:szCs w:val="14"/>
          <w:color w:val="auto"/>
        </w:rPr>
      </w:pPr>
    </w:p>
    <w:p>
      <w:pPr>
        <w:jc w:val="both"/>
        <w:ind w:left="400" w:hanging="394"/>
        <w:spacing w:after="0" w:line="251" w:lineRule="auto"/>
        <w:tabs>
          <w:tab w:leader="none" w:pos="392" w:val="left"/>
        </w:tabs>
        <w:numPr>
          <w:ilvl w:val="0"/>
          <w:numId w:val="63"/>
        </w:numPr>
        <w:rPr>
          <w:rFonts w:ascii="Arial" w:cs="Arial" w:eastAsia="Arial" w:hAnsi="Arial"/>
          <w:sz w:val="14"/>
          <w:szCs w:val="14"/>
          <w:color w:val="auto"/>
        </w:rPr>
      </w:pPr>
      <w:r>
        <w:rPr>
          <w:rFonts w:ascii="Arial" w:cs="Arial" w:eastAsia="Arial" w:hAnsi="Arial"/>
          <w:sz w:val="14"/>
          <w:szCs w:val="14"/>
          <w:color w:val="auto"/>
        </w:rPr>
        <w:t>Issued through a consolidated subsidiary. The units are convertible on a one-for-one basis, into the Series B Preferred Units of limited partnership interest, or the Subsidiary Series B Preferred Units. The Subsidiary Series B Preferred Units can be converted at any time, at the option of the unitholder, into a number of common stock equal to 6.71348 shares of common stock for each Subsidiary Series B Preferred Unit. As of December 31, 2022, no Subsidiary Series B Preferred Units have been issued.</w:t>
      </w:r>
    </w:p>
    <w:p>
      <w:pPr>
        <w:jc w:val="both"/>
        <w:ind w:left="400" w:hanging="394"/>
        <w:spacing w:after="0" w:line="257" w:lineRule="auto"/>
        <w:tabs>
          <w:tab w:leader="none" w:pos="392"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spacing w:after="0" w:line="228" w:lineRule="exact"/>
        <w:rPr>
          <w:sz w:val="20"/>
          <w:szCs w:val="20"/>
          <w:color w:val="auto"/>
        </w:rPr>
      </w:pPr>
    </w:p>
    <w:p>
      <w:pPr>
        <w:ind w:right="20" w:firstLine="399"/>
        <w:spacing w:after="0" w:line="266" w:lineRule="auto"/>
        <w:rPr>
          <w:sz w:val="20"/>
          <w:szCs w:val="20"/>
          <w:color w:val="auto"/>
        </w:rPr>
      </w:pPr>
      <w:r>
        <w:rPr>
          <w:rFonts w:ascii="Arial" w:cs="Arial" w:eastAsia="Arial" w:hAnsi="Arial"/>
          <w:sz w:val="18"/>
          <w:szCs w:val="18"/>
          <w:color w:val="auto"/>
        </w:rPr>
        <w:t>Below is a summary of the activity relating to the preferred units in the Operating Partnership for the twelve months ended December 31, 2022 and 2021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7"/>
        </w:trPr>
        <w:tc>
          <w:tcPr>
            <w:tcW w:w="8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2021</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196,075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202,169</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Issuance of preferred units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units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(17,967)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Dividends paid on preferred units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(6,198)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(6,760)</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dividends on preferred units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6,033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6,706</w:t>
            </w:r>
          </w:p>
        </w:tc>
      </w:tr>
      <w:tr>
        <w:trPr>
          <w:trHeight w:val="204"/>
        </w:trPr>
        <w:tc>
          <w:tcPr>
            <w:tcW w:w="82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177,943</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196,075</w:t>
            </w:r>
          </w:p>
        </w:tc>
      </w:tr>
    </w:tbl>
    <w:p>
      <w:pPr>
        <w:spacing w:after="0" w:line="181" w:lineRule="exact"/>
        <w:rPr>
          <w:sz w:val="20"/>
          <w:szCs w:val="20"/>
          <w:color w:val="auto"/>
        </w:rPr>
      </w:pPr>
    </w:p>
    <w:p>
      <w:pPr>
        <w:ind w:right="8100" w:firstLine="6"/>
        <w:spacing w:after="0" w:line="373" w:lineRule="auto"/>
        <w:tabs>
          <w:tab w:leader="none" w:pos="266"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of the Company Common Stock</w:t>
      </w:r>
    </w:p>
    <w:p>
      <w:pPr>
        <w:spacing w:after="0" w:line="2" w:lineRule="exact"/>
        <w:rPr>
          <w:sz w:val="20"/>
          <w:szCs w:val="20"/>
          <w:color w:val="auto"/>
        </w:rPr>
      </w:pPr>
    </w:p>
    <w:p>
      <w:pPr>
        <w:jc w:val="both"/>
        <w:ind w:firstLine="399"/>
        <w:spacing w:after="0" w:line="279" w:lineRule="auto"/>
        <w:rPr>
          <w:sz w:val="20"/>
          <w:szCs w:val="20"/>
          <w:color w:val="auto"/>
        </w:rPr>
      </w:pPr>
      <w:r>
        <w:rPr>
          <w:rFonts w:ascii="Arial" w:cs="Arial" w:eastAsia="Arial" w:hAnsi="Arial"/>
          <w:sz w:val="17"/>
          <w:szCs w:val="17"/>
          <w:color w:val="auto"/>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December 31, 2022, 64,380,082 shares of common stock and no shares of excess stock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18"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In August 2016, our Board of Directors approved a $1.0 billion share repurchase program under which we can buy shares of our common stock. The Board of Directors has since authorized five separate $500.0 million increases to the size of the share repurchase program in the fourth quarter of 2017, second quarter of 2018, fourth quarter of 2018, fourth quarter of 2019, and fourth quarter of 2020 bringing the total program size to $3.5 billion.</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2022, share repurchases executed under the program, excluding the redemption of OP units,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89"/>
              </w:rPr>
              <w:t>Cumulative number of shares</w:t>
            </w:r>
          </w:p>
        </w:tc>
        <w:tc>
          <w:tcPr>
            <w:tcW w:w="0" w:type="dxa"/>
            <w:vAlign w:val="bottom"/>
          </w:tcPr>
          <w:p>
            <w:pPr>
              <w:spacing w:after="0"/>
              <w:rPr>
                <w:sz w:val="1"/>
                <w:szCs w:val="1"/>
                <w:color w:val="auto"/>
              </w:rPr>
            </w:pPr>
          </w:p>
        </w:tc>
      </w:tr>
      <w:tr>
        <w:trPr>
          <w:trHeight w:val="160"/>
        </w:trPr>
        <w:tc>
          <w:tcPr>
            <w:tcW w:w="4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7"/>
              </w:rPr>
              <w:t>Shares repurchased</w:t>
            </w:r>
          </w:p>
        </w:tc>
        <w:tc>
          <w:tcPr>
            <w:tcW w:w="22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w w:val="97"/>
              </w:rPr>
              <w:t>Average price paid per share</w:t>
            </w:r>
          </w:p>
        </w:tc>
        <w:tc>
          <w:tcPr>
            <w:tcW w:w="21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repurchased as part of the</w:t>
            </w:r>
          </w:p>
        </w:tc>
        <w:tc>
          <w:tcPr>
            <w:tcW w:w="0" w:type="dxa"/>
            <w:vAlign w:val="bottom"/>
          </w:tcPr>
          <w:p>
            <w:pPr>
              <w:spacing w:after="0"/>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 plan or programs</w:t>
            </w:r>
          </w:p>
        </w:tc>
        <w:tc>
          <w:tcPr>
            <w:tcW w:w="0" w:type="dxa"/>
            <w:vAlign w:val="bottom"/>
          </w:tcPr>
          <w:p>
            <w:pPr>
              <w:spacing w:after="0"/>
              <w:rPr>
                <w:sz w:val="1"/>
                <w:szCs w:val="1"/>
                <w:color w:val="auto"/>
              </w:rPr>
            </w:pPr>
          </w:p>
        </w:tc>
      </w:tr>
      <w:tr>
        <w:trPr>
          <w:trHeight w:val="85"/>
        </w:trPr>
        <w:tc>
          <w:tcPr>
            <w:tcW w:w="45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2017</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7,865,206</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$107.81</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7,865,206</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Year ended 2018</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9,187,480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$102.06</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87"/>
              </w:rPr>
              <w:t>17,052,686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2019</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4,333,260</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$88.69</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21,385,946</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Year ended 2020</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8,276,032</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$64.30</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87"/>
              </w:rPr>
              <w:t>29,661,978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2021</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4,474,649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$75.44</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34,136,627</w:t>
            </w:r>
          </w:p>
        </w:tc>
        <w:tc>
          <w:tcPr>
            <w:tcW w:w="0" w:type="dxa"/>
            <w:vAlign w:val="bottom"/>
          </w:tcPr>
          <w:p>
            <w:pPr>
              <w:spacing w:after="0"/>
              <w:rPr>
                <w:sz w:val="1"/>
                <w:szCs w:val="1"/>
                <w:color w:val="auto"/>
              </w:rPr>
            </w:pPr>
          </w:p>
        </w:tc>
      </w:tr>
      <w:tr>
        <w:trPr>
          <w:trHeight w:val="208"/>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Year ended 2022</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1,971,092</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$76.69</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87"/>
              </w:rPr>
              <w:t>36,107,719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Perpetual Preferred Stock</w:t>
      </w:r>
    </w:p>
    <w:p>
      <w:pPr>
        <w:spacing w:after="0" w:line="118"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any time, in whole or from time to time in part, at par for cash.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 ("DRSPP")</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In February 2021, the Company filed a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SL Green common stock issued, and proceeds received from dividend reinvestments and/or stock purchases under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DRSPP for the years ended December 31, 2022, 2021, and 2020, respectively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w w:val="89"/>
              </w:rPr>
              <w:t>Year Ended December 31,</w:t>
            </w:r>
          </w:p>
        </w:tc>
        <w:tc>
          <w:tcPr>
            <w:tcW w:w="1040" w:type="dxa"/>
            <w:vAlign w:val="bottom"/>
            <w:tcBorders>
              <w:bottom w:val="single" w:sz="8" w:color="auto"/>
            </w:tcBorders>
          </w:tcPr>
          <w:p>
            <w:pPr>
              <w:spacing w:after="0"/>
              <w:rPr>
                <w:sz w:val="18"/>
                <w:szCs w:val="18"/>
                <w:color w:val="auto"/>
              </w:rPr>
            </w:pPr>
          </w:p>
        </w:tc>
      </w:tr>
      <w:tr>
        <w:trPr>
          <w:trHeight w:val="207"/>
        </w:trPr>
        <w:tc>
          <w:tcPr>
            <w:tcW w:w="69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2020</w:t>
            </w:r>
          </w:p>
        </w:tc>
      </w:tr>
      <w:tr>
        <w:trPr>
          <w:trHeight w:val="20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common stock issued</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5"/>
              </w:rPr>
              <w:t>10,839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16,181</w:t>
            </w:r>
          </w:p>
        </w:tc>
      </w:tr>
      <w:tr>
        <w:trPr>
          <w:trHeight w:val="208"/>
        </w:trPr>
        <w:tc>
          <w:tcPr>
            <w:tcW w:w="6920" w:type="dxa"/>
            <w:vAlign w:val="bottom"/>
          </w:tcPr>
          <w:p>
            <w:pPr>
              <w:ind w:left="20"/>
              <w:spacing w:after="0"/>
              <w:rPr>
                <w:sz w:val="20"/>
                <w:szCs w:val="20"/>
                <w:color w:val="auto"/>
              </w:rPr>
            </w:pPr>
            <w:r>
              <w:rPr>
                <w:rFonts w:ascii="Arial" w:cs="Arial" w:eastAsia="Arial" w:hAnsi="Arial"/>
                <w:sz w:val="16"/>
                <w:szCs w:val="16"/>
                <w:color w:val="auto"/>
              </w:rPr>
              <w:t>Dividend reinvestments/stock purchases under the DRSPP</w:t>
            </w:r>
          </w:p>
        </w:tc>
        <w:tc>
          <w:tcPr>
            <w:tcW w:w="820" w:type="dxa"/>
            <w:vAlign w:val="bottom"/>
          </w:tcPr>
          <w:p>
            <w:pPr>
              <w:jc w:val="right"/>
              <w:ind w:right="640"/>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525</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1,006</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1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SL Green's earnings per share for the years ended December 31, 2022, 2021, and 2020 are computed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46"/>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140"/>
              <w:spacing w:after="0"/>
              <w:rPr>
                <w:sz w:val="20"/>
                <w:szCs w:val="20"/>
                <w:color w:val="auto"/>
              </w:rPr>
            </w:pPr>
            <w:r>
              <w:rPr>
                <w:rFonts w:ascii="Arial" w:cs="Arial" w:eastAsia="Arial" w:hAnsi="Arial"/>
                <w:sz w:val="16"/>
                <w:szCs w:val="16"/>
                <w:color w:val="auto"/>
              </w:rPr>
              <w:t>(Loss) income attributable to SL Green common stockholders</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(93,024)</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434,804</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356,105</w:t>
            </w:r>
          </w:p>
        </w:tc>
        <w:tc>
          <w:tcPr>
            <w:tcW w:w="0" w:type="dxa"/>
            <w:vAlign w:val="bottom"/>
          </w:tcPr>
          <w:p>
            <w:pPr>
              <w:spacing w:after="0"/>
              <w:rPr>
                <w:sz w:val="1"/>
                <w:szCs w:val="1"/>
                <w:color w:val="auto"/>
              </w:rPr>
            </w:pPr>
          </w:p>
        </w:tc>
      </w:tr>
      <w:tr>
        <w:trPr>
          <w:trHeight w:val="215"/>
        </w:trPr>
        <w:tc>
          <w:tcPr>
            <w:tcW w:w="6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Less: distributed earnings allocated to participating securities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11"/>
        </w:trPr>
        <w:tc>
          <w:tcPr>
            <w:tcW w:w="6920" w:type="dxa"/>
            <w:vAlign w:val="bottom"/>
          </w:tcPr>
          <w:p>
            <w:pPr>
              <w:ind w:left="380"/>
              <w:spacing w:after="0"/>
              <w:rPr>
                <w:sz w:val="20"/>
                <w:szCs w:val="20"/>
                <w:color w:val="auto"/>
              </w:rPr>
            </w:pPr>
            <w:r>
              <w:rPr>
                <w:rFonts w:ascii="Arial" w:cs="Arial" w:eastAsia="Arial" w:hAnsi="Arial"/>
                <w:sz w:val="16"/>
                <w:szCs w:val="16"/>
                <w:color w:val="auto"/>
              </w:rPr>
              <w:t>Less: undistributed earnings allocated to participating securities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45"/>
        </w:trPr>
        <w:tc>
          <w:tcPr>
            <w:tcW w:w="6920" w:type="dxa"/>
            <w:vAlign w:val="bottom"/>
            <w:tcBorders>
              <w:top w:val="single" w:sz="8" w:color="CCEEFF"/>
            </w:tcBorders>
            <w:shd w:val="clear" w:color="auto" w:fill="CCEEFF"/>
          </w:tcPr>
          <w:p>
            <w:pPr>
              <w:ind w:left="140"/>
              <w:spacing w:after="0" w:line="145" w:lineRule="exact"/>
              <w:rPr>
                <w:sz w:val="20"/>
                <w:szCs w:val="20"/>
                <w:color w:val="auto"/>
              </w:rPr>
            </w:pPr>
            <w:r>
              <w:rPr>
                <w:rFonts w:ascii="Arial" w:cs="Arial" w:eastAsia="Arial" w:hAnsi="Arial"/>
                <w:sz w:val="16"/>
                <w:szCs w:val="16"/>
                <w:color w:val="auto"/>
                <w:w w:val="96"/>
              </w:rPr>
              <w:t>Net (loss) income attributable to SL Green common stockholders (numerator for basic earnings per</w:t>
            </w:r>
          </w:p>
        </w:tc>
        <w:tc>
          <w:tcPr>
            <w:tcW w:w="300" w:type="dxa"/>
            <w:vAlign w:val="bottom"/>
            <w:tcBorders>
              <w:top w:val="single" w:sz="8" w:color="auto"/>
            </w:tcBorders>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(95,243)</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432,214</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354,283</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w:t>
            </w: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380"/>
              <w:spacing w:after="0" w:line="163" w:lineRule="exact"/>
              <w:rPr>
                <w:sz w:val="20"/>
                <w:szCs w:val="20"/>
                <w:color w:val="auto"/>
              </w:rPr>
            </w:pPr>
            <w:r>
              <w:rPr>
                <w:rFonts w:ascii="Arial" w:cs="Arial" w:eastAsia="Arial" w:hAnsi="Arial"/>
                <w:sz w:val="16"/>
                <w:szCs w:val="16"/>
                <w:color w:val="auto"/>
                <w:w w:val="95"/>
              </w:rPr>
              <w:t>Add back: dilutive effect of earnings allocated to participating securities and contingently issuable</w:t>
            </w:r>
          </w:p>
        </w:tc>
        <w:tc>
          <w:tcPr>
            <w:tcW w:w="30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07"/>
        </w:trPr>
        <w:tc>
          <w:tcPr>
            <w:tcW w:w="6920" w:type="dxa"/>
            <w:vAlign w:val="bottom"/>
          </w:tcPr>
          <w:p>
            <w:pPr>
              <w:ind w:left="380"/>
              <w:spacing w:after="0"/>
              <w:rPr>
                <w:sz w:val="20"/>
                <w:szCs w:val="20"/>
                <w:color w:val="auto"/>
              </w:rPr>
            </w:pPr>
            <w:r>
              <w:rPr>
                <w:rFonts w:ascii="Arial" w:cs="Arial" w:eastAsia="Arial" w:hAnsi="Arial"/>
                <w:sz w:val="16"/>
                <w:szCs w:val="16"/>
                <w:color w:val="auto"/>
              </w:rPr>
              <w:t>shares</w:t>
            </w:r>
          </w:p>
        </w:tc>
        <w:tc>
          <w:tcPr>
            <w:tcW w:w="3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Add back: undistributed earnings allocated to participating securities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1"/>
        </w:trPr>
        <w:tc>
          <w:tcPr>
            <w:tcW w:w="69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Add back: Effect of dilutive securities (redemption of units to common shares)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20,016</w:t>
            </w:r>
          </w:p>
        </w:tc>
        <w:tc>
          <w:tcPr>
            <w:tcW w:w="0" w:type="dxa"/>
            <w:vAlign w:val="bottom"/>
          </w:tcPr>
          <w:p>
            <w:pPr>
              <w:spacing w:after="0"/>
              <w:rPr>
                <w:sz w:val="1"/>
                <w:szCs w:val="1"/>
                <w:color w:val="auto"/>
              </w:rPr>
            </w:pPr>
          </w:p>
        </w:tc>
      </w:tr>
      <w:tr>
        <w:trPr>
          <w:trHeight w:val="234"/>
        </w:trPr>
        <w:tc>
          <w:tcPr>
            <w:tcW w:w="6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(Loss) income attributable to SL Green common stockholders (numerator for diluted earnings per share)</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(101,037)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459,902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376,121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146"/>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Shares: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140"/>
              <w:spacing w:after="0"/>
              <w:rPr>
                <w:sz w:val="20"/>
                <w:szCs w:val="20"/>
                <w:color w:val="auto"/>
              </w:rPr>
            </w:pPr>
            <w:r>
              <w:rPr>
                <w:rFonts w:ascii="Arial" w:cs="Arial" w:eastAsia="Arial" w:hAnsi="Arial"/>
                <w:sz w:val="16"/>
                <w:szCs w:val="16"/>
                <w:color w:val="auto"/>
              </w:rPr>
              <w:t>Weighted average common stock outstanding</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63,917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70,397</w:t>
            </w:r>
          </w:p>
        </w:tc>
        <w:tc>
          <w:tcPr>
            <w:tcW w:w="0" w:type="dxa"/>
            <w:vAlign w:val="bottom"/>
          </w:tcPr>
          <w:p>
            <w:pPr>
              <w:spacing w:after="0"/>
              <w:rPr>
                <w:sz w:val="1"/>
                <w:szCs w:val="1"/>
                <w:color w:val="auto"/>
              </w:rPr>
            </w:pPr>
          </w:p>
        </w:tc>
      </w:tr>
      <w:tr>
        <w:trPr>
          <w:trHeight w:val="21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140"/>
              <w:spacing w:after="0"/>
              <w:rPr>
                <w:sz w:val="20"/>
                <w:szCs w:val="20"/>
                <w:color w:val="auto"/>
              </w:rPr>
            </w:pPr>
            <w:r>
              <w:rPr>
                <w:rFonts w:ascii="Arial" w:cs="Arial" w:eastAsia="Arial" w:hAnsi="Arial"/>
                <w:sz w:val="16"/>
                <w:szCs w:val="16"/>
                <w:color w:val="auto"/>
              </w:rPr>
              <w:t>Operating Partnership units redeemable for common shares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4,096</w:t>
            </w:r>
          </w:p>
        </w:tc>
        <w:tc>
          <w:tcPr>
            <w:tcW w:w="0" w:type="dxa"/>
            <w:vAlign w:val="bottom"/>
          </w:tcPr>
          <w:p>
            <w:pPr>
              <w:spacing w:after="0"/>
              <w:rPr>
                <w:sz w:val="1"/>
                <w:szCs w:val="1"/>
                <w:color w:val="auto"/>
              </w:rPr>
            </w:pPr>
          </w:p>
        </w:tc>
      </w:tr>
      <w:tr>
        <w:trPr>
          <w:trHeight w:val="215"/>
        </w:trPr>
        <w:tc>
          <w:tcPr>
            <w:tcW w:w="6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plans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1"/>
        </w:trPr>
        <w:tc>
          <w:tcPr>
            <w:tcW w:w="6920" w:type="dxa"/>
            <w:vAlign w:val="bottom"/>
          </w:tcPr>
          <w:p>
            <w:pPr>
              <w:ind w:left="140"/>
              <w:spacing w:after="0"/>
              <w:rPr>
                <w:sz w:val="20"/>
                <w:szCs w:val="20"/>
                <w:color w:val="auto"/>
              </w:rPr>
            </w:pPr>
            <w:r>
              <w:rPr>
                <w:rFonts w:ascii="Arial" w:cs="Arial" w:eastAsia="Arial" w:hAnsi="Arial"/>
                <w:sz w:val="16"/>
                <w:szCs w:val="16"/>
                <w:color w:val="auto"/>
              </w:rPr>
              <w:t>Contingently issuable shares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4"/>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stock outstanding</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67,929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75,078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Company has excluded 1,682,236 common stock equivalents from the calculation of diluted shares outstanding for the year ended December 31, 2022. The Company has excluded 948,017 and 1,676,825 of common stock equivalents from the calculation of diluted shares outstanding for the years ended December 31, 2021 and 2020,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of the Operating Partnership</w:t>
      </w:r>
    </w:p>
    <w:p>
      <w:pPr>
        <w:spacing w:after="0" w:line="118"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6"/>
          <w:szCs w:val="16"/>
          <w:color w:val="auto"/>
        </w:rPr>
        <w:t>The Company is the sole managing general partner of the Operating Partnership and as of December 31, 2022 owned 64,380,082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Net income (loss) allocated to the preferred unitholders and common unitholders reflects their pro rata share of net income (loss) and distributions.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Units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2022, limited partners other than SL Green owned 3,670,343 common units of the Operating Partnership.</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Units</w:t>
      </w:r>
    </w:p>
    <w:p>
      <w:pPr>
        <w:spacing w:after="0" w:line="1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Preferred units not owned by SL Green are further described in Note 11, “Noncontrolling Interests on the Company’s Consolidated Financial Statements - Preferred Units of Limited Partnership Interest in the Operating Partnership.”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Operating Partnership's earnings per unit for the years ended December 31, 2022, 2021, and 2020 respectively are computed as follows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640"/>
              <w:spacing w:after="0"/>
              <w:rPr>
                <w:sz w:val="20"/>
                <w:szCs w:val="20"/>
                <w:color w:val="auto"/>
              </w:rPr>
            </w:pPr>
            <w:r>
              <w:rPr>
                <w:rFonts w:ascii="Arial" w:cs="Arial" w:eastAsia="Arial" w:hAnsi="Arial"/>
                <w:sz w:val="16"/>
                <w:szCs w:val="16"/>
                <w:b w:val="1"/>
                <w:bCs w:val="1"/>
                <w:color w:val="auto"/>
                <w:w w:val="89"/>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w w:val="93"/>
              </w:rPr>
              <w:t>Net (loss) income attributable to SLGOP common unitholders (numerator for diluted earnings per unit)</w:t>
            </w:r>
          </w:p>
        </w:tc>
        <w:tc>
          <w:tcPr>
            <w:tcW w:w="320" w:type="dxa"/>
            <w:vAlign w:val="bottom"/>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(98,818)</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460,261</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376,121</w:t>
            </w:r>
          </w:p>
        </w:tc>
        <w:tc>
          <w:tcPr>
            <w:tcW w:w="0" w:type="dxa"/>
            <w:vAlign w:val="bottom"/>
          </w:tcPr>
          <w:p>
            <w:pPr>
              <w:spacing w:after="0"/>
              <w:rPr>
                <w:sz w:val="1"/>
                <w:szCs w:val="1"/>
                <w:color w:val="auto"/>
              </w:rPr>
            </w:pPr>
          </w:p>
        </w:tc>
      </w:tr>
      <w:tr>
        <w:trPr>
          <w:trHeight w:val="215"/>
        </w:trPr>
        <w:tc>
          <w:tcPr>
            <w:tcW w:w="6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Less: distributed earnings allocated to participating securities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11"/>
        </w:trPr>
        <w:tc>
          <w:tcPr>
            <w:tcW w:w="6900" w:type="dxa"/>
            <w:vAlign w:val="bottom"/>
          </w:tcPr>
          <w:p>
            <w:pPr>
              <w:ind w:left="380"/>
              <w:spacing w:after="0"/>
              <w:rPr>
                <w:sz w:val="20"/>
                <w:szCs w:val="20"/>
                <w:color w:val="auto"/>
              </w:rPr>
            </w:pPr>
            <w:r>
              <w:rPr>
                <w:rFonts w:ascii="Arial" w:cs="Arial" w:eastAsia="Arial" w:hAnsi="Arial"/>
                <w:sz w:val="16"/>
                <w:szCs w:val="16"/>
                <w:color w:val="auto"/>
              </w:rPr>
              <w:t>Less: undistributed earnings allocated to participating securities</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4"/>
              </w:rPr>
              <w:t>Net (loss) income attributable to SLGOP common unitholders (numerator for basic earnings per unit)</w:t>
            </w: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(101,037)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457,671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374,299</w:t>
            </w:r>
          </w:p>
        </w:tc>
        <w:tc>
          <w:tcPr>
            <w:tcW w:w="0" w:type="dxa"/>
            <w:vAlign w:val="bottom"/>
          </w:tcPr>
          <w:p>
            <w:pPr>
              <w:spacing w:after="0"/>
              <w:rPr>
                <w:sz w:val="1"/>
                <w:szCs w:val="1"/>
                <w:color w:val="auto"/>
              </w:rPr>
            </w:pPr>
          </w:p>
        </w:tc>
      </w:tr>
      <w:tr>
        <w:trPr>
          <w:trHeight w:val="163"/>
        </w:trPr>
        <w:tc>
          <w:tcPr>
            <w:tcW w:w="6900" w:type="dxa"/>
            <w:vAlign w:val="bottom"/>
          </w:tcPr>
          <w:p>
            <w:pPr>
              <w:ind w:left="380"/>
              <w:spacing w:after="0" w:line="163" w:lineRule="exact"/>
              <w:rPr>
                <w:sz w:val="20"/>
                <w:szCs w:val="20"/>
                <w:color w:val="auto"/>
              </w:rPr>
            </w:pPr>
            <w:r>
              <w:rPr>
                <w:rFonts w:ascii="Arial" w:cs="Arial" w:eastAsia="Arial" w:hAnsi="Arial"/>
                <w:sz w:val="16"/>
                <w:szCs w:val="16"/>
                <w:color w:val="auto"/>
                <w:w w:val="94"/>
              </w:rPr>
              <w:t>Add back: dilutive effect of earnings allocated to participating securities and contingently issuable</w:t>
            </w:r>
          </w:p>
        </w:tc>
        <w:tc>
          <w:tcPr>
            <w:tcW w:w="3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2,590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07"/>
        </w:trPr>
        <w:tc>
          <w:tcPr>
            <w:tcW w:w="6900" w:type="dxa"/>
            <w:vAlign w:val="bottom"/>
          </w:tcPr>
          <w:p>
            <w:pPr>
              <w:ind w:left="380"/>
              <w:spacing w:after="0"/>
              <w:rPr>
                <w:sz w:val="20"/>
                <w:szCs w:val="20"/>
                <w:color w:val="auto"/>
              </w:rPr>
            </w:pPr>
            <w:r>
              <w:rPr>
                <w:rFonts w:ascii="Arial" w:cs="Arial" w:eastAsia="Arial" w:hAnsi="Arial"/>
                <w:sz w:val="16"/>
                <w:szCs w:val="16"/>
                <w:color w:val="auto"/>
              </w:rPr>
              <w:t>shares</w:t>
            </w: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income attributable to SLGOP common unitholders</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376,121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640"/>
              <w:spacing w:after="0"/>
              <w:rPr>
                <w:sz w:val="20"/>
                <w:szCs w:val="20"/>
                <w:color w:val="auto"/>
              </w:rPr>
            </w:pPr>
            <w:r>
              <w:rPr>
                <w:rFonts w:ascii="Arial" w:cs="Arial" w:eastAsia="Arial" w:hAnsi="Arial"/>
                <w:sz w:val="16"/>
                <w:szCs w:val="16"/>
                <w:b w:val="1"/>
                <w:bCs w:val="1"/>
                <w:color w:val="auto"/>
                <w:w w:val="89"/>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units: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Weighted average common units outstanding</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67,929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69,667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74,493</w:t>
            </w:r>
          </w:p>
        </w:tc>
        <w:tc>
          <w:tcPr>
            <w:tcW w:w="0" w:type="dxa"/>
            <w:vAlign w:val="bottom"/>
          </w:tcPr>
          <w:p>
            <w:pPr>
              <w:spacing w:after="0"/>
              <w:rPr>
                <w:sz w:val="1"/>
                <w:szCs w:val="1"/>
                <w:color w:val="auto"/>
              </w:rPr>
            </w:pPr>
          </w:p>
        </w:tc>
      </w:tr>
      <w:tr>
        <w:trPr>
          <w:trHeight w:val="21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Stock-based compensation plans</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Contingently issuable units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Diluted weighted average common units outstanding</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67,929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70,769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75,078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Operating Partnership has excluded 1,682,236 common unit equivalents from the diluted units outstanding for the years ended December 31, 2022.</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 Operating Partnership has excluded 948,017 and 1,676,825 common unit equivalents from the diluted units outstanding for the years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18" w:lineRule="exact"/>
        <w:rPr>
          <w:sz w:val="20"/>
          <w:szCs w:val="20"/>
          <w:color w:val="auto"/>
        </w:rPr>
      </w:pPr>
    </w:p>
    <w:p>
      <w:pPr>
        <w:jc w:val="both"/>
        <w:ind w:right="20" w:firstLine="399"/>
        <w:spacing w:after="0" w:line="256" w:lineRule="auto"/>
        <w:rPr>
          <w:sz w:val="20"/>
          <w:szCs w:val="20"/>
          <w:color w:val="auto"/>
        </w:rPr>
      </w:pPr>
      <w:r>
        <w:rPr>
          <w:rFonts w:ascii="Arial" w:cs="Arial" w:eastAsia="Arial" w:hAnsi="Arial"/>
          <w:sz w:val="18"/>
          <w:szCs w:val="18"/>
          <w:color w:val="auto"/>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jc w:val="both"/>
        <w:ind w:firstLine="439"/>
        <w:spacing w:after="0" w:line="281" w:lineRule="auto"/>
        <w:rPr>
          <w:sz w:val="20"/>
          <w:szCs w:val="20"/>
          <w:color w:val="auto"/>
        </w:rPr>
      </w:pPr>
      <w:r>
        <w:rPr>
          <w:rFonts w:ascii="Arial" w:cs="Arial" w:eastAsia="Arial" w:hAnsi="Arial"/>
          <w:sz w:val="16"/>
          <w:szCs w:val="16"/>
          <w:color w:val="auto"/>
        </w:rPr>
        <w:t>The Fifth Amended and Restated 2005 Stock Option and Incentive Plan, or the 2005 Plan, was approved by the Company's Board of Directors in April 2022 and its stockholders in June 2022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32,210,000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2.59 Fungible Units per share subject to such awards, (2) stock options, stock appreciation rights and other awards that do not deliver full value and expire five years from the date of grant counting as 0.84 fungible units per share subject to such awards, and (3) all other awards (e.g., 10-year stock options) counting as 1.0 fungible units per share subject to such awards. Awards granted under the 2005 Plan prior to the approval of the fifth amendment and restatement in June 2022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32,210,000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1, 2032, which is the tenth anniversary of the date that the 2005 Plan was most recently approved by the Company's stockholders. As of December 31, 2022, 6.3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Class O LTIP Units</w:t>
      </w:r>
    </w:p>
    <w:p>
      <w:pPr>
        <w:spacing w:after="0" w:line="118"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Options are granted with an exercise price at the fair market value of the Company's common stock on the date of grant and, subject to employment, generally expire five years or ten years from the date of grant, are not transferable other than on death, and generally vest in one year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w:t>
      </w:r>
    </w:p>
    <w:p>
      <w:pPr>
        <w:spacing w:after="0" w:line="92"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fair value of each stock option or LTIP Unit granted is estimated on the date of grant using the Black-Scholes option pricing model based on historical information. There were no options granted during the years ended December 31, 2022, 2021, and 2020.</w:t>
      </w:r>
    </w:p>
    <w:p>
      <w:pPr>
        <w:spacing w:after="0" w:line="74"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A summary of the status of the Company's stock options as of December 31, 2022, 2021, and 2020 and changes during the years ended December 31, 2022, 2021, and 2020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60"/>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0"/>
              <w:spacing w:after="0" w:line="156"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Options</w:t>
            </w: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60" w:type="dxa"/>
            <w:vAlign w:val="bottom"/>
          </w:tcPr>
          <w:p>
            <w:pPr>
              <w:spacing w:after="0"/>
              <w:rPr>
                <w:sz w:val="13"/>
                <w:szCs w:val="13"/>
                <w:color w:val="auto"/>
              </w:rPr>
            </w:pPr>
          </w:p>
        </w:tc>
        <w:tc>
          <w:tcPr>
            <w:tcW w:w="90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60" w:lineRule="exact"/>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w w:val="88"/>
              </w:rPr>
              <w:t>Exercise</w:t>
            </w:r>
          </w:p>
        </w:tc>
        <w:tc>
          <w:tcPr>
            <w:tcW w:w="0" w:type="dxa"/>
            <w:vAlign w:val="bottom"/>
          </w:tcPr>
          <w:p>
            <w:pPr>
              <w:spacing w:after="0"/>
              <w:rPr>
                <w:sz w:val="1"/>
                <w:szCs w:val="1"/>
                <w:color w:val="auto"/>
              </w:rPr>
            </w:pPr>
          </w:p>
        </w:tc>
      </w:tr>
      <w:tr>
        <w:trPr>
          <w:trHeight w:val="211"/>
        </w:trPr>
        <w:tc>
          <w:tcPr>
            <w:tcW w:w="34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Outstanding</w:t>
            </w: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Exercise Price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Exercise Price</w:t>
            </w: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Outstanding</w:t>
            </w:r>
          </w:p>
        </w:tc>
        <w:tc>
          <w:tcPr>
            <w:tcW w:w="160" w:type="dxa"/>
            <w:vAlign w:val="bottom"/>
          </w:tcPr>
          <w:p>
            <w:pPr>
              <w:spacing w:after="0"/>
              <w:rPr>
                <w:sz w:val="18"/>
                <w:szCs w:val="18"/>
                <w:color w:val="auto"/>
              </w:rPr>
            </w:pPr>
          </w:p>
        </w:tc>
        <w:tc>
          <w:tcPr>
            <w:tcW w:w="90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394,089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100.56</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761,686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105.76</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977,745</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108.57</w:t>
            </w:r>
          </w:p>
        </w:tc>
        <w:tc>
          <w:tcPr>
            <w:tcW w:w="0" w:type="dxa"/>
            <w:vAlign w:val="bottom"/>
          </w:tcPr>
          <w:p>
            <w:pPr>
              <w:spacing w:after="0"/>
              <w:rPr>
                <w:sz w:val="1"/>
                <w:szCs w:val="1"/>
                <w:color w:val="auto"/>
              </w:rPr>
            </w:pPr>
          </w:p>
        </w:tc>
      </w:tr>
      <w:tr>
        <w:trPr>
          <w:trHeight w:val="211"/>
        </w:trPr>
        <w:tc>
          <w:tcPr>
            <w:tcW w:w="34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72.30</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Lapsed or canceled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112.14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(356,283)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112.56</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(216,059)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118.49</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313,480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97.59</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100.56</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761,686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105.76</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exercisable at end of year</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313,480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97.59</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760,743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remaining weighted average contractual life of the options outstanding was 1.9 years and the remaining average contractual life of the options exercisable was 1.9 years.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During the years ended December 31, 2022, 2021, and 2020, we recognized no compensation expense related to options. As of December 31, 2022, there was no unrecognized compensation cost related to unvested stock options.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Shares are granted to certain employees, including our executives, and vesting occurs upon the completion of a service period or our meeting established financial performance criteria. Vesting occurs at rates ranging from 15% to 35% once performance criteria are reached.</w:t>
      </w:r>
    </w:p>
    <w:p>
      <w:pPr>
        <w:spacing w:after="0" w:line="74"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A summary of the Company's restricted stock as of December 31, 2022, 2021, and 2020 and changes during the years ended December 31, 2022, 2021, and 2020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2020</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3,459,363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3,337,545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3,362,456</w:t>
            </w:r>
          </w:p>
        </w:tc>
      </w:tr>
      <w:tr>
        <w:trPr>
          <w:trHeight w:val="211"/>
        </w:trPr>
        <w:tc>
          <w:tcPr>
            <w:tcW w:w="6560" w:type="dxa"/>
            <w:vAlign w:val="bottom"/>
          </w:tcPr>
          <w:p>
            <w:pPr>
              <w:ind w:left="20"/>
              <w:spacing w:after="0"/>
              <w:rPr>
                <w:sz w:val="20"/>
                <w:szCs w:val="20"/>
                <w:color w:val="auto"/>
              </w:rPr>
            </w:pPr>
            <w:r>
              <w:rPr>
                <w:rFonts w:ascii="Arial" w:cs="Arial" w:eastAsia="Arial" w:hAnsi="Arial"/>
                <w:sz w:val="16"/>
                <w:szCs w:val="16"/>
                <w:color w:val="auto"/>
              </w:rPr>
              <w:t>Granted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314,995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141,515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8,693</w:t>
            </w:r>
          </w:p>
        </w:tc>
      </w:tr>
      <w:tr>
        <w:trPr>
          <w:trHeight w:val="21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Canceled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(33,604)</w:t>
            </w:r>
          </w:p>
        </w:tc>
      </w:tr>
      <w:tr>
        <w:trPr>
          <w:trHeight w:val="209"/>
        </w:trPr>
        <w:tc>
          <w:tcPr>
            <w:tcW w:w="656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3,758,174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3,459,363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3,337,545</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during the year</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118,255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125,064</w:t>
            </w:r>
          </w:p>
        </w:tc>
      </w:tr>
      <w:tr>
        <w:trPr>
          <w:trHeight w:val="211"/>
        </w:trPr>
        <w:tc>
          <w:tcPr>
            <w:tcW w:w="6560" w:type="dxa"/>
            <w:vAlign w:val="bottom"/>
          </w:tcPr>
          <w:p>
            <w:pPr>
              <w:ind w:left="20"/>
              <w:spacing w:after="0"/>
              <w:rPr>
                <w:sz w:val="20"/>
                <w:szCs w:val="20"/>
                <w:color w:val="auto"/>
              </w:rPr>
            </w:pPr>
            <w:r>
              <w:rPr>
                <w:rFonts w:ascii="Arial" w:cs="Arial" w:eastAsia="Arial" w:hAnsi="Arial"/>
                <w:sz w:val="16"/>
                <w:szCs w:val="16"/>
                <w:color w:val="auto"/>
              </w:rPr>
              <w:t>Compensation expense recorded</w:t>
            </w:r>
          </w:p>
        </w:tc>
        <w:tc>
          <w:tcPr>
            <w:tcW w:w="340" w:type="dxa"/>
            <w:vAlign w:val="bottom"/>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10,133,905</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8,497,054</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10,895,459</w:t>
            </w:r>
          </w:p>
        </w:tc>
      </w:tr>
      <w:tr>
        <w:trPr>
          <w:trHeight w:val="215"/>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fair value of restricted stock granted during the year</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16,804,931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9,214,531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734,315</w:t>
            </w:r>
          </w:p>
        </w:tc>
      </w:tr>
    </w:tbl>
    <w:p>
      <w:pPr>
        <w:spacing w:after="0" w:line="18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fair value of restricted stock that vested during the years ended December 31, 2022, 2021, and 2020 was $9.7 million, $11.3 million and $12.5 million, respectively. As of December 31, 2022, there was $12.5 million of total unrecognized compensation cost related to restricted stock, which is expected to be recognized over a weighted average period of 2.0 years.</w:t>
      </w:r>
    </w:p>
    <w:p>
      <w:pPr>
        <w:spacing w:after="0" w:line="83"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7"/>
          <w:szCs w:val="17"/>
          <w:color w:val="auto"/>
        </w:rPr>
        <w:t>We granted LTIP Units, which include bonus, time-based and performance-based awards, with a fair value of $45.0 million and $55.0 million during the years ended December 31, 2022 and 2021, respectively. The grant date fair value of the LTIP Unit awards was calculated in accordance with ASC 718. A third-party consultant determined that the fair value of the LTIP Units has a discount to our common stock price. The discount was calculated by considering the inherent uncertainty that the LTIP Units will reach parity with other common partnership units and the illiquidity due to transfer restrictions. As of December 31, 2022, there was $45.7 million of total unrecognized compensation expense related to the time-based and performance-based awards, which is expected to be recognized over a weighted average period of 1.6 years.</w:t>
      </w:r>
    </w:p>
    <w:p>
      <w:pPr>
        <w:spacing w:after="0" w:line="75"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During the years ended December 31, 2022, 2021, and 2020, we recorded compensation expense related to bonus, time-based and performance-based awards of $43.5 million, $41.9 million, and $29.4 million, respectively.</w:t>
      </w:r>
    </w:p>
    <w:p>
      <w:pPr>
        <w:spacing w:after="0" w:line="207"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For the years ended December 31, 2022, 2021, and 2020, $1.8 million, $2.1 million, and $2.2 million, respectively, was capitalized to assets associated with compensation expense related to our long-term compensation plans, restricted stock and stock options.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for Directors</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7"/>
          <w:szCs w:val="17"/>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77"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During the year ended December 31, 2022, 27,436 phantom stock units and 9,571 shares of common stock were issued to our Board of Directors. We recorded compensation expense of $2.7 million during the year ended December 31, 2022 related to the Deferred Compensation Plan. As of December 31, 2022, there were 192,638 phantom stock units outstanding pursuant to our Non-Employee Director's Deferral Program.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18"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December 31, 2022, 191,845 shares of our common stock had been issued under the ESPP.</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1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following tables set forth the changes in accumulated other comprehensive (loss) income by component as of December 31, 2022, 2021 and 2020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SL Green’s share of</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Net unrealized gain</w:t>
            </w: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1"/>
              </w:rPr>
              <w:t>joint venture net</w:t>
            </w:r>
          </w:p>
        </w:tc>
        <w:tc>
          <w:tcPr>
            <w:tcW w:w="12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Net unrealized gain</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4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unrealized gain (loss) on</w:t>
            </w: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(loss) on derivative</w:t>
            </w:r>
          </w:p>
        </w:tc>
        <w:tc>
          <w:tcPr>
            <w:tcW w:w="16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derivative instruments</w:t>
            </w: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(loss) on marketable</w:t>
            </w:r>
          </w:p>
        </w:tc>
        <w:tc>
          <w:tcPr>
            <w:tcW w:w="340" w:type="dxa"/>
            <w:vAlign w:val="bottom"/>
          </w:tcPr>
          <w:p>
            <w:pPr>
              <w:spacing w:after="0"/>
              <w:rPr>
                <w:sz w:val="12"/>
                <w:szCs w:val="12"/>
                <w:color w:val="auto"/>
              </w:rPr>
            </w:pPr>
          </w:p>
        </w:tc>
        <w:tc>
          <w:tcPr>
            <w:tcW w:w="118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0"/>
              </w:rPr>
              <w:t xml:space="preserve">instruments </w:t>
            </w:r>
            <w:r>
              <w:rPr>
                <w:rFonts w:ascii="Arial" w:cs="Arial" w:eastAsia="Arial" w:hAnsi="Arial"/>
                <w:sz w:val="9"/>
                <w:szCs w:val="9"/>
                <w:b w:val="1"/>
                <w:bCs w:val="1"/>
                <w:color w:val="auto"/>
                <w:w w:val="90"/>
              </w:rPr>
              <w:t>(</w:t>
            </w:r>
            <w:r>
              <w:rPr>
                <w:rFonts w:ascii="Arial" w:cs="Arial" w:eastAsia="Arial" w:hAnsi="Arial"/>
                <w:sz w:val="8"/>
                <w:szCs w:val="8"/>
                <w:b w:val="1"/>
                <w:bCs w:val="1"/>
                <w:color w:val="auto"/>
                <w:w w:val="90"/>
              </w:rPr>
              <w:t>1</w:t>
            </w:r>
            <w:r>
              <w:rPr>
                <w:rFonts w:ascii="Arial" w:cs="Arial" w:eastAsia="Arial" w:hAnsi="Arial"/>
                <w:sz w:val="9"/>
                <w:szCs w:val="9"/>
                <w:b w:val="1"/>
                <w:bCs w:val="1"/>
                <w:color w:val="auto"/>
                <w:w w:val="90"/>
              </w:rPr>
              <w:t>)</w:t>
            </w:r>
          </w:p>
        </w:tc>
        <w:tc>
          <w:tcPr>
            <w:tcW w:w="120" w:type="dxa"/>
            <w:vAlign w:val="bottom"/>
          </w:tcPr>
          <w:p>
            <w:pPr>
              <w:spacing w:after="0"/>
              <w:rPr>
                <w:sz w:val="13"/>
                <w:szCs w:val="13"/>
                <w:color w:val="auto"/>
              </w:rPr>
            </w:pPr>
          </w:p>
        </w:tc>
        <w:tc>
          <w:tcPr>
            <w:tcW w:w="1400" w:type="dxa"/>
            <w:vAlign w:val="bottom"/>
          </w:tcPr>
          <w:p>
            <w:pPr>
              <w:jc w:val="center"/>
              <w:ind w:right="24"/>
              <w:spacing w:after="0"/>
              <w:rPr>
                <w:sz w:val="20"/>
                <w:szCs w:val="20"/>
                <w:color w:val="auto"/>
              </w:rPr>
            </w:pPr>
            <w:r>
              <w:rPr>
                <w:rFonts w:ascii="Arial" w:cs="Arial" w:eastAsia="Arial" w:hAnsi="Arial"/>
                <w:sz w:val="9"/>
                <w:szCs w:val="9"/>
                <w:b w:val="1"/>
                <w:bCs w:val="1"/>
                <w:color w:val="auto"/>
                <w:w w:val="95"/>
              </w:rPr>
              <w:t>(</w:t>
            </w:r>
            <w:r>
              <w:rPr>
                <w:rFonts w:ascii="Arial" w:cs="Arial" w:eastAsia="Arial" w:hAnsi="Arial"/>
                <w:sz w:val="8"/>
                <w:szCs w:val="8"/>
                <w:b w:val="1"/>
                <w:bCs w:val="1"/>
                <w:color w:val="auto"/>
                <w:w w:val="95"/>
              </w:rPr>
              <w:t>2</w:t>
            </w:r>
            <w:r>
              <w:rPr>
                <w:rFonts w:ascii="Arial" w:cs="Arial" w:eastAsia="Arial" w:hAnsi="Arial"/>
                <w:sz w:val="9"/>
                <w:szCs w:val="9"/>
                <w:b w:val="1"/>
                <w:bCs w:val="1"/>
                <w:color w:val="auto"/>
                <w:w w:val="95"/>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85"/>
              </w:rPr>
              <w:t>securities</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(28,485)</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(48,532)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(57,361)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18,599</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(57,415)</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(10,853)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(67,247)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16,626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23,500</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(46,758)</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78,300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100,346</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Amounts reclassified from accumulated other comprehensive income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47,800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49,604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400" w:hanging="394"/>
        <w:spacing w:after="0" w:line="255" w:lineRule="auto"/>
        <w:tabs>
          <w:tab w:leader="none" w:pos="392"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 reclassified from accumulated other comprehensive income (loss) is included in interest expense in the respective consolidated statements of operations. As of December 31, 2022 and 2021, the deferred net gains from these terminated hedges, which is included in accumulated other comprehensive income (loss) relating to net unrealized gain (loss) on derivative instruments, was ($0.5 million) and ($0.6 million), respectively.</w:t>
      </w:r>
    </w:p>
    <w:p>
      <w:pPr>
        <w:ind w:left="400" w:hanging="394"/>
        <w:spacing w:after="0" w:line="275" w:lineRule="auto"/>
        <w:tabs>
          <w:tab w:leader="none" w:pos="392"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 reclassified from accumulated other comprehensive income (loss) is included in equity in net loss from unconsolidated joint ventures in the respective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18"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6"/>
          <w:szCs w:val="16"/>
          <w:color w:val="auto"/>
        </w:rPr>
        <w:t>We are required to disclose fair value information with regard to certain of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certain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6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following tables set forth the assets and liabilities that we measure at fair value on a recurring and non-recurring basis by their levels in the fair value hierarchy as of December 31, 2022 and 2021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118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960" w:type="dxa"/>
            <w:vAlign w:val="bottom"/>
            <w:tcBorders>
              <w:top w:val="single" w:sz="8" w:color="CCEEFF"/>
            </w:tcBorders>
            <w:gridSpan w:val="3"/>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40"/>
        </w:trPr>
        <w:tc>
          <w:tcPr>
            <w:tcW w:w="20" w:type="dxa"/>
            <w:vAlign w:val="bottom"/>
            <w:shd w:val="clear" w:color="auto" w:fill="CCEEFF"/>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Marketable securities available-for-sale</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11,240</w:t>
            </w:r>
          </w:p>
        </w:tc>
        <w:tc>
          <w:tcPr>
            <w:tcW w:w="14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11,240</w:t>
            </w:r>
          </w:p>
        </w:tc>
        <w:tc>
          <w:tcPr>
            <w:tcW w:w="14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assets)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173"/>
        </w:trPr>
        <w:tc>
          <w:tcPr>
            <w:tcW w:w="20" w:type="dxa"/>
            <w:vAlign w:val="bottom"/>
          </w:tcPr>
          <w:p>
            <w:pPr>
              <w:spacing w:after="0"/>
              <w:rPr>
                <w:sz w:val="15"/>
                <w:szCs w:val="15"/>
                <w:color w:val="auto"/>
              </w:rPr>
            </w:pPr>
          </w:p>
        </w:tc>
        <w:tc>
          <w:tcPr>
            <w:tcW w:w="4960" w:type="dxa"/>
            <w:vAlign w:val="bottom"/>
            <w:gridSpan w:val="3"/>
          </w:tcPr>
          <w:p>
            <w:pPr>
              <w:spacing w:after="0" w:line="173" w:lineRule="exact"/>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liabilities)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118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960" w:type="dxa"/>
            <w:vAlign w:val="bottom"/>
            <w:tcBorders>
              <w:top w:val="single" w:sz="8" w:color="CCEEFF"/>
            </w:tcBorders>
            <w:gridSpan w:val="3"/>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40"/>
        </w:trPr>
        <w:tc>
          <w:tcPr>
            <w:tcW w:w="20" w:type="dxa"/>
            <w:vAlign w:val="bottom"/>
            <w:shd w:val="clear" w:color="auto" w:fill="CCEEFF"/>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Marketable securities available-for-sale</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24,146</w:t>
            </w:r>
          </w:p>
        </w:tc>
        <w:tc>
          <w:tcPr>
            <w:tcW w:w="14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24,146</w:t>
            </w:r>
          </w:p>
        </w:tc>
        <w:tc>
          <w:tcPr>
            <w:tcW w:w="14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assets)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173"/>
        </w:trPr>
        <w:tc>
          <w:tcPr>
            <w:tcW w:w="20" w:type="dxa"/>
            <w:vAlign w:val="bottom"/>
          </w:tcPr>
          <w:p>
            <w:pPr>
              <w:spacing w:after="0"/>
              <w:rPr>
                <w:sz w:val="15"/>
                <w:szCs w:val="15"/>
                <w:color w:val="auto"/>
              </w:rPr>
            </w:pPr>
          </w:p>
        </w:tc>
        <w:tc>
          <w:tcPr>
            <w:tcW w:w="4960" w:type="dxa"/>
            <w:vAlign w:val="bottom"/>
            <w:gridSpan w:val="3"/>
          </w:tcPr>
          <w:p>
            <w:pPr>
              <w:spacing w:after="0" w:line="173" w:lineRule="exact"/>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liabilities)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bl>
    <w:p>
      <w:pPr>
        <w:spacing w:after="0" w:line="187" w:lineRule="exact"/>
        <w:rPr>
          <w:sz w:val="20"/>
          <w:szCs w:val="20"/>
          <w:color w:val="auto"/>
        </w:rPr>
      </w:pPr>
    </w:p>
    <w:p>
      <w:pPr>
        <w:jc w:val="both"/>
        <w:ind w:firstLine="399"/>
        <w:spacing w:after="0" w:line="279" w:lineRule="auto"/>
        <w:rPr>
          <w:sz w:val="20"/>
          <w:szCs w:val="20"/>
          <w:color w:val="auto"/>
        </w:rPr>
      </w:pPr>
      <w:r>
        <w:rPr>
          <w:rFonts w:ascii="Arial" w:cs="Arial" w:eastAsia="Arial" w:hAnsi="Arial"/>
          <w:sz w:val="17"/>
          <w:szCs w:val="17"/>
          <w:color w:val="auto"/>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64"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In September 2022, the Company recorded at fair value the assets acquired and liabilities assumed at 245 Park Avenue. This fair value was determined using a third-party valuation which primarily utilized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In September 2021, the Company was the successful bidder at the foreclosure of 690 Madison Avenue, at which time the company, at which time the Company's outstanding principal and accrued interest balance were credited to our equity investment in the property as it previously served as collateral for a debt and preferred equity investment. We recorded the assets acquired and liabilities assumed at fair value. This fair value was determined using a third-party valuation which primarily utilized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91"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In July 2021, the Company sold a 49% interest in its 220 East 42nd Street investment, which resulted in the Company no longer retaining a controlling interest in the entity, as defined in ASC 810, and the deconsolidation of the 51.0% interest we retained. We recorded our investment at fair value which resulted in the recognition of a fair value adjustment of $206.8 million during the year ended December 31, 2021. The fair value of our investment was determined by the terms of the joint venture agreement.</w:t>
      </w:r>
    </w:p>
    <w:p>
      <w:pPr>
        <w:spacing w:after="0" w:line="86"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In January 2021, pursuant to the partnership documents of our 885 Third Ave investments, certain participating rights of the common member expired. As a result, it was determined that this investment is a VIE in which we are the primary beneficiary, and the investment was consolidated in our financial statements. Upon consolidating the entity, the assets and liabilities of the entity were recorded at fair value. This fair value was determined using a third-party valuation which primarily utilized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91"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We do not intend to sell these securities and it is not more likely than not that we will be required to sell the investments before recovery of their amortized cost bases.</w:t>
      </w:r>
    </w:p>
    <w:p>
      <w:pPr>
        <w:spacing w:after="0" w:line="86"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83"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92"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following table provides the carrying value and fair value of these financial instruments as of December 31, 2022 and December 31, 2021 (in thousands):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5"/>
          </w:tcPr>
          <w:p>
            <w:pPr>
              <w:ind w:left="98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3460" w:type="dxa"/>
            <w:vAlign w:val="bottom"/>
            <w:gridSpan w:val="4"/>
          </w:tcPr>
          <w:p>
            <w:pPr>
              <w:jc w:val="right"/>
              <w:ind w:right="1106"/>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80"/>
              <w:spacing w:after="0" w:line="209" w:lineRule="exact"/>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0"/>
                <w:szCs w:val="20"/>
                <w:b w:val="1"/>
                <w:bCs w:val="1"/>
                <w:color w:val="auto"/>
                <w:vertAlign w:val="superscript"/>
              </w:rPr>
              <w:t>(1)</w:t>
            </w: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line="209" w:lineRule="exact"/>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0"/>
                <w:szCs w:val="20"/>
                <w:b w:val="1"/>
                <w:bCs w:val="1"/>
                <w:color w:val="auto"/>
                <w:vertAlign w:val="superscript"/>
              </w:rPr>
              <w:t>(1)</w:t>
            </w: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33"/>
        </w:trPr>
        <w:tc>
          <w:tcPr>
            <w:tcW w:w="37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3760" w:type="dxa"/>
            <w:vAlign w:val="bottom"/>
            <w:vMerge w:val="restart"/>
          </w:tcPr>
          <w:p>
            <w:pPr>
              <w:ind w:left="20"/>
              <w:spacing w:after="0"/>
              <w:rPr>
                <w:sz w:val="20"/>
                <w:szCs w:val="20"/>
                <w:color w:val="auto"/>
              </w:rPr>
            </w:pPr>
            <w:r>
              <w:rPr>
                <w:rFonts w:ascii="Arial" w:cs="Arial" w:eastAsia="Arial" w:hAnsi="Arial"/>
                <w:sz w:val="16"/>
                <w:szCs w:val="16"/>
                <w:color w:val="auto"/>
              </w:rPr>
              <w:t>Debt and preferred equity investments</w:t>
            </w:r>
          </w:p>
        </w:tc>
        <w:tc>
          <w:tcPr>
            <w:tcW w:w="18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623,280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jc w:val="right"/>
              <w:ind w:right="746"/>
              <w:spacing w:after="0"/>
              <w:rPr>
                <w:sz w:val="20"/>
                <w:szCs w:val="20"/>
                <w:color w:val="auto"/>
              </w:rPr>
            </w:pPr>
            <w:r>
              <w:rPr>
                <w:rFonts w:ascii="Arial" w:cs="Arial" w:eastAsia="Arial" w:hAnsi="Arial"/>
                <w:sz w:val="10"/>
                <w:szCs w:val="10"/>
                <w:b w:val="1"/>
                <w:bCs w:val="1"/>
                <w:color w:val="auto"/>
              </w:rPr>
              <w:t>(2)</w:t>
            </w:r>
          </w:p>
        </w:tc>
        <w:tc>
          <w:tcPr>
            <w:tcW w:w="120" w:type="dxa"/>
            <w:vAlign w:val="bottom"/>
          </w:tcPr>
          <w:p>
            <w:pPr>
              <w:spacing w:after="0"/>
              <w:rPr>
                <w:sz w:val="11"/>
                <w:szCs w:val="11"/>
                <w:color w:val="auto"/>
              </w:rPr>
            </w:pPr>
          </w:p>
        </w:tc>
        <w:tc>
          <w:tcPr>
            <w:tcW w:w="180" w:type="dxa"/>
            <w:vAlign w:val="bottom"/>
            <w:vMerge w:val="restart"/>
          </w:tcPr>
          <w:p>
            <w:pPr>
              <w:jc w:val="right"/>
              <w:ind w:right="26"/>
              <w:spacing w:after="0"/>
              <w:rPr>
                <w:sz w:val="20"/>
                <w:szCs w:val="20"/>
                <w:color w:val="auto"/>
              </w:rPr>
            </w:pPr>
            <w:r>
              <w:rPr>
                <w:rFonts w:ascii="Arial" w:cs="Arial" w:eastAsia="Arial" w:hAnsi="Arial"/>
                <w:sz w:val="15"/>
                <w:szCs w:val="15"/>
                <w:color w:val="auto"/>
                <w:w w:val="71"/>
              </w:rPr>
              <w:t>$</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1,088,723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jc w:val="right"/>
              <w:ind w:right="746"/>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74"/>
        </w:trPr>
        <w:tc>
          <w:tcPr>
            <w:tcW w:w="37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3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760" w:type="dxa"/>
            <w:vAlign w:val="bottom"/>
          </w:tcPr>
          <w:p>
            <w:pPr>
              <w:ind w:left="20"/>
              <w:spacing w:after="0"/>
              <w:rPr>
                <w:sz w:val="20"/>
                <w:szCs w:val="20"/>
                <w:color w:val="auto"/>
              </w:rPr>
            </w:pPr>
            <w:r>
              <w:rPr>
                <w:rFonts w:ascii="Arial" w:cs="Arial" w:eastAsia="Arial" w:hAnsi="Arial"/>
                <w:sz w:val="16"/>
                <w:szCs w:val="16"/>
                <w:color w:val="auto"/>
              </w:rPr>
              <w:t>Fixed rate debt</w:t>
            </w: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5,015,814</w:t>
            </w:r>
          </w:p>
        </w:tc>
        <w:tc>
          <w:tcPr>
            <w:tcW w:w="10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4,784,691</w:t>
            </w:r>
          </w:p>
        </w:tc>
        <w:tc>
          <w:tcPr>
            <w:tcW w:w="1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3,274,324</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6"/>
              <w:spacing w:after="0"/>
              <w:rPr>
                <w:sz w:val="20"/>
                <w:szCs w:val="20"/>
                <w:color w:val="auto"/>
              </w:rPr>
            </w:pPr>
            <w:r>
              <w:rPr>
                <w:rFonts w:ascii="Arial" w:cs="Arial" w:eastAsia="Arial" w:hAnsi="Arial"/>
                <w:sz w:val="16"/>
                <w:szCs w:val="16"/>
                <w:color w:val="auto"/>
              </w:rPr>
              <w:t>3,336,463</w:t>
            </w:r>
          </w:p>
        </w:tc>
        <w:tc>
          <w:tcPr>
            <w:tcW w:w="0" w:type="dxa"/>
            <w:vAlign w:val="bottom"/>
          </w:tcPr>
          <w:p>
            <w:pPr>
              <w:spacing w:after="0"/>
              <w:rPr>
                <w:sz w:val="1"/>
                <w:szCs w:val="1"/>
                <w:color w:val="auto"/>
              </w:rPr>
            </w:pPr>
          </w:p>
        </w:tc>
      </w:tr>
      <w:tr>
        <w:trPr>
          <w:trHeight w:val="213"/>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rate debt</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520,148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519,669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801,051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800,672</w:t>
            </w: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5,535,962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5,304,360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4,075,375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4,137,135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exclude net deferred financing costs.</w:t>
      </w:r>
    </w:p>
    <w:p>
      <w:pPr>
        <w:spacing w:after="0" w:line="10" w:lineRule="exact"/>
        <w:rPr>
          <w:rFonts w:ascii="Arial" w:cs="Arial" w:eastAsia="Arial" w:hAnsi="Arial"/>
          <w:sz w:val="14"/>
          <w:szCs w:val="14"/>
          <w:color w:val="auto"/>
        </w:rPr>
      </w:pPr>
    </w:p>
    <w:p>
      <w:pPr>
        <w:ind w:left="400" w:hanging="394"/>
        <w:spacing w:after="0" w:line="269" w:lineRule="auto"/>
        <w:tabs>
          <w:tab w:leader="none" w:pos="392"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December 31, 2022, debt and preferred equity investments had an estimated fair value ranging between $0.6 billion and $0.6 billion. As of December 31, 2021, debt and preferred equity investments had an estimated fair value ranging between $1.0 billion and $1.1 billion.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Disclosures regarding fair value of financial instruments was based on pertinent information available to us as of December 31, 2022 and 2021. Such amounts have not been comprehensively revalued for purposes of these financial statements since that date and current estimates of fair value may differ significantly from the amounts presented herein.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Derivatives and Hedging</w:t>
      </w:r>
    </w:p>
    <w:p>
      <w:pPr>
        <w:spacing w:after="0" w:line="1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In the normal course of business, we use a variety of commonly used derivative instruments, such as interest rate swaps, caps, collars and floors, to manage, or hedge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and other variables affecting the fair values of derivative instruments and hedged items, but will have no effect on cash flows. Currently, all of our designated derivative instruments are effective hedging instruments.</w:t>
      </w:r>
    </w:p>
    <w:p>
      <w:pPr>
        <w:spacing w:after="0" w:line="7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following table summarizes the notional value at inception and fair value of our consolidated derivative financial instruments as of December 31, 2022 based on Level 2 information. The notional value is an indication of the extent of our involvement in these instruments at that time, but does not represent exposure to credit, interest rate or market risks (dollars in thousands).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Notional</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Strike</w:t>
            </w:r>
          </w:p>
        </w:tc>
        <w:tc>
          <w:tcPr>
            <w:tcW w:w="1520" w:type="dxa"/>
            <w:vAlign w:val="bottom"/>
            <w:gridSpan w:val="2"/>
          </w:tcPr>
          <w:p>
            <w:pPr>
              <w:ind w:left="400"/>
              <w:spacing w:after="0"/>
              <w:rPr>
                <w:sz w:val="20"/>
                <w:szCs w:val="20"/>
                <w:color w:val="auto"/>
              </w:rPr>
            </w:pPr>
            <w:r>
              <w:rPr>
                <w:rFonts w:ascii="Arial" w:cs="Arial" w:eastAsia="Arial" w:hAnsi="Arial"/>
                <w:sz w:val="16"/>
                <w:szCs w:val="16"/>
                <w:b w:val="1"/>
                <w:bCs w:val="1"/>
                <w:color w:val="auto"/>
              </w:rPr>
              <w:t>Effective</w:t>
            </w:r>
          </w:p>
        </w:tc>
        <w:tc>
          <w:tcPr>
            <w:tcW w:w="1640" w:type="dxa"/>
            <w:vAlign w:val="bottom"/>
            <w:gridSpan w:val="2"/>
          </w:tcPr>
          <w:p>
            <w:pPr>
              <w:ind w:left="400"/>
              <w:spacing w:after="0"/>
              <w:rPr>
                <w:sz w:val="20"/>
                <w:szCs w:val="20"/>
                <w:color w:val="auto"/>
              </w:rPr>
            </w:pPr>
            <w:r>
              <w:rPr>
                <w:rFonts w:ascii="Arial" w:cs="Arial" w:eastAsia="Arial" w:hAnsi="Arial"/>
                <w:sz w:val="16"/>
                <w:szCs w:val="16"/>
                <w:b w:val="1"/>
                <w:bCs w:val="1"/>
                <w:color w:val="auto"/>
              </w:rPr>
              <w:t>Expiration</w:t>
            </w:r>
          </w:p>
        </w:tc>
        <w:tc>
          <w:tcPr>
            <w:tcW w:w="164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8"/>
              </w:rPr>
              <w:t>Balance Sheet Location</w:t>
            </w:r>
          </w:p>
        </w:tc>
        <w:tc>
          <w:tcPr>
            <w:tcW w:w="1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6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1"/>
        </w:trPr>
        <w:tc>
          <w:tcPr>
            <w:tcW w:w="2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Rate</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Date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Date</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0.212 %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2023</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0.184 %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2022</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2023</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0.633 %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2023</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Cap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3.250 %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2022</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2023</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2023</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1.163 %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2021</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July 2023</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2023</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Cap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4.080 %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2022</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2023</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(3,341)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2022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2023</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4.739 %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2022</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2023</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196,717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November 2023</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Cap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196,717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3.500 %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2022</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2023</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2021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2024</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4.590 %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2022</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2024</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4.511 %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2024</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2.721 %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2021</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2026</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5,848</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2021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2026</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7,601</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3.003 %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2023</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2027</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3,264</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2023</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2027</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2.563 %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2023</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2027</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2023</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2027</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8,823</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2.966 %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2023</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May 2027</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7,514</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2027</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210"/>
        </w:trPr>
        <w:tc>
          <w:tcPr>
            <w:tcW w:w="2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Rate Swap</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3.756 %</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January 2023</w:t>
            </w:r>
          </w:p>
        </w:tc>
        <w:tc>
          <w:tcPr>
            <w:tcW w:w="16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January 2028</w:t>
            </w:r>
          </w:p>
        </w:tc>
        <w:tc>
          <w:tcPr>
            <w:tcW w:w="174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1"/>
        </w:trPr>
        <w:tc>
          <w:tcPr>
            <w:tcW w:w="2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jc w:val="both"/>
        <w:ind w:firstLine="399"/>
        <w:spacing w:after="0" w:line="295" w:lineRule="auto"/>
        <w:rPr>
          <w:sz w:val="20"/>
          <w:szCs w:val="20"/>
          <w:color w:val="auto"/>
        </w:rPr>
      </w:pPr>
      <w:r>
        <w:rPr>
          <w:rFonts w:ascii="Arial" w:cs="Arial" w:eastAsia="Arial" w:hAnsi="Arial"/>
          <w:sz w:val="16"/>
          <w:szCs w:val="16"/>
          <w:color w:val="auto"/>
        </w:rPr>
        <w:t>During the year ended December 31, 2022, we recorded a loss of $1.7 million based on the changes in the fair value of interest rate caps we sold, which is included in Purchase price and other fair value adjustments in the consolidated statements of operations. No interest rate caps were sold during the years ended December 31, 2021 and 2020. During the years ended December 31, 2022, 2021, and 2020, we recorded losses of $0.3 million, $0.0 million, and $0.1 million, respectively, on the changes in the fair value, which is included in interest expense in the consolidated statements of operations.</w:t>
      </w:r>
    </w:p>
    <w:p>
      <w:pPr>
        <w:spacing w:after="0" w:line="54"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The Company frequently has agreements with each of its derivative counterparties that contain a provision where if the Company defaults on any of its indebtedness, then the Company could also be declared in default on its derivative obligations. As of December 31, 2022, the fair value of derivatives in a net liability position, including accrued interest but excluding any adjustment for nonperformance risk related to these agreements was $10.5 million. As of December 31, 2022, the Company was not required to post any collateral related to these agreements and was not in breach of any agreement provisions. If the Company had breached any of these provisions, it could have been required to settle its obligations under the agreements at their aggregate termination value of $10.9 million as of December 31, 2022.</w:t>
      </w:r>
    </w:p>
    <w:p>
      <w:pPr>
        <w:spacing w:after="0" w:line="91"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Gains and losses on terminated hedges are included in accumulated other comprehensive income (loss), and are recognized into earnings over the term of the related mortgage obligation. Over time, the realized and unrealized gains and losses held in accumulated other comprehensive income (loss) will be reclassified into earnings as an adjustment to interest expense in the same periods in which the hedged interest payments affect earnings. We estimate that ($35.9 million) of the current balance held in accumulated other comprehensive income (loss) will be reclassified in interest expense and ($11.6 million) of the portion related to our share of joint venture accumulated other comprehensive income (loss) will be reclassified into equity in net loss from unconsolidated joint ventures within the next 12 months.</w:t>
      </w:r>
    </w:p>
    <w:p>
      <w:pPr>
        <w:spacing w:after="0" w:line="91"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following table presents the effect of our derivative financial instruments and our share of our joint ventures' derivative financial instruments that are designated and qualify as hedging instruments on the consolidated statements of operations for the years ended December 31, 2022, 2021, and 2020, respectively (in thousands):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left="445"/>
              <w:spacing w:after="0"/>
              <w:rPr>
                <w:sz w:val="20"/>
                <w:szCs w:val="20"/>
                <w:color w:val="auto"/>
              </w:rPr>
            </w:pPr>
            <w:r>
              <w:rPr>
                <w:rFonts w:ascii="Arial" w:cs="Arial" w:eastAsia="Arial" w:hAnsi="Arial"/>
                <w:sz w:val="14"/>
                <w:szCs w:val="14"/>
                <w:b w:val="1"/>
                <w:bCs w:val="1"/>
                <w:color w:val="auto"/>
                <w:w w:val="91"/>
              </w:rPr>
              <w:t>Amount of Gain (Loss)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7"/>
          </w:tcPr>
          <w:p>
            <w:pPr>
              <w:jc w:val="center"/>
              <w:ind w:right="162"/>
              <w:spacing w:after="0"/>
              <w:rPr>
                <w:sz w:val="20"/>
                <w:szCs w:val="20"/>
                <w:color w:val="auto"/>
              </w:rPr>
            </w:pPr>
            <w:r>
              <w:rPr>
                <w:rFonts w:ascii="Arial" w:cs="Arial" w:eastAsia="Arial" w:hAnsi="Arial"/>
                <w:sz w:val="14"/>
                <w:szCs w:val="14"/>
                <w:b w:val="1"/>
                <w:bCs w:val="1"/>
                <w:color w:val="auto"/>
                <w:w w:val="90"/>
              </w:rPr>
              <w:t>Amount of Gain (Loss) Reclassified from</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8"/>
              </w:rPr>
              <w:t>Recognized in</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gridSpan w:val="8"/>
          </w:tcPr>
          <w:p>
            <w:pPr>
              <w:jc w:val="center"/>
              <w:spacing w:after="0" w:line="143" w:lineRule="exact"/>
              <w:rPr>
                <w:sz w:val="20"/>
                <w:szCs w:val="20"/>
                <w:color w:val="auto"/>
              </w:rPr>
            </w:pPr>
            <w:r>
              <w:rPr>
                <w:rFonts w:ascii="Arial" w:cs="Arial" w:eastAsia="Arial" w:hAnsi="Arial"/>
                <w:sz w:val="14"/>
                <w:szCs w:val="14"/>
                <w:b w:val="1"/>
                <w:bCs w:val="1"/>
                <w:color w:val="auto"/>
                <w:w w:val="90"/>
              </w:rPr>
              <w:t>Accumulated Other Comprehensive Income (Loss)</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ind w:right="162"/>
              <w:spacing w:after="0"/>
              <w:rPr>
                <w:sz w:val="20"/>
                <w:szCs w:val="20"/>
                <w:color w:val="auto"/>
              </w:rPr>
            </w:pPr>
            <w:r>
              <w:rPr>
                <w:rFonts w:ascii="Arial" w:cs="Arial" w:eastAsia="Arial" w:hAnsi="Arial"/>
                <w:sz w:val="14"/>
                <w:szCs w:val="14"/>
                <w:b w:val="1"/>
                <w:bCs w:val="1"/>
                <w:color w:val="auto"/>
                <w:w w:val="90"/>
              </w:rPr>
              <w:t>Other Comprehensive Income (Loss)</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into Income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5"/>
              </w:rPr>
              <w:t>Location of Gain (Loss) Reclassified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from Accumulated Other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340" w:type="dxa"/>
            <w:vAlign w:val="bottom"/>
            <w:gridSpan w:val="2"/>
            <w:vMerge w:val="restart"/>
          </w:tcPr>
          <w:p>
            <w:pPr>
              <w:jc w:val="center"/>
              <w:ind w:right="140"/>
              <w:spacing w:after="0" w:line="97" w:lineRule="exact"/>
              <w:rPr>
                <w:sz w:val="20"/>
                <w:szCs w:val="20"/>
                <w:color w:val="auto"/>
              </w:rPr>
            </w:pPr>
            <w:r>
              <w:rPr>
                <w:rFonts w:ascii="Arial" w:cs="Arial" w:eastAsia="Arial" w:hAnsi="Arial"/>
                <w:sz w:val="11"/>
                <w:szCs w:val="11"/>
                <w:b w:val="1"/>
                <w:bCs w:val="1"/>
                <w:color w:val="auto"/>
              </w:rPr>
              <w:t>Comprehensive Income (Loss) into</w:t>
            </w: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32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Derivative</w:t>
            </w:r>
          </w:p>
        </w:tc>
        <w:tc>
          <w:tcPr>
            <w:tcW w:w="220" w:type="dxa"/>
            <w:vAlign w:val="bottom"/>
          </w:tcPr>
          <w:p>
            <w:pPr>
              <w:spacing w:after="0"/>
              <w:rPr>
                <w:sz w:val="2"/>
                <w:szCs w:val="2"/>
                <w:color w:val="auto"/>
              </w:rPr>
            </w:pPr>
          </w:p>
        </w:tc>
        <w:tc>
          <w:tcPr>
            <w:tcW w:w="7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20" w:type="dxa"/>
            <w:vAlign w:val="bottom"/>
            <w:vMerge w:val="continue"/>
          </w:tcPr>
          <w:p>
            <w:pPr>
              <w:spacing w:after="0"/>
              <w:rPr>
                <w:sz w:val="2"/>
                <w:szCs w:val="2"/>
                <w:color w:val="auto"/>
              </w:rPr>
            </w:pPr>
          </w:p>
        </w:tc>
        <w:tc>
          <w:tcPr>
            <w:tcW w:w="2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84"/>
        </w:trPr>
        <w:tc>
          <w:tcPr>
            <w:tcW w:w="2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Swaps/Caps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83,162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15,643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(14,569)</w:t>
            </w:r>
          </w:p>
        </w:tc>
        <w:tc>
          <w:tcPr>
            <w:tcW w:w="0" w:type="dxa"/>
            <w:vAlign w:val="bottom"/>
          </w:tcPr>
          <w:p>
            <w:pPr>
              <w:spacing w:after="0"/>
              <w:rPr>
                <w:sz w:val="1"/>
                <w:szCs w:val="1"/>
                <w:color w:val="auto"/>
              </w:rPr>
            </w:pPr>
          </w:p>
        </w:tc>
      </w:tr>
      <w:tr>
        <w:trPr>
          <w:trHeight w:val="163"/>
        </w:trPr>
        <w:tc>
          <w:tcPr>
            <w:tcW w:w="232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Share of unconsolidated joint</w:t>
            </w:r>
          </w:p>
        </w:tc>
        <w:tc>
          <w:tcPr>
            <w:tcW w:w="220" w:type="dxa"/>
            <w:vAlign w:val="bottom"/>
          </w:tcPr>
          <w:p>
            <w:pPr>
              <w:spacing w:after="0"/>
              <w:rPr>
                <w:sz w:val="14"/>
                <w:szCs w:val="14"/>
                <w:color w:val="auto"/>
              </w:rPr>
            </w:pPr>
          </w:p>
        </w:tc>
        <w:tc>
          <w:tcPr>
            <w:tcW w:w="760" w:type="dxa"/>
            <w:vAlign w:val="bottom"/>
            <w:vMerge w:val="restart"/>
          </w:tcPr>
          <w:p>
            <w:pPr>
              <w:jc w:val="right"/>
              <w:ind w:right="5"/>
              <w:spacing w:after="0"/>
              <w:rPr>
                <w:sz w:val="20"/>
                <w:szCs w:val="20"/>
                <w:color w:val="auto"/>
              </w:rPr>
            </w:pPr>
            <w:r>
              <w:rPr>
                <w:rFonts w:ascii="Arial" w:cs="Arial" w:eastAsia="Arial" w:hAnsi="Arial"/>
                <w:sz w:val="16"/>
                <w:szCs w:val="16"/>
                <w:color w:val="auto"/>
              </w:rPr>
              <w:t>24,783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(19,400)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(7,977)</w:t>
            </w:r>
          </w:p>
        </w:tc>
        <w:tc>
          <w:tcPr>
            <w:tcW w:w="120" w:type="dxa"/>
            <w:vAlign w:val="bottom"/>
          </w:tcPr>
          <w:p>
            <w:pPr>
              <w:spacing w:after="0"/>
              <w:rPr>
                <w:sz w:val="14"/>
                <w:szCs w:val="14"/>
                <w:color w:val="auto"/>
              </w:rPr>
            </w:pPr>
          </w:p>
        </w:tc>
        <w:tc>
          <w:tcPr>
            <w:tcW w:w="2340" w:type="dxa"/>
            <w:vAlign w:val="bottom"/>
            <w:gridSpan w:val="2"/>
          </w:tcPr>
          <w:p>
            <w:pPr>
              <w:spacing w:after="0" w:line="163" w:lineRule="exact"/>
              <w:rPr>
                <w:sz w:val="20"/>
                <w:szCs w:val="20"/>
                <w:color w:val="auto"/>
              </w:rPr>
            </w:pPr>
            <w:r>
              <w:rPr>
                <w:rFonts w:ascii="Arial" w:cs="Arial" w:eastAsia="Arial" w:hAnsi="Arial"/>
                <w:sz w:val="16"/>
                <w:szCs w:val="16"/>
                <w:color w:val="auto"/>
              </w:rPr>
              <w:t>Equity in net loss from</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(7,582)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(4,911)</w:t>
            </w:r>
          </w:p>
        </w:tc>
        <w:tc>
          <w:tcPr>
            <w:tcW w:w="0" w:type="dxa"/>
            <w:vAlign w:val="bottom"/>
          </w:tcPr>
          <w:p>
            <w:pPr>
              <w:spacing w:after="0"/>
              <w:rPr>
                <w:sz w:val="1"/>
                <w:szCs w:val="1"/>
                <w:color w:val="auto"/>
              </w:rPr>
            </w:pPr>
          </w:p>
        </w:tc>
      </w:tr>
      <w:tr>
        <w:trPr>
          <w:trHeight w:val="207"/>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ventures' derivative instruments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unconsolidated joint ventures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107,945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c>
          <w:tcPr>
            <w:tcW w:w="1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4,316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(19,480)</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following table summarizes the notional value at inception and fair value of our joint ventures' derivative financial instruments as of December 31, 2022 based on Level 2 information. The notional value is an indication of the extent of our involvement in these instruments at that time, but does not represent exposure to credit, interest rate or market risks (dollars in thousands).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 Value</w:t>
            </w: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Strike Rate</w:t>
            </w: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Effective Date</w:t>
            </w: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Expiration Date</w:t>
            </w:r>
          </w:p>
        </w:tc>
        <w:tc>
          <w:tcPr>
            <w:tcW w:w="14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Classification</w:t>
            </w:r>
          </w:p>
        </w:tc>
        <w:tc>
          <w:tcPr>
            <w:tcW w:w="940" w:type="dxa"/>
            <w:vAlign w:val="bottom"/>
          </w:tcPr>
          <w:p>
            <w:pPr>
              <w:jc w:val="right"/>
              <w:ind w:right="141"/>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2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4.750 %</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2021</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4.000 %</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2022</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2023</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2021</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2023</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4.000 %</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2022</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August 2023</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1,289</w:t>
            </w: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3.500 %</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2022</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2023</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4.080 %</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2022</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2023</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6,004</w:t>
            </w: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4.080 %</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2022</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2023</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118,670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0.490 %</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2022</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May 2024</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22,669</w:t>
            </w: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0.490 %</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2022</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2024</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22,652</w:t>
            </w:r>
          </w:p>
        </w:tc>
      </w:tr>
      <w:tr>
        <w:trPr>
          <w:trHeight w:val="210"/>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w:t>
            </w: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177,000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1.669 %</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December 2022</w:t>
            </w:r>
          </w:p>
        </w:tc>
        <w:tc>
          <w:tcPr>
            <w:tcW w:w="15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February 2026</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12,576</w:t>
            </w:r>
          </w:p>
        </w:tc>
      </w:tr>
      <w:tr>
        <w:trPr>
          <w:trHeight w:val="226"/>
        </w:trPr>
        <w:tc>
          <w:tcPr>
            <w:tcW w:w="2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74,040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 Income</w:t>
      </w:r>
    </w:p>
    <w:p>
      <w:pPr>
        <w:spacing w:after="0" w:line="118" w:lineRule="exact"/>
        <w:rPr>
          <w:sz w:val="20"/>
          <w:szCs w:val="20"/>
          <w:color w:val="auto"/>
        </w:rPr>
      </w:pPr>
    </w:p>
    <w:p>
      <w:pPr>
        <w:jc w:val="both"/>
        <w:ind w:right="100" w:firstLine="399"/>
        <w:spacing w:after="0" w:line="256" w:lineRule="auto"/>
        <w:rPr>
          <w:sz w:val="20"/>
          <w:szCs w:val="20"/>
          <w:color w:val="auto"/>
        </w:rPr>
      </w:pPr>
      <w:r>
        <w:rPr>
          <w:rFonts w:ascii="Arial" w:cs="Arial" w:eastAsia="Arial" w:hAnsi="Arial"/>
          <w:sz w:val="18"/>
          <w:szCs w:val="18"/>
          <w:color w:val="auto"/>
        </w:rPr>
        <w:t>The Operating Partnership is the lessor and the sublessor to tenants under operating and sales-type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spacing w:after="0" w:line="83" w:lineRule="exact"/>
        <w:rPr>
          <w:sz w:val="20"/>
          <w:szCs w:val="20"/>
          <w:color w:val="auto"/>
        </w:rPr>
      </w:pPr>
    </w:p>
    <w:p>
      <w:pPr>
        <w:jc w:val="both"/>
        <w:ind w:right="100" w:firstLine="399"/>
        <w:spacing w:after="0" w:line="266" w:lineRule="auto"/>
        <w:rPr>
          <w:sz w:val="20"/>
          <w:szCs w:val="20"/>
          <w:color w:val="auto"/>
        </w:rPr>
      </w:pPr>
      <w:r>
        <w:rPr>
          <w:rFonts w:ascii="Arial" w:cs="Arial" w:eastAsia="Arial" w:hAnsi="Arial"/>
          <w:sz w:val="18"/>
          <w:szCs w:val="18"/>
          <w:color w:val="auto"/>
        </w:rPr>
        <w:t>Future minimum rents to be received over the next five years and thereafter for operating leases in effect at December 31, 2022 are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596,648</w:t>
            </w:r>
          </w:p>
        </w:tc>
      </w:tr>
      <w:tr>
        <w:trPr>
          <w:trHeight w:val="211"/>
        </w:trPr>
        <w:tc>
          <w:tcPr>
            <w:tcW w:w="9660" w:type="dxa"/>
            <w:vAlign w:val="bottom"/>
          </w:tcPr>
          <w:p>
            <w:pPr>
              <w:ind w:left="20"/>
              <w:spacing w:after="0"/>
              <w:rPr>
                <w:sz w:val="20"/>
                <w:szCs w:val="20"/>
                <w:color w:val="auto"/>
              </w:rPr>
            </w:pPr>
            <w:r>
              <w:rPr>
                <w:rFonts w:ascii="Arial" w:cs="Arial" w:eastAsia="Arial" w:hAnsi="Arial"/>
                <w:sz w:val="16"/>
                <w:szCs w:val="16"/>
                <w:color w:val="auto"/>
              </w:rPr>
              <w:t>2024</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569,125</w:t>
            </w:r>
          </w:p>
        </w:tc>
      </w:tr>
      <w:tr>
        <w:trPr>
          <w:trHeight w:val="215"/>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543,287</w:t>
            </w:r>
          </w:p>
        </w:tc>
      </w:tr>
      <w:tr>
        <w:trPr>
          <w:trHeight w:val="211"/>
        </w:trPr>
        <w:tc>
          <w:tcPr>
            <w:tcW w:w="9660" w:type="dxa"/>
            <w:vAlign w:val="bottom"/>
          </w:tcPr>
          <w:p>
            <w:pPr>
              <w:ind w:left="20"/>
              <w:spacing w:after="0"/>
              <w:rPr>
                <w:sz w:val="20"/>
                <w:szCs w:val="20"/>
                <w:color w:val="auto"/>
              </w:rPr>
            </w:pPr>
            <w:r>
              <w:rPr>
                <w:rFonts w:ascii="Arial" w:cs="Arial" w:eastAsia="Arial" w:hAnsi="Arial"/>
                <w:sz w:val="16"/>
                <w:szCs w:val="16"/>
                <w:color w:val="auto"/>
              </w:rPr>
              <w:t>2026</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486,771</w:t>
            </w:r>
          </w:p>
        </w:tc>
      </w:tr>
      <w:tr>
        <w:trPr>
          <w:trHeight w:val="215"/>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415,123</w:t>
            </w:r>
          </w:p>
        </w:tc>
      </w:tr>
      <w:tr>
        <w:trPr>
          <w:trHeight w:val="211"/>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1,718,650</w:t>
            </w:r>
          </w:p>
        </w:tc>
      </w:tr>
      <w:tr>
        <w:trPr>
          <w:trHeight w:val="231"/>
        </w:trPr>
        <w:tc>
          <w:tcPr>
            <w:tcW w:w="96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4,329,604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Pr>
          <w:p>
            <w:pPr>
              <w:ind w:left="400"/>
              <w:spacing w:after="0"/>
              <w:rPr>
                <w:sz w:val="20"/>
                <w:szCs w:val="20"/>
                <w:color w:val="auto"/>
              </w:rPr>
            </w:pPr>
            <w:r>
              <w:rPr>
                <w:rFonts w:ascii="Arial" w:cs="Arial" w:eastAsia="Arial" w:hAnsi="Arial"/>
                <w:sz w:val="18"/>
                <w:szCs w:val="18"/>
                <w:color w:val="auto"/>
                <w:w w:val="96"/>
              </w:rPr>
              <w:t>The  components  of  lease  income  from  operating</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w w:val="96"/>
              </w:rPr>
              <w:t>leases  in  effect  at  December  31,  2022  and  2021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were  as  follows</w:t>
            </w:r>
          </w:p>
        </w:tc>
        <w:tc>
          <w:tcPr>
            <w:tcW w:w="1180" w:type="dxa"/>
            <w:vAlign w:val="bottom"/>
          </w:tcPr>
          <w:p>
            <w:pPr>
              <w:jc w:val="right"/>
              <w:spacing w:after="0"/>
              <w:rPr>
                <w:sz w:val="20"/>
                <w:szCs w:val="20"/>
                <w:color w:val="auto"/>
              </w:rPr>
            </w:pPr>
            <w:r>
              <w:rPr>
                <w:rFonts w:ascii="Arial" w:cs="Arial" w:eastAsia="Arial" w:hAnsi="Arial"/>
                <w:sz w:val="18"/>
                <w:szCs w:val="18"/>
                <w:color w:val="auto"/>
                <w:w w:val="91"/>
              </w:rPr>
              <w:t>(in  thousands):</w:t>
            </w:r>
          </w:p>
        </w:tc>
      </w:tr>
      <w:tr>
        <w:trPr>
          <w:trHeight w:val="238"/>
        </w:trPr>
        <w:tc>
          <w:tcPr>
            <w:tcW w:w="44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w w:val="90"/>
              </w:rPr>
              <w:t>Twelve Months Ended December 31,</w:t>
            </w:r>
          </w:p>
        </w:tc>
      </w:tr>
      <w:tr>
        <w:trPr>
          <w:trHeight w:val="207"/>
        </w:trPr>
        <w:tc>
          <w:tcPr>
            <w:tcW w:w="4420" w:type="dxa"/>
            <w:vAlign w:val="bottom"/>
            <w:tcBorders>
              <w:bottom w:val="single" w:sz="8" w:color="CCEEFF"/>
            </w:tcBorders>
          </w:tcPr>
          <w:p>
            <w:pPr>
              <w:spacing w:after="0"/>
              <w:rPr>
                <w:sz w:val="17"/>
                <w:szCs w:val="17"/>
                <w:color w:val="auto"/>
              </w:rPr>
            </w:pPr>
          </w:p>
        </w:tc>
        <w:tc>
          <w:tcPr>
            <w:tcW w:w="40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lease payments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594,541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600,474</w:t>
            </w:r>
          </w:p>
        </w:tc>
      </w:tr>
      <w:tr>
        <w:trPr>
          <w:trHeight w:val="211"/>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payments</w:t>
            </w:r>
          </w:p>
        </w:tc>
        <w:tc>
          <w:tcPr>
            <w:tcW w:w="40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82,676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73,542</w:t>
            </w: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r>
              <w:rPr>
                <w:rFonts w:ascii="Arial" w:cs="Arial" w:eastAsia="Arial" w:hAnsi="Arial"/>
                <w:sz w:val="14"/>
                <w:szCs w:val="14"/>
                <w:color w:val="auto"/>
              </w:rPr>
              <w:t>(1)</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677,217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674,016</w:t>
            </w:r>
          </w:p>
        </w:tc>
      </w:tr>
      <w:tr>
        <w:trPr>
          <w:trHeight w:val="211"/>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acquired above and below-market leases</w:t>
            </w:r>
          </w:p>
        </w:tc>
        <w:tc>
          <w:tcPr>
            <w:tcW w:w="40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4,160</w:t>
            </w:r>
          </w:p>
        </w:tc>
      </w:tr>
      <w:tr>
        <w:trPr>
          <w:trHeight w:val="23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rental revenue</w:t>
            </w:r>
          </w:p>
        </w:tc>
        <w:tc>
          <w:tcPr>
            <w:tcW w:w="4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671,500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678,176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Amounts include $222.1 million and $229.2 million of sublease income for the years ended December 31, 2022 and 2021, respectively.</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investment in sales-type leases as of December 31, 2022:</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Property</w:t>
            </w:r>
          </w:p>
        </w:tc>
        <w:tc>
          <w:tcPr>
            <w:tcW w:w="5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Year of Current Expiration</w:t>
            </w:r>
          </w:p>
        </w:tc>
        <w:tc>
          <w:tcPr>
            <w:tcW w:w="2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94"/>
              </w:rPr>
              <w:t xml:space="preserve">Year of Final Expiration </w:t>
            </w:r>
            <w:r>
              <w:rPr>
                <w:rFonts w:ascii="Arial" w:cs="Arial" w:eastAsia="Arial" w:hAnsi="Arial"/>
                <w:sz w:val="20"/>
                <w:szCs w:val="20"/>
                <w:b w:val="1"/>
                <w:bCs w:val="1"/>
                <w:color w:val="auto"/>
                <w:w w:val="94"/>
                <w:vertAlign w:val="superscript"/>
              </w:rPr>
              <w:t>(1)</w:t>
            </w:r>
          </w:p>
        </w:tc>
      </w:tr>
      <w:tr>
        <w:trPr>
          <w:trHeight w:val="206"/>
        </w:trPr>
        <w:tc>
          <w:tcPr>
            <w:tcW w:w="410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15 Beekman </w:t>
            </w:r>
            <w:r>
              <w:rPr>
                <w:rFonts w:ascii="Arial" w:cs="Arial" w:eastAsia="Arial" w:hAnsi="Arial"/>
                <w:sz w:val="20"/>
                <w:szCs w:val="20"/>
                <w:color w:val="auto"/>
                <w:vertAlign w:val="superscript"/>
              </w:rPr>
              <w:t>(2)</w:t>
            </w:r>
          </w:p>
        </w:tc>
        <w:tc>
          <w:tcPr>
            <w:tcW w:w="5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r>
    </w:tbl>
    <w:p>
      <w:pPr>
        <w:spacing w:after="0" w:line="181" w:lineRule="exact"/>
        <w:rPr>
          <w:sz w:val="20"/>
          <w:szCs w:val="20"/>
          <w:color w:val="auto"/>
        </w:rPr>
      </w:pPr>
    </w:p>
    <w:p>
      <w:pPr>
        <w:ind w:left="400" w:hanging="394"/>
        <w:spacing w:after="0"/>
        <w:tabs>
          <w:tab w:leader="none" w:pos="4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Reflects exercise of all available renewal options.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4" w:lineRule="exact"/>
        <w:rPr>
          <w:sz w:val="20"/>
          <w:szCs w:val="20"/>
          <w:color w:val="auto"/>
        </w:rPr>
      </w:pPr>
    </w:p>
    <w:p>
      <w:pPr>
        <w:ind w:left="400" w:hanging="394"/>
        <w:spacing w:after="0" w:line="286" w:lineRule="auto"/>
        <w:tabs>
          <w:tab w:leader="none" w:pos="392"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 August 2020, the Company formed a joint venture, which then entered into a long-term sublease with the Company for the building at 15 Beekman. See Note 6, "Investments in Unconsolidated Joint Ventures."</w:t>
      </w:r>
    </w:p>
    <w:p>
      <w:pPr>
        <w:spacing w:after="0" w:line="75"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Future minimum lease payments to be received over the next five years and thereafter for our sales-type leases with initial terms in excess of one year as of December 31, 2022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w w:val="95"/>
              </w:rPr>
              <w:t>Sales-type leases</w:t>
            </w:r>
          </w:p>
        </w:tc>
      </w:tr>
      <w:tr>
        <w:trPr>
          <w:trHeight w:val="209"/>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w:t>
            </w:r>
          </w:p>
        </w:tc>
      </w:tr>
      <w:tr>
        <w:trPr>
          <w:trHeight w:val="210"/>
        </w:trPr>
        <w:tc>
          <w:tcPr>
            <w:tcW w:w="9220" w:type="dxa"/>
            <w:vAlign w:val="bottom"/>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3,180</w:t>
            </w: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w:t>
            </w:r>
          </w:p>
        </w:tc>
      </w:tr>
      <w:tr>
        <w:trPr>
          <w:trHeight w:val="210"/>
        </w:trPr>
        <w:tc>
          <w:tcPr>
            <w:tcW w:w="9220" w:type="dxa"/>
            <w:vAlign w:val="bottom"/>
          </w:tcPr>
          <w:p>
            <w:pPr>
              <w:ind w:left="2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3,276</w:t>
            </w: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w:t>
            </w:r>
          </w:p>
        </w:tc>
      </w:tr>
      <w:tr>
        <w:trPr>
          <w:trHeight w:val="210"/>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200,169</w:t>
            </w:r>
          </w:p>
        </w:tc>
      </w:tr>
      <w:tr>
        <w:trPr>
          <w:trHeight w:val="209"/>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minimum lease payments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216,311</w:t>
            </w:r>
          </w:p>
        </w:tc>
      </w:tr>
      <w:tr>
        <w:trPr>
          <w:trHeight w:val="210"/>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representing interest</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(111,988)</w:t>
            </w:r>
          </w:p>
        </w:tc>
      </w:tr>
      <w:tr>
        <w:trPr>
          <w:trHeight w:val="234"/>
        </w:trPr>
        <w:tc>
          <w:tcPr>
            <w:tcW w:w="9220" w:type="dxa"/>
            <w:vAlign w:val="bottom"/>
            <w:tcBorders>
              <w:bottom w:val="single" w:sz="8" w:color="CCEEFF"/>
            </w:tcBorders>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Investment in sales-type leases </w:t>
            </w:r>
            <w:r>
              <w:rPr>
                <w:rFonts w:ascii="Arial" w:cs="Arial" w:eastAsia="Arial" w:hAnsi="Arial"/>
                <w:sz w:val="20"/>
                <w:szCs w:val="20"/>
                <w:color w:val="auto"/>
                <w:vertAlign w:val="superscript"/>
              </w:rPr>
              <w:t>(1)</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104,323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0" w:hanging="394"/>
        <w:spacing w:after="0"/>
        <w:tabs>
          <w:tab w:leader="none" w:pos="4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amount is included in Other assets in our consolidated balance sheets.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lease income from sales-type leases during the years ended December 31, 2022 and 2021 were as follows (in thousands):</w:t>
      </w:r>
    </w:p>
    <w:p>
      <w:pPr>
        <w:spacing w:after="0" w:line="56" w:lineRule="exact"/>
        <w:rPr>
          <w:sz w:val="20"/>
          <w:szCs w:val="20"/>
          <w:color w:val="auto"/>
        </w:rPr>
      </w:pPr>
    </w:p>
    <w:p>
      <w:pPr>
        <w:jc w:val="center"/>
        <w:ind w:left="8480"/>
        <w:spacing w:after="0"/>
        <w:rPr>
          <w:sz w:val="20"/>
          <w:szCs w:val="20"/>
          <w:color w:val="auto"/>
        </w:rPr>
      </w:pPr>
      <w:r>
        <w:rPr>
          <w:rFonts w:ascii="Arial" w:cs="Arial" w:eastAsia="Arial" w:hAnsi="Arial"/>
          <w:sz w:val="15"/>
          <w:szCs w:val="15"/>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26035</wp:posOffset>
            </wp:positionV>
            <wp:extent cx="17411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34" w:lineRule="exact"/>
        <w:rPr>
          <w:sz w:val="20"/>
          <w:szCs w:val="20"/>
          <w:color w:val="auto"/>
        </w:rPr>
      </w:pPr>
    </w:p>
    <w:p>
      <w:pPr>
        <w:ind w:left="9000"/>
        <w:spacing w:after="0"/>
        <w:tabs>
          <w:tab w:leader="none" w:pos="1040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225" cy="143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8500" w:val="left"/>
          <w:tab w:leader="none" w:pos="9380" w:val="left"/>
          <w:tab w:leader="none" w:pos="9920" w:val="left"/>
          <w:tab w:leader="none" w:pos="10800" w:val="left"/>
        </w:tabs>
        <w:rPr>
          <w:sz w:val="20"/>
          <w:szCs w:val="20"/>
          <w:color w:val="auto"/>
        </w:rPr>
      </w:pPr>
      <w:r>
        <w:rPr>
          <w:rFonts w:ascii="Arial" w:cs="Arial" w:eastAsia="Arial" w:hAnsi="Arial"/>
          <w:sz w:val="16"/>
          <w:szCs w:val="16"/>
          <w:color w:val="auto"/>
        </w:rPr>
        <w:t xml:space="preserve">Interest income </w:t>
      </w:r>
      <w:r>
        <w:rPr>
          <w:rFonts w:ascii="Arial" w:cs="Arial" w:eastAsia="Arial" w:hAnsi="Arial"/>
          <w:sz w:val="20"/>
          <w:szCs w:val="20"/>
          <w:color w:val="auto"/>
          <w:vertAlign w:val="superscript"/>
        </w:rPr>
        <w:t>(1)</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4,389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4,422</w:t>
      </w:r>
    </w:p>
    <w:p>
      <w:pPr>
        <w:spacing w:after="0" w:line="165" w:lineRule="exact"/>
        <w:rPr>
          <w:sz w:val="20"/>
          <w:szCs w:val="20"/>
          <w:color w:val="auto"/>
        </w:rPr>
      </w:pPr>
    </w:p>
    <w:p>
      <w:pPr>
        <w:ind w:left="400" w:hanging="394"/>
        <w:spacing w:after="0"/>
        <w:tabs>
          <w:tab w:leader="none" w:pos="4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These amounts are included in Other income in our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Benefit Plans</w:t>
      </w:r>
    </w:p>
    <w:p>
      <w:pPr>
        <w:spacing w:after="0" w:line="118" w:lineRule="exact"/>
        <w:rPr>
          <w:sz w:val="20"/>
          <w:szCs w:val="20"/>
          <w:color w:val="auto"/>
        </w:rPr>
      </w:pPr>
    </w:p>
    <w:p>
      <w:pPr>
        <w:jc w:val="both"/>
        <w:ind w:firstLine="439"/>
        <w:spacing w:after="0" w:line="264" w:lineRule="auto"/>
        <w:rPr>
          <w:sz w:val="20"/>
          <w:szCs w:val="20"/>
          <w:color w:val="auto"/>
        </w:rPr>
      </w:pPr>
      <w:r>
        <w:rPr>
          <w:rFonts w:ascii="Arial" w:cs="Arial" w:eastAsia="Arial" w:hAnsi="Arial"/>
          <w:sz w:val="17"/>
          <w:szCs w:val="17"/>
          <w:color w:val="auto"/>
        </w:rPr>
        <w:t>The building employees are covered by multi-employer defined benefit pension plans and post-retirement health and welfare plans. We participate in the Building Service 32BJ, or Union, Pension Plan and Health Plan. The Pension Plan is a multi-employer, non-contributory defined benefit pension plan that was established under the terms of collective bargaining agreements between the Service Employees International Union, Local 32BJ, the Realty Advisory Board on Labor Relations, Inc. and certain other employees. This Pension Plan is administered by a joint board of trustees consisting of union trustees and employer trustees and operates under employer identification number 13-1879376. The Pension Plan year runs from July 1 to June 30. Employers contribute to the Pension Plan at a fixed rate on behalf of each covered employee. Separate actuarial information regarding such pension plans is not made available to the contributing employers by the union administrators or trustees, since the plans do not maintain separate records for each reporting unit. However, on September 27, 2020, September 28, 2021 and September 28, 2022, the actuary certified that for the plan years beginning July 1, 2020, July 1, 2021 and July 1, 2022, the Pension Plan was in critical or endangered status under the Pension Protection Act of 2006. The Pension Plan trustees adopted a rehabilitation plan consistent with this requirement. No surcharges have been paid to the Pension Plan as of December 31, 2022. As of the date of this report, information was not yet available for the Pension Plan year ended June 30, 2022. For the Pension Plan years ended June 30, 2021 and 2020, the plan received contributions from employers totaling $290.1 million and $291.3 million, respectively. Our contributions to the Pension Plan represent less than 5.0% of total contributions to the plan.</w:t>
      </w:r>
    </w:p>
    <w:p>
      <w:pPr>
        <w:spacing w:after="0" w:line="80" w:lineRule="exact"/>
        <w:rPr>
          <w:sz w:val="20"/>
          <w:szCs w:val="20"/>
          <w:color w:val="auto"/>
        </w:rPr>
      </w:pPr>
    </w:p>
    <w:p>
      <w:pPr>
        <w:jc w:val="both"/>
        <w:ind w:firstLine="439"/>
        <w:spacing w:after="0" w:line="285" w:lineRule="auto"/>
        <w:rPr>
          <w:sz w:val="20"/>
          <w:szCs w:val="20"/>
          <w:color w:val="auto"/>
        </w:rPr>
      </w:pPr>
      <w:r>
        <w:rPr>
          <w:rFonts w:ascii="Arial" w:cs="Arial" w:eastAsia="Arial" w:hAnsi="Arial"/>
          <w:sz w:val="16"/>
          <w:szCs w:val="16"/>
          <w:color w:val="auto"/>
        </w:rPr>
        <w:t>The Health Plan was established under the terms of collective bargaining agreements between the Union, the Realty Advisory Board on Labor Relations, Inc. and certain other employers. The Health Plan provides health and other benefits to eligible participants employed in the building service industry who are covered under collective bargaining agreements, or other written agreements, with the Union. The Health Plan is administered by a Board of Trustees with equal representation by the employers and the Union and operates under employer identification number 13-2928869. The Health Plan receives contributions in accordance with collective bargaining agreements or participation agreements. Generally, these agreements provide that the employers contribute to the Health Plan at a fixed rate on behalf of each covered employee. As of the date of this report, information was not yet available for the Health Plan year ended June 30, 2022. For the Health Plan years ended, June 30, 2021 and 2020, the plan received contributions from employers totaling $1.5 billion and $1.6 billion, respectively. Our contributions to the Health Plan represent less than 5.0% of total contributions to the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Contributions we made to the multi-employer plans for the years ended December 31, 2022, 2021 and 2020 are included in the table below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 Plan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Plan</w:t>
            </w: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1,952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1,994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r>
      <w:tr>
        <w:trPr>
          <w:trHeight w:val="211"/>
        </w:trPr>
        <w:tc>
          <w:tcPr>
            <w:tcW w:w="6980" w:type="dxa"/>
            <w:vAlign w:val="bottom"/>
          </w:tcPr>
          <w:p>
            <w:pPr>
              <w:ind w:left="20"/>
              <w:spacing w:after="0"/>
              <w:rPr>
                <w:sz w:val="20"/>
                <w:szCs w:val="20"/>
                <w:color w:val="auto"/>
              </w:rPr>
            </w:pPr>
            <w:r>
              <w:rPr>
                <w:rFonts w:ascii="Arial" w:cs="Arial" w:eastAsia="Arial" w:hAnsi="Arial"/>
                <w:sz w:val="16"/>
                <w:szCs w:val="16"/>
                <w:color w:val="auto"/>
              </w:rPr>
              <w:t>Health Plan</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4"/>
              </w:rPr>
              <w:t>6,386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6,333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7,688</w:t>
            </w:r>
          </w:p>
        </w:tc>
      </w:tr>
      <w:tr>
        <w:trPr>
          <w:trHeight w:val="21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plans</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807</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r>
      <w:tr>
        <w:trPr>
          <w:trHeight w:val="209"/>
        </w:trPr>
        <w:tc>
          <w:tcPr>
            <w:tcW w:w="6980" w:type="dxa"/>
            <w:vAlign w:val="bottom"/>
          </w:tcPr>
          <w:p>
            <w:pPr>
              <w:ind w:left="20"/>
              <w:spacing w:after="0"/>
              <w:rPr>
                <w:sz w:val="20"/>
                <w:szCs w:val="20"/>
                <w:color w:val="auto"/>
              </w:rPr>
            </w:pPr>
            <w:r>
              <w:rPr>
                <w:rFonts w:ascii="Arial" w:cs="Arial" w:eastAsia="Arial" w:hAnsi="Arial"/>
                <w:sz w:val="16"/>
                <w:szCs w:val="16"/>
                <w:color w:val="auto"/>
              </w:rPr>
              <w:t>Total plan contributions</w:t>
            </w: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9,145</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9,176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11,097</w:t>
            </w:r>
          </w:p>
        </w:tc>
      </w:tr>
      <w:tr>
        <w:trPr>
          <w:trHeight w:val="20"/>
        </w:trPr>
        <w:tc>
          <w:tcPr>
            <w:tcW w:w="6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18"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In August 1997, we implemented a 401(K) Savings/Retirement Plan, or the 401(K) Plan, to cover eligible employees of ours, and any designated affiliate. The 401(K) Plan permits eligible employees to defer up to 15% of their annual compensation, subject to certain limitations imposed by the Code. The employees' elective deferrals are immediately vested and non-forfeitable upon contribution to the 401(K) Plan. During 2003, we amended our 401(K) Plan to provide for discretionary matching contributions only. For 2022, 2021 and 2020, a matching contribution equal to 100% of the first 4% of annual compensation was made. For the years ended December 31, 2022, 2021 and 2020, we made matching contributions of $1.5 million, $1.5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ind w:right="8460" w:firstLine="6"/>
        <w:spacing w:after="0" w:line="395" w:lineRule="auto"/>
        <w:tabs>
          <w:tab w:leader="none" w:pos="266"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spacing w:after="0" w:line="2" w:lineRule="exact"/>
        <w:rPr>
          <w:sz w:val="20"/>
          <w:szCs w:val="20"/>
          <w:color w:val="auto"/>
        </w:rPr>
      </w:pPr>
    </w:p>
    <w:p>
      <w:pPr>
        <w:jc w:val="both"/>
        <w:ind w:firstLine="439"/>
        <w:spacing w:after="0" w:line="330" w:lineRule="auto"/>
        <w:rPr>
          <w:sz w:val="20"/>
          <w:szCs w:val="20"/>
          <w:color w:val="auto"/>
        </w:rPr>
      </w:pPr>
      <w:r>
        <w:rPr>
          <w:rFonts w:ascii="Arial" w:cs="Arial" w:eastAsia="Arial" w:hAnsi="Arial"/>
          <w:sz w:val="16"/>
          <w:szCs w:val="16"/>
          <w:color w:val="auto"/>
        </w:rPr>
        <w:t>As of December 31, 2022,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5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jc w:val="both"/>
        <w:ind w:firstLine="439"/>
        <w:spacing w:after="0" w:line="330" w:lineRule="auto"/>
        <w:rPr>
          <w:sz w:val="20"/>
          <w:szCs w:val="20"/>
          <w:color w:val="auto"/>
        </w:rPr>
      </w:pPr>
      <w:r>
        <w:rPr>
          <w:rFonts w:ascii="Arial" w:cs="Arial" w:eastAsia="Arial" w:hAnsi="Arial"/>
          <w:sz w:val="16"/>
          <w:szCs w:val="16"/>
          <w:color w:val="auto"/>
        </w:rPr>
        <w:t>We have entered into employment agreements with certain executives, which expire between July 2023 and January 2025. The minimum cash-based compensation, including base salary and guaranteed bonus payments, associated with these employment agreements total $3.4 million for 2023.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18"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or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spacing w:after="0" w:line="75"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64"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Belmont had loss reserves of $3.1 million and $2.9 million as of December 31, 2022 and 2021, respectively. Ticonderoga had no loss reserves as of December 31, 2022 and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Arrangements</w:t>
      </w:r>
    </w:p>
    <w:p>
      <w:pPr>
        <w:spacing w:after="0" w:line="118"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We are a tenant under leases for certain properties, including ground leases. These leases have expirations from 2033 to 2119, or 2043 to 2119 as fully extended. Certain leases offer extension options which we assess against relevant economic factors to determine whether we are reasonably certain of exercising or not exercising the option. Lease payments associated with renewal periods that we are reasonably certain will be exercised, if any, are included in the measurement of the corresponding lease liability and right of use asset.</w:t>
      </w:r>
    </w:p>
    <w:p>
      <w:pPr>
        <w:spacing w:after="0" w:line="8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Certain of our leases are subject to rent resets, generally based on a percentage of the then fair market value, a fixed amount, or a percentage of the preceding rent at specified future dates. Rent resets will be recognized in the periods in which they are incurred. Additionally, certain of our leases are subject to percentage rent arrangements based on thresholds established in the lease agreement, such as percentage of sales at the property. Percentage rents will be recognized in the periods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current lease arrangements as of December 31, 2022:</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20"/>
                <w:szCs w:val="20"/>
                <w:b w:val="1"/>
                <w:bCs w:val="1"/>
                <w:color w:val="auto"/>
                <w:vertAlign w:val="superscript"/>
              </w:rPr>
              <w:t>(1)</w:t>
            </w:r>
          </w:p>
        </w:tc>
        <w:tc>
          <w:tcPr>
            <w:tcW w:w="4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Year of Current Expiration</w:t>
            </w:r>
          </w:p>
        </w:tc>
        <w:tc>
          <w:tcPr>
            <w:tcW w:w="2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94"/>
              </w:rPr>
              <w:t xml:space="preserve">Year of Final Expiration </w:t>
            </w:r>
            <w:r>
              <w:rPr>
                <w:rFonts w:ascii="Arial" w:cs="Arial" w:eastAsia="Arial" w:hAnsi="Arial"/>
                <w:sz w:val="20"/>
                <w:szCs w:val="20"/>
                <w:b w:val="1"/>
                <w:bCs w:val="1"/>
                <w:color w:val="auto"/>
                <w:w w:val="94"/>
                <w:vertAlign w:val="superscript"/>
              </w:rPr>
              <w:t>(2)</w:t>
            </w:r>
          </w:p>
        </w:tc>
      </w:tr>
      <w:tr>
        <w:trPr>
          <w:trHeight w:val="206"/>
        </w:trPr>
        <w:tc>
          <w:tcPr>
            <w:tcW w:w="502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711 Third Avenue </w:t>
            </w:r>
            <w:r>
              <w:rPr>
                <w:rFonts w:ascii="Arial" w:cs="Arial" w:eastAsia="Arial" w:hAnsi="Arial"/>
                <w:sz w:val="20"/>
                <w:szCs w:val="20"/>
                <w:color w:val="auto"/>
                <w:vertAlign w:val="superscript"/>
              </w:rPr>
              <w:t>(3)</w:t>
            </w:r>
          </w:p>
        </w:tc>
        <w:tc>
          <w:tcPr>
            <w:tcW w:w="4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w:t>
            </w:r>
          </w:p>
        </w:tc>
      </w:tr>
      <w:tr>
        <w:trPr>
          <w:trHeight w:val="210"/>
        </w:trPr>
        <w:tc>
          <w:tcPr>
            <w:tcW w:w="5020" w:type="dxa"/>
            <w:vAlign w:val="bottom"/>
          </w:tcPr>
          <w:p>
            <w:pPr>
              <w:ind w:left="20"/>
              <w:spacing w:after="0"/>
              <w:rPr>
                <w:sz w:val="20"/>
                <w:szCs w:val="20"/>
                <w:color w:val="auto"/>
              </w:rPr>
            </w:pPr>
            <w:r>
              <w:rPr>
                <w:rFonts w:ascii="Arial" w:cs="Arial" w:eastAsia="Arial" w:hAnsi="Arial"/>
                <w:sz w:val="16"/>
                <w:szCs w:val="16"/>
                <w:color w:val="auto"/>
              </w:rPr>
              <w:t>1185 Avenue of the Americas</w:t>
            </w:r>
          </w:p>
        </w:tc>
        <w:tc>
          <w:tcPr>
            <w:tcW w:w="4180" w:type="dxa"/>
            <w:vAlign w:val="bottom"/>
          </w:tcPr>
          <w:p>
            <w:pPr>
              <w:jc w:val="right"/>
              <w:spacing w:after="0"/>
              <w:rPr>
                <w:sz w:val="20"/>
                <w:szCs w:val="20"/>
                <w:color w:val="auto"/>
              </w:rPr>
            </w:pPr>
            <w:r>
              <w:rPr>
                <w:rFonts w:ascii="Arial" w:cs="Arial" w:eastAsia="Arial" w:hAnsi="Arial"/>
                <w:sz w:val="16"/>
                <w:szCs w:val="16"/>
                <w:color w:val="auto"/>
              </w:rPr>
              <w:t>2043</w:t>
            </w:r>
          </w:p>
        </w:tc>
        <w:tc>
          <w:tcPr>
            <w:tcW w:w="2000" w:type="dxa"/>
            <w:vAlign w:val="bottom"/>
          </w:tcPr>
          <w:p>
            <w:pPr>
              <w:jc w:val="right"/>
              <w:spacing w:after="0"/>
              <w:rPr>
                <w:sz w:val="20"/>
                <w:szCs w:val="20"/>
                <w:color w:val="auto"/>
              </w:rPr>
            </w:pPr>
            <w:r>
              <w:rPr>
                <w:rFonts w:ascii="Arial" w:cs="Arial" w:eastAsia="Arial" w:hAnsi="Arial"/>
                <w:sz w:val="16"/>
                <w:szCs w:val="16"/>
                <w:color w:val="auto"/>
              </w:rPr>
              <w:t>2043</w:t>
            </w: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SL Green Headquarters at One Vanderbilt </w:t>
            </w:r>
            <w:r>
              <w:rPr>
                <w:rFonts w:ascii="Arial" w:cs="Arial" w:eastAsia="Arial" w:hAnsi="Arial"/>
                <w:sz w:val="20"/>
                <w:szCs w:val="20"/>
                <w:color w:val="auto"/>
                <w:vertAlign w:val="superscript"/>
              </w:rPr>
              <w:t>(4)</w:t>
            </w:r>
          </w:p>
        </w:tc>
        <w:tc>
          <w:tcPr>
            <w:tcW w:w="4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r>
      <w:tr>
        <w:trPr>
          <w:trHeight w:val="210"/>
        </w:trPr>
        <w:tc>
          <w:tcPr>
            <w:tcW w:w="5020" w:type="dxa"/>
            <w:vAlign w:val="bottom"/>
          </w:tcPr>
          <w:p>
            <w:pPr>
              <w:ind w:left="20"/>
              <w:spacing w:after="0"/>
              <w:rPr>
                <w:sz w:val="20"/>
                <w:szCs w:val="20"/>
                <w:color w:val="auto"/>
              </w:rPr>
            </w:pPr>
            <w:r>
              <w:rPr>
                <w:rFonts w:ascii="Arial" w:cs="Arial" w:eastAsia="Arial" w:hAnsi="Arial"/>
                <w:sz w:val="16"/>
                <w:szCs w:val="16"/>
                <w:color w:val="auto"/>
              </w:rPr>
              <w:t>625 Madison Avenue</w:t>
            </w:r>
          </w:p>
        </w:tc>
        <w:tc>
          <w:tcPr>
            <w:tcW w:w="4180" w:type="dxa"/>
            <w:vAlign w:val="bottom"/>
          </w:tcPr>
          <w:p>
            <w:pPr>
              <w:jc w:val="right"/>
              <w:spacing w:after="0"/>
              <w:rPr>
                <w:sz w:val="20"/>
                <w:szCs w:val="20"/>
                <w:color w:val="auto"/>
              </w:rPr>
            </w:pPr>
            <w:r>
              <w:rPr>
                <w:rFonts w:ascii="Arial" w:cs="Arial" w:eastAsia="Arial" w:hAnsi="Arial"/>
                <w:sz w:val="16"/>
                <w:szCs w:val="16"/>
                <w:color w:val="auto"/>
              </w:rPr>
              <w:t>2043</w:t>
            </w:r>
          </w:p>
        </w:tc>
        <w:tc>
          <w:tcPr>
            <w:tcW w:w="2000" w:type="dxa"/>
            <w:vAlign w:val="bottom"/>
          </w:tcPr>
          <w:p>
            <w:pPr>
              <w:jc w:val="right"/>
              <w:spacing w:after="0"/>
              <w:rPr>
                <w:sz w:val="20"/>
                <w:szCs w:val="20"/>
                <w:color w:val="auto"/>
              </w:rPr>
            </w:pPr>
            <w:r>
              <w:rPr>
                <w:rFonts w:ascii="Arial" w:cs="Arial" w:eastAsia="Arial" w:hAnsi="Arial"/>
                <w:sz w:val="16"/>
                <w:szCs w:val="16"/>
                <w:color w:val="auto"/>
              </w:rPr>
              <w:t>2054</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420 Lexington Avenue</w:t>
            </w:r>
          </w:p>
        </w:tc>
        <w:tc>
          <w:tcPr>
            <w:tcW w:w="4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r>
      <w:tr>
        <w:trPr>
          <w:trHeight w:val="210"/>
        </w:trPr>
        <w:tc>
          <w:tcPr>
            <w:tcW w:w="5020" w:type="dxa"/>
            <w:vAlign w:val="bottom"/>
          </w:tcPr>
          <w:p>
            <w:pPr>
              <w:ind w:left="20"/>
              <w:spacing w:after="0"/>
              <w:rPr>
                <w:sz w:val="20"/>
                <w:szCs w:val="20"/>
                <w:color w:val="auto"/>
              </w:rPr>
            </w:pPr>
            <w:r>
              <w:rPr>
                <w:rFonts w:ascii="Arial" w:cs="Arial" w:eastAsia="Arial" w:hAnsi="Arial"/>
                <w:sz w:val="16"/>
                <w:szCs w:val="16"/>
                <w:color w:val="auto"/>
              </w:rPr>
              <w:t>Summit One Vanderbilt</w:t>
            </w:r>
          </w:p>
        </w:tc>
        <w:tc>
          <w:tcPr>
            <w:tcW w:w="4180" w:type="dxa"/>
            <w:vAlign w:val="bottom"/>
          </w:tcPr>
          <w:p>
            <w:pPr>
              <w:jc w:val="right"/>
              <w:spacing w:after="0"/>
              <w:rPr>
                <w:sz w:val="20"/>
                <w:szCs w:val="20"/>
                <w:color w:val="auto"/>
              </w:rPr>
            </w:pPr>
            <w:r>
              <w:rPr>
                <w:rFonts w:ascii="Arial" w:cs="Arial" w:eastAsia="Arial" w:hAnsi="Arial"/>
                <w:sz w:val="16"/>
                <w:szCs w:val="16"/>
                <w:color w:val="auto"/>
              </w:rPr>
              <w:t>2058</w:t>
            </w:r>
          </w:p>
        </w:tc>
        <w:tc>
          <w:tcPr>
            <w:tcW w:w="2000" w:type="dxa"/>
            <w:vAlign w:val="bottom"/>
          </w:tcPr>
          <w:p>
            <w:pPr>
              <w:jc w:val="right"/>
              <w:spacing w:after="0"/>
              <w:rPr>
                <w:sz w:val="20"/>
                <w:szCs w:val="20"/>
                <w:color w:val="auto"/>
              </w:rPr>
            </w:pPr>
            <w:r>
              <w:rPr>
                <w:rFonts w:ascii="Arial" w:cs="Arial" w:eastAsia="Arial" w:hAnsi="Arial"/>
                <w:sz w:val="16"/>
                <w:szCs w:val="16"/>
                <w:color w:val="auto"/>
              </w:rPr>
              <w:t>2070</w:t>
            </w: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15 Beekman </w:t>
            </w:r>
            <w:r>
              <w:rPr>
                <w:rFonts w:ascii="Arial" w:cs="Arial" w:eastAsia="Arial" w:hAnsi="Arial"/>
                <w:sz w:val="20"/>
                <w:szCs w:val="20"/>
                <w:color w:val="auto"/>
                <w:vertAlign w:val="superscript"/>
              </w:rPr>
              <w:t>(5)(6)</w:t>
            </w:r>
          </w:p>
        </w:tc>
        <w:tc>
          <w:tcPr>
            <w:tcW w:w="4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r>
    </w:tbl>
    <w:p>
      <w:pPr>
        <w:spacing w:after="0" w:line="181" w:lineRule="exact"/>
        <w:rPr>
          <w:sz w:val="20"/>
          <w:szCs w:val="20"/>
          <w:color w:val="auto"/>
        </w:rPr>
      </w:pPr>
    </w:p>
    <w:p>
      <w:pPr>
        <w:ind w:left="400" w:hanging="394"/>
        <w:spacing w:after="0"/>
        <w:tabs>
          <w:tab w:leader="none" w:pos="4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All leases are classified as operating leases unless otherwise specified.</w:t>
      </w:r>
    </w:p>
    <w:p>
      <w:pPr>
        <w:spacing w:after="0" w:line="10" w:lineRule="exact"/>
        <w:rPr>
          <w:rFonts w:ascii="Arial" w:cs="Arial" w:eastAsia="Arial" w:hAnsi="Arial"/>
          <w:sz w:val="14"/>
          <w:szCs w:val="14"/>
          <w:color w:val="auto"/>
        </w:rPr>
      </w:pPr>
    </w:p>
    <w:p>
      <w:pPr>
        <w:ind w:left="400" w:hanging="394"/>
        <w:spacing w:after="0"/>
        <w:tabs>
          <w:tab w:leader="none" w:pos="4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Reflects exercise of all available extension options.</w:t>
      </w:r>
    </w:p>
    <w:p>
      <w:pPr>
        <w:spacing w:after="0" w:line="7" w:lineRule="exact"/>
        <w:rPr>
          <w:rFonts w:ascii="Arial" w:cs="Arial" w:eastAsia="Arial" w:hAnsi="Arial"/>
          <w:sz w:val="14"/>
          <w:szCs w:val="14"/>
          <w:color w:val="auto"/>
        </w:rPr>
      </w:pPr>
    </w:p>
    <w:p>
      <w:pPr>
        <w:ind w:left="400" w:hanging="394"/>
        <w:spacing w:after="0"/>
        <w:tabs>
          <w:tab w:leader="none" w:pos="4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 owns 50% of the fee interest.</w:t>
      </w:r>
    </w:p>
    <w:p>
      <w:pPr>
        <w:spacing w:after="0" w:line="12" w:lineRule="exact"/>
        <w:rPr>
          <w:rFonts w:ascii="Arial" w:cs="Arial" w:eastAsia="Arial" w:hAnsi="Arial"/>
          <w:sz w:val="14"/>
          <w:szCs w:val="14"/>
          <w:color w:val="auto"/>
        </w:rPr>
      </w:pPr>
    </w:p>
    <w:p>
      <w:pPr>
        <w:ind w:left="400" w:hanging="394"/>
        <w:spacing w:after="0"/>
        <w:tabs>
          <w:tab w:leader="none" w:pos="4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March 2021, the Company commenced its lease for its corporate headquarters at One Vanderbilt. See note 10, "Related Party Transactions."</w:t>
      </w:r>
    </w:p>
    <w:p>
      <w:pPr>
        <w:spacing w:after="0" w:line="12" w:lineRule="exact"/>
        <w:rPr>
          <w:rFonts w:ascii="Arial" w:cs="Arial" w:eastAsia="Arial" w:hAnsi="Arial"/>
          <w:sz w:val="14"/>
          <w:szCs w:val="14"/>
          <w:color w:val="auto"/>
        </w:rPr>
      </w:pPr>
    </w:p>
    <w:p>
      <w:pPr>
        <w:ind w:left="400" w:hanging="394"/>
        <w:spacing w:after="0"/>
        <w:tabs>
          <w:tab w:leader="none" w:pos="4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 has an option to purchase the ground lease for a fixed price on a specific date. The lease is classified as a financing lease.</w:t>
      </w:r>
    </w:p>
    <w:p>
      <w:pPr>
        <w:spacing w:after="0" w:line="12" w:lineRule="exact"/>
        <w:rPr>
          <w:rFonts w:ascii="Arial" w:cs="Arial" w:eastAsia="Arial" w:hAnsi="Arial"/>
          <w:sz w:val="14"/>
          <w:szCs w:val="14"/>
          <w:color w:val="auto"/>
        </w:rPr>
      </w:pPr>
    </w:p>
    <w:p>
      <w:pPr>
        <w:ind w:left="400" w:hanging="394"/>
        <w:spacing w:after="0" w:line="256" w:lineRule="auto"/>
        <w:tabs>
          <w:tab w:leader="none" w:pos="392"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August 2020, the Company entered into a long-term sublease with an unconsolidated joint venture as part of the capitalization of the 15 Beekman development project. See Note 6, "Investments in Unconsolidated Joint Ventures."</w:t>
      </w:r>
    </w:p>
    <w:p>
      <w:pPr>
        <w:spacing w:after="0" w:line="95" w:lineRule="exact"/>
        <w:rPr>
          <w:sz w:val="20"/>
          <w:szCs w:val="20"/>
          <w:color w:val="auto"/>
        </w:rPr>
      </w:pPr>
    </w:p>
    <w:p>
      <w:pPr>
        <w:ind w:right="20" w:firstLine="399"/>
        <w:spacing w:after="0" w:line="266" w:lineRule="auto"/>
        <w:rPr>
          <w:sz w:val="20"/>
          <w:szCs w:val="20"/>
          <w:color w:val="auto"/>
        </w:rPr>
      </w:pPr>
      <w:r>
        <w:rPr>
          <w:rFonts w:ascii="Arial" w:cs="Arial" w:eastAsia="Arial" w:hAnsi="Arial"/>
          <w:sz w:val="18"/>
          <w:szCs w:val="18"/>
          <w:color w:val="auto"/>
        </w:rPr>
        <w:t>The following is a schedule of future minimum lease payments as evaluated in accordance with ASC 842 for our financing leases and operating leases with initial terms in excess of one year as of December 31, 2022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Financing leases</w:t>
            </w:r>
          </w:p>
        </w:tc>
        <w:tc>
          <w:tcPr>
            <w:tcW w:w="260" w:type="dxa"/>
            <w:vAlign w:val="bottom"/>
          </w:tcPr>
          <w:p>
            <w:pPr>
              <w:spacing w:after="0"/>
              <w:rPr>
                <w:sz w:val="18"/>
                <w:szCs w:val="18"/>
                <w:color w:val="auto"/>
              </w:rPr>
            </w:pPr>
          </w:p>
        </w:tc>
        <w:tc>
          <w:tcPr>
            <w:tcW w:w="1760" w:type="dxa"/>
            <w:vAlign w:val="bottom"/>
          </w:tcPr>
          <w:p>
            <w:pPr>
              <w:jc w:val="right"/>
              <w:ind w:right="360"/>
              <w:spacing w:after="0"/>
              <w:rPr>
                <w:sz w:val="20"/>
                <w:szCs w:val="20"/>
                <w:color w:val="auto"/>
              </w:rPr>
            </w:pPr>
            <w:r>
              <w:rPr>
                <w:rFonts w:ascii="Arial" w:cs="Arial" w:eastAsia="Arial" w:hAnsi="Arial"/>
                <w:sz w:val="16"/>
                <w:szCs w:val="16"/>
                <w:b w:val="1"/>
                <w:bCs w:val="1"/>
                <w:color w:val="auto"/>
              </w:rPr>
              <w:t>Operating leases</w:t>
            </w:r>
          </w:p>
        </w:tc>
      </w:tr>
      <w:tr>
        <w:trPr>
          <w:trHeight w:val="209"/>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52,220</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58,068</w:t>
            </w:r>
          </w:p>
        </w:tc>
      </w:tr>
      <w:tr>
        <w:trPr>
          <w:trHeight w:val="216"/>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58,207</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58,347</w:t>
            </w:r>
          </w:p>
        </w:tc>
      </w:tr>
      <w:tr>
        <w:trPr>
          <w:trHeight w:val="216"/>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58,358</w:t>
            </w:r>
          </w:p>
        </w:tc>
      </w:tr>
      <w:tr>
        <w:trPr>
          <w:trHeight w:val="21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1,334,570</w:t>
            </w:r>
          </w:p>
        </w:tc>
      </w:tr>
      <w:tr>
        <w:trPr>
          <w:trHeight w:val="20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minimum lease payments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1,619,770</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Amount representing interest</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(112,093)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discounted using incremental borrowing rate</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(724,670)</w:t>
            </w:r>
          </w:p>
        </w:tc>
      </w:tr>
      <w:tr>
        <w:trPr>
          <w:trHeight w:val="204"/>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lease liabilities excluding liabilities related to assets held for sale</w:t>
            </w: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104,218</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895,100</w:t>
            </w:r>
          </w:p>
        </w:tc>
      </w:tr>
      <w:tr>
        <w:trPr>
          <w:trHeight w:val="23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liabilities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895,100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0" w:firstLine="399"/>
        <w:spacing w:after="0" w:line="266" w:lineRule="auto"/>
        <w:rPr>
          <w:sz w:val="20"/>
          <w:szCs w:val="20"/>
          <w:color w:val="auto"/>
        </w:rPr>
      </w:pPr>
      <w:r>
        <w:rPr>
          <w:rFonts w:ascii="Arial" w:cs="Arial" w:eastAsia="Arial" w:hAnsi="Arial"/>
          <w:sz w:val="18"/>
          <w:szCs w:val="18"/>
          <w:color w:val="auto"/>
        </w:rPr>
        <w:t>The following table provides lease cost information for the Company's operating leases for the twelve months ended December 31, 2022 and 2021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4"/>
              </w:rPr>
              <w:t>Twelve Months Ended December 31,</w:t>
            </w:r>
          </w:p>
        </w:tc>
      </w:tr>
      <w:tr>
        <w:trPr>
          <w:trHeight w:val="20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Lease Costs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 before capitalized operating lease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w w:val="98"/>
              </w:rPr>
              <w:t>33,773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8"/>
              </w:rPr>
              <w:t>30,270</w:t>
            </w:r>
          </w:p>
        </w:tc>
      </w:tr>
      <w:tr>
        <w:trPr>
          <w:trHeight w:val="211"/>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costs capitalized</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w w:val="94"/>
              </w:rPr>
              <w:t>(6,830)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w w:val="94"/>
              </w:rPr>
              <w:t>(3,716)</w:t>
            </w:r>
          </w:p>
        </w:tc>
      </w:tr>
      <w:tr>
        <w:trPr>
          <w:trHeight w:val="209"/>
        </w:trPr>
        <w:tc>
          <w:tcPr>
            <w:tcW w:w="850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Operating lease costs, net </w:t>
            </w:r>
            <w:r>
              <w:rPr>
                <w:rFonts w:ascii="Arial" w:cs="Arial" w:eastAsia="Arial" w:hAnsi="Arial"/>
                <w:sz w:val="20"/>
                <w:szCs w:val="20"/>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w w:val="98"/>
              </w:rPr>
              <w:t>26,943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8"/>
              </w:rPr>
              <w:t>26,554</w:t>
            </w:r>
          </w:p>
        </w:tc>
      </w:tr>
    </w:tbl>
    <w:p>
      <w:pPr>
        <w:spacing w:after="0" w:line="181" w:lineRule="exact"/>
        <w:rPr>
          <w:sz w:val="20"/>
          <w:szCs w:val="20"/>
          <w:color w:val="auto"/>
        </w:rPr>
      </w:pPr>
    </w:p>
    <w:p>
      <w:pPr>
        <w:ind w:left="400" w:hanging="394"/>
        <w:spacing w:after="0"/>
        <w:tabs>
          <w:tab w:leader="none" w:pos="4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amount is included in Operating lease rent in our consolidated statements of operations.</w:t>
      </w:r>
    </w:p>
    <w:p>
      <w:pPr>
        <w:spacing w:after="0" w:line="112" w:lineRule="exact"/>
        <w:rPr>
          <w:sz w:val="20"/>
          <w:szCs w:val="20"/>
          <w:color w:val="auto"/>
        </w:rPr>
      </w:pPr>
    </w:p>
    <w:p>
      <w:pPr>
        <w:ind w:right="200" w:firstLine="399"/>
        <w:spacing w:after="0" w:line="266" w:lineRule="auto"/>
        <w:rPr>
          <w:sz w:val="20"/>
          <w:szCs w:val="20"/>
          <w:color w:val="auto"/>
        </w:rPr>
      </w:pPr>
      <w:r>
        <w:rPr>
          <w:rFonts w:ascii="Arial" w:cs="Arial" w:eastAsia="Arial" w:hAnsi="Arial"/>
          <w:sz w:val="18"/>
          <w:szCs w:val="18"/>
          <w:color w:val="auto"/>
        </w:rPr>
        <w:t>The following table provides lease cost information for the Company's financing leases for the twelve months ended December 31, 2022 and 2021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w w:val="90"/>
              </w:rPr>
              <w:t>Twelve Months Ended December 31,</w:t>
            </w:r>
          </w:p>
        </w:tc>
      </w:tr>
      <w:tr>
        <w:trPr>
          <w:trHeight w:val="20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Financing Lease Costs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financing leases before capitalized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5,448</w:t>
            </w:r>
          </w:p>
        </w:tc>
      </w:tr>
      <w:tr>
        <w:trPr>
          <w:trHeight w:val="211"/>
        </w:trPr>
        <w:tc>
          <w:tcPr>
            <w:tcW w:w="8500" w:type="dxa"/>
            <w:vAlign w:val="bottom"/>
          </w:tcPr>
          <w:p>
            <w:pPr>
              <w:ind w:left="20"/>
              <w:spacing w:after="0"/>
              <w:rPr>
                <w:sz w:val="20"/>
                <w:szCs w:val="20"/>
                <w:color w:val="auto"/>
              </w:rPr>
            </w:pPr>
            <w:r>
              <w:rPr>
                <w:rFonts w:ascii="Arial" w:cs="Arial" w:eastAsia="Arial" w:hAnsi="Arial"/>
                <w:sz w:val="16"/>
                <w:szCs w:val="16"/>
                <w:color w:val="auto"/>
              </w:rPr>
              <w:t>Interest on financing leases capitalized</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500" w:type="dxa"/>
            <w:vAlign w:val="bottom"/>
            <w:tcBorders>
              <w:top w:val="single" w:sz="8" w:color="CCEEFF"/>
            </w:tcBorders>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Interest on financing leases, net </w:t>
            </w:r>
            <w:r>
              <w:rPr>
                <w:rFonts w:ascii="Arial" w:cs="Arial" w:eastAsia="Arial" w:hAnsi="Arial"/>
                <w:sz w:val="20"/>
                <w:szCs w:val="20"/>
                <w:color w:val="auto"/>
                <w:vertAlign w:val="superscript"/>
              </w:rPr>
              <w:t>(1)</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4,555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5,448</w:t>
            </w:r>
          </w:p>
        </w:tc>
      </w:tr>
      <w:tr>
        <w:trPr>
          <w:trHeight w:val="213"/>
        </w:trPr>
        <w:tc>
          <w:tcPr>
            <w:tcW w:w="850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Amortization of right-of-use assets </w:t>
            </w:r>
            <w:r>
              <w:rPr>
                <w:rFonts w:ascii="Arial" w:cs="Arial" w:eastAsia="Arial" w:hAnsi="Arial"/>
                <w:sz w:val="20"/>
                <w:szCs w:val="20"/>
                <w:color w:val="auto"/>
                <w:vertAlign w:val="superscript"/>
              </w:rPr>
              <w:t>(2)</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r>
      <w:tr>
        <w:trPr>
          <w:trHeight w:val="231"/>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lease costs,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26,667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hanging="394"/>
        <w:spacing w:after="0"/>
        <w:tabs>
          <w:tab w:leader="none" w:pos="4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amounts are included in Interest expense, net of interest income in our consolidated statements of operations.</w:t>
      </w:r>
    </w:p>
    <w:p>
      <w:pPr>
        <w:spacing w:after="0" w:line="19" w:lineRule="exact"/>
        <w:rPr>
          <w:rFonts w:ascii="Arial" w:cs="Arial" w:eastAsia="Arial" w:hAnsi="Arial"/>
          <w:sz w:val="14"/>
          <w:szCs w:val="14"/>
          <w:color w:val="auto"/>
        </w:rPr>
      </w:pPr>
    </w:p>
    <w:p>
      <w:pPr>
        <w:ind w:left="400" w:hanging="394"/>
        <w:spacing w:after="0"/>
        <w:tabs>
          <w:tab w:leader="none" w:pos="4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amounts are included in Depreciation and amortization in our consolidated statements of operations.</w:t>
      </w:r>
    </w:p>
    <w:p>
      <w:pPr>
        <w:spacing w:after="0" w:line="117"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As of December 31, 2022, the weighted-average discount rate used to calculate the lease liabilities was 4.51%. As of December 31, 2022, the weighted-average remaining lease term was 28 years, inclusive of purchase options expected to be exercised.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118"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Company has two reportable segments, real estate and debt and preferred equity investments. We evaluate real estate performance and allocate resources based on earnings contributions.</w:t>
      </w:r>
    </w:p>
    <w:p>
      <w:pPr>
        <w:spacing w:after="0" w:line="7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primary sources of revenue are generated from tenant rents, escalations and reimbursement revenue. Real estate property operating expenses consist primarily of security, maintenance, utility costs, insurance, real estate taxes and, at certain properties, ground rent expense. See Note 5, "Debt and Preferred Equity Investments," for additional details on our debt and preferred equity investments.</w:t>
      </w:r>
    </w:p>
    <w:p>
      <w:pPr>
        <w:spacing w:after="0" w:line="83"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Selected consolidated results of operations for the years ended December 31, 2022, 2021, and 2020, and selected asset information as of December 31, 2022 and 2021, regarding our operating segments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Real Estate Segment</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Debt and Preferred</w:t>
            </w:r>
          </w:p>
        </w:tc>
        <w:tc>
          <w:tcPr>
            <w:tcW w:w="220" w:type="dxa"/>
            <w:vAlign w:val="bottom"/>
          </w:tcPr>
          <w:p>
            <w:pPr>
              <w:spacing w:after="0"/>
              <w:rPr>
                <w:sz w:val="16"/>
                <w:szCs w:val="16"/>
                <w:color w:val="auto"/>
              </w:rPr>
            </w:pPr>
          </w:p>
        </w:tc>
        <w:tc>
          <w:tcPr>
            <w:tcW w:w="1540" w:type="dxa"/>
            <w:vAlign w:val="bottom"/>
            <w:vMerge w:val="restart"/>
          </w:tcPr>
          <w:p>
            <w:pPr>
              <w:jc w:val="right"/>
              <w:ind w:right="280"/>
              <w:spacing w:after="0"/>
              <w:rPr>
                <w:sz w:val="20"/>
                <w:szCs w:val="20"/>
                <w:color w:val="auto"/>
              </w:rPr>
            </w:pPr>
            <w:r>
              <w:rPr>
                <w:rFonts w:ascii="Arial" w:cs="Arial" w:eastAsia="Arial" w:hAnsi="Arial"/>
                <w:sz w:val="16"/>
                <w:szCs w:val="16"/>
                <w:b w:val="1"/>
                <w:bCs w:val="1"/>
                <w:color w:val="auto"/>
              </w:rPr>
              <w:t>Total Company</w:t>
            </w: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Equity Segment</w:t>
            </w:r>
          </w:p>
        </w:tc>
        <w:tc>
          <w:tcPr>
            <w:tcW w:w="2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140"/>
              <w:spacing w:after="0"/>
              <w:rPr>
                <w:sz w:val="20"/>
                <w:szCs w:val="20"/>
                <w:color w:val="auto"/>
              </w:rPr>
            </w:pPr>
            <w:r>
              <w:rPr>
                <w:rFonts w:ascii="Arial" w:cs="Arial" w:eastAsia="Arial" w:hAnsi="Arial"/>
                <w:sz w:val="16"/>
                <w:szCs w:val="16"/>
                <w:color w:val="auto"/>
              </w:rPr>
              <w:t>Years ended:</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745,626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826,739</w:t>
            </w:r>
          </w:p>
        </w:tc>
        <w:tc>
          <w:tcPr>
            <w:tcW w:w="0" w:type="dxa"/>
            <w:vAlign w:val="bottom"/>
          </w:tcPr>
          <w:p>
            <w:pPr>
              <w:spacing w:after="0"/>
              <w:rPr>
                <w:sz w:val="1"/>
                <w:szCs w:val="1"/>
                <w:color w:val="auto"/>
              </w:rPr>
            </w:pPr>
          </w:p>
        </w:tc>
      </w:tr>
      <w:tr>
        <w:trPr>
          <w:trHeight w:val="210"/>
        </w:trPr>
        <w:tc>
          <w:tcPr>
            <w:tcW w:w="5620" w:type="dxa"/>
            <w:vAlign w:val="bottom"/>
          </w:tcPr>
          <w:p>
            <w:pPr>
              <w:ind w:left="340"/>
              <w:spacing w:after="0"/>
              <w:rPr>
                <w:sz w:val="20"/>
                <w:szCs w:val="20"/>
                <w:color w:val="auto"/>
              </w:rPr>
            </w:pPr>
            <w:r>
              <w:rPr>
                <w:rFonts w:ascii="Arial" w:cs="Arial" w:eastAsia="Arial" w:hAnsi="Arial"/>
                <w:sz w:val="16"/>
                <w:szCs w:val="16"/>
                <w:color w:val="auto"/>
              </w:rPr>
              <w:t>December 31, 2021</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763,651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80,340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843,991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2020</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932,581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1,052,744</w:t>
            </w: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Years ended:</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340"/>
              <w:spacing w:after="0"/>
              <w:rPr>
                <w:sz w:val="20"/>
                <w:szCs w:val="20"/>
                <w:color w:val="auto"/>
              </w:rPr>
            </w:pPr>
            <w:r>
              <w:rPr>
                <w:rFonts w:ascii="Arial" w:cs="Arial" w:eastAsia="Arial" w:hAnsi="Arial"/>
                <w:sz w:val="16"/>
                <w:szCs w:val="16"/>
                <w:color w:val="auto"/>
              </w:rPr>
              <w:t>December 31, 2022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(132,283)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55,980</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(76,303)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2021</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480,632</w:t>
            </w:r>
          </w:p>
        </w:tc>
        <w:tc>
          <w:tcPr>
            <w:tcW w:w="0" w:type="dxa"/>
            <w:vAlign w:val="bottom"/>
          </w:tcPr>
          <w:p>
            <w:pPr>
              <w:spacing w:after="0"/>
              <w:rPr>
                <w:sz w:val="1"/>
                <w:szCs w:val="1"/>
                <w:color w:val="auto"/>
              </w:rPr>
            </w:pPr>
          </w:p>
        </w:tc>
      </w:tr>
      <w:tr>
        <w:trPr>
          <w:trHeight w:val="210"/>
        </w:trPr>
        <w:tc>
          <w:tcPr>
            <w:tcW w:w="5620" w:type="dxa"/>
            <w:vAlign w:val="bottom"/>
          </w:tcPr>
          <w:p>
            <w:pPr>
              <w:ind w:left="340"/>
              <w:spacing w:after="0"/>
              <w:rPr>
                <w:sz w:val="20"/>
                <w:szCs w:val="20"/>
                <w:color w:val="auto"/>
              </w:rPr>
            </w:pPr>
            <w:r>
              <w:rPr>
                <w:rFonts w:ascii="Arial" w:cs="Arial" w:eastAsia="Arial" w:hAnsi="Arial"/>
                <w:sz w:val="16"/>
                <w:szCs w:val="16"/>
                <w:color w:val="auto"/>
              </w:rPr>
              <w:t>December 31, 2020</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354,353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60,405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414,758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140"/>
              <w:spacing w:after="0"/>
              <w:rPr>
                <w:sz w:val="20"/>
                <w:szCs w:val="20"/>
                <w:color w:val="auto"/>
              </w:rPr>
            </w:pPr>
            <w:r>
              <w:rPr>
                <w:rFonts w:ascii="Arial" w:cs="Arial" w:eastAsia="Arial" w:hAnsi="Arial"/>
                <w:sz w:val="16"/>
                <w:szCs w:val="16"/>
                <w:color w:val="auto"/>
              </w:rPr>
              <w:t>As of:</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11,727,418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12,355,794</w:t>
            </w:r>
          </w:p>
        </w:tc>
        <w:tc>
          <w:tcPr>
            <w:tcW w:w="0" w:type="dxa"/>
            <w:vAlign w:val="bottom"/>
          </w:tcPr>
          <w:p>
            <w:pPr>
              <w:spacing w:after="0"/>
              <w:rPr>
                <w:sz w:val="1"/>
                <w:szCs w:val="1"/>
                <w:color w:val="auto"/>
              </w:rPr>
            </w:pPr>
          </w:p>
        </w:tc>
      </w:tr>
      <w:tr>
        <w:trPr>
          <w:trHeight w:val="208"/>
        </w:trPr>
        <w:tc>
          <w:tcPr>
            <w:tcW w:w="5620" w:type="dxa"/>
            <w:vAlign w:val="bottom"/>
          </w:tcPr>
          <w:p>
            <w:pPr>
              <w:ind w:left="340"/>
              <w:spacing w:after="0"/>
              <w:rPr>
                <w:sz w:val="20"/>
                <w:szCs w:val="20"/>
                <w:color w:val="auto"/>
              </w:rPr>
            </w:pPr>
            <w:r>
              <w:rPr>
                <w:rFonts w:ascii="Arial" w:cs="Arial" w:eastAsia="Arial" w:hAnsi="Arial"/>
                <w:sz w:val="16"/>
                <w:szCs w:val="16"/>
                <w:color w:val="auto"/>
              </w:rPr>
              <w:t>December 31, 2021</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9,974,140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1,092,489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11,066,629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7"/>
          <w:szCs w:val="17"/>
          <w:color w:val="auto"/>
        </w:rPr>
        <w:t>Interest costs for the debt and preferred equity segment include any actual costs incurred for borrowings on the 2017 MRA and the FHLB Facility. Interest is imputed on the investments that do not collateralize the 2017 MRA and the FHLB Facility using our weighted average corporate borrowing cost. We also allocate loan loss reserves, net of recoveries, and transaction related costs to the debt and preferred equity segment. We do not allocate marketing, general and administrative expenses to the debt and preferred equity segment because that segment does not have dedicated personnel and the use of personnel and resources is dependent on transaction volume between the two segments, which varies between periods. In addition, we base performance on the individual segments prior to allocating marketing, general and administrative expenses. For the years ended, December 31, 2022, 2021, and 2020 marketing, general and administrative expenses totaled $93.8 million, $94.9 million, and $91.8 million respectively. All other expenses, except interest, relate entirely to the real estate assets.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transactions between the above two segments.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 - Real Estate and Accumulated Depreciation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8"/>
              </w:rPr>
              <w:t>Column D Cost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5"/>
            <w:vMerge w:val="restart"/>
          </w:tcPr>
          <w:p>
            <w:pPr>
              <w:jc w:val="center"/>
              <w:ind w:right="200"/>
              <w:spacing w:after="0"/>
              <w:rPr>
                <w:sz w:val="20"/>
                <w:szCs w:val="20"/>
                <w:color w:val="auto"/>
              </w:rPr>
            </w:pPr>
            <w:r>
              <w:rPr>
                <w:rFonts w:ascii="Arial" w:cs="Arial" w:eastAsia="Arial" w:hAnsi="Arial"/>
                <w:sz w:val="11"/>
                <w:szCs w:val="11"/>
                <w:b w:val="1"/>
                <w:bCs w:val="1"/>
                <w:color w:val="auto"/>
                <w:w w:val="92"/>
              </w:rPr>
              <w:t>Column C</w:t>
            </w:r>
          </w:p>
        </w:tc>
        <w:tc>
          <w:tcPr>
            <w:tcW w:w="100" w:type="dxa"/>
            <w:vAlign w:val="bottom"/>
          </w:tcPr>
          <w:p>
            <w:pPr>
              <w:spacing w:after="0"/>
              <w:rPr>
                <w:sz w:val="9"/>
                <w:szCs w:val="9"/>
                <w:color w:val="auto"/>
              </w:rPr>
            </w:pPr>
          </w:p>
        </w:tc>
        <w:tc>
          <w:tcPr>
            <w:tcW w:w="1540" w:type="dxa"/>
            <w:vAlign w:val="bottom"/>
            <w:gridSpan w:val="5"/>
          </w:tcPr>
          <w:p>
            <w:pPr>
              <w:jc w:val="center"/>
              <w:ind w:right="220"/>
              <w:spacing w:after="0" w:line="107" w:lineRule="exact"/>
              <w:rPr>
                <w:sz w:val="20"/>
                <w:szCs w:val="20"/>
                <w:color w:val="auto"/>
              </w:rPr>
            </w:pPr>
            <w:r>
              <w:rPr>
                <w:rFonts w:ascii="Arial" w:cs="Arial" w:eastAsia="Arial" w:hAnsi="Arial"/>
                <w:sz w:val="11"/>
                <w:szCs w:val="11"/>
                <w:b w:val="1"/>
                <w:bCs w:val="1"/>
                <w:color w:val="auto"/>
                <w:w w:val="89"/>
              </w:rPr>
              <w:t>Capitalized</w:t>
            </w:r>
          </w:p>
        </w:tc>
        <w:tc>
          <w:tcPr>
            <w:tcW w:w="80" w:type="dxa"/>
            <w:vAlign w:val="bottom"/>
          </w:tcPr>
          <w:p>
            <w:pPr>
              <w:spacing w:after="0"/>
              <w:rPr>
                <w:sz w:val="9"/>
                <w:szCs w:val="9"/>
                <w:color w:val="auto"/>
              </w:rPr>
            </w:pPr>
          </w:p>
        </w:tc>
        <w:tc>
          <w:tcPr>
            <w:tcW w:w="2460" w:type="dxa"/>
            <w:vAlign w:val="bottom"/>
            <w:gridSpan w:val="8"/>
            <w:vMerge w:val="restart"/>
          </w:tcPr>
          <w:p>
            <w:pPr>
              <w:ind w:left="340"/>
              <w:spacing w:after="0"/>
              <w:rPr>
                <w:sz w:val="20"/>
                <w:szCs w:val="20"/>
                <w:color w:val="auto"/>
              </w:rPr>
            </w:pPr>
            <w:r>
              <w:rPr>
                <w:rFonts w:ascii="Arial" w:cs="Arial" w:eastAsia="Arial" w:hAnsi="Arial"/>
                <w:sz w:val="11"/>
                <w:szCs w:val="11"/>
                <w:b w:val="1"/>
                <w:bCs w:val="1"/>
                <w:color w:val="auto"/>
              </w:rPr>
              <w:t>Column E Gross Amount at Which</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Column A</w:t>
            </w:r>
          </w:p>
        </w:tc>
        <w:tc>
          <w:tcPr>
            <w:tcW w:w="80" w:type="dxa"/>
            <w:vAlign w:val="bottom"/>
          </w:tcPr>
          <w:p>
            <w:pPr>
              <w:spacing w:after="0"/>
              <w:rPr>
                <w:sz w:val="9"/>
                <w:szCs w:val="9"/>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8"/>
              </w:rPr>
              <w:t>Column B</w:t>
            </w:r>
          </w:p>
        </w:tc>
        <w:tc>
          <w:tcPr>
            <w:tcW w:w="120" w:type="dxa"/>
            <w:vAlign w:val="bottom"/>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5"/>
          </w:tcPr>
          <w:p>
            <w:pPr>
              <w:jc w:val="center"/>
              <w:ind w:right="200"/>
              <w:spacing w:after="0" w:line="107" w:lineRule="exact"/>
              <w:rPr>
                <w:sz w:val="20"/>
                <w:szCs w:val="20"/>
                <w:color w:val="auto"/>
              </w:rPr>
            </w:pPr>
            <w:r>
              <w:rPr>
                <w:rFonts w:ascii="Arial" w:cs="Arial" w:eastAsia="Arial" w:hAnsi="Arial"/>
                <w:sz w:val="11"/>
                <w:szCs w:val="11"/>
                <w:b w:val="1"/>
                <w:bCs w:val="1"/>
                <w:color w:val="auto"/>
                <w:w w:val="83"/>
              </w:rPr>
              <w:t>Subsequent To</w:t>
            </w:r>
          </w:p>
        </w:tc>
        <w:tc>
          <w:tcPr>
            <w:tcW w:w="80" w:type="dxa"/>
            <w:vAlign w:val="bottom"/>
          </w:tcPr>
          <w:p>
            <w:pPr>
              <w:spacing w:after="0"/>
              <w:rPr>
                <w:sz w:val="9"/>
                <w:szCs w:val="9"/>
                <w:color w:val="auto"/>
              </w:rPr>
            </w:pPr>
          </w:p>
        </w:tc>
        <w:tc>
          <w:tcPr>
            <w:tcW w:w="246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center"/>
              <w:ind w:right="27"/>
              <w:spacing w:after="0"/>
              <w:rPr>
                <w:sz w:val="20"/>
                <w:szCs w:val="20"/>
                <w:color w:val="auto"/>
              </w:rPr>
            </w:pPr>
            <w:r>
              <w:rPr>
                <w:rFonts w:ascii="Arial" w:cs="Arial" w:eastAsia="Arial" w:hAnsi="Arial"/>
                <w:sz w:val="11"/>
                <w:szCs w:val="11"/>
                <w:b w:val="1"/>
                <w:bCs w:val="1"/>
                <w:color w:val="auto"/>
                <w:w w:val="86"/>
              </w:rPr>
              <w:t>Column F</w:t>
            </w:r>
          </w:p>
        </w:tc>
        <w:tc>
          <w:tcPr>
            <w:tcW w:w="100" w:type="dxa"/>
            <w:vAlign w:val="bottom"/>
          </w:tcPr>
          <w:p>
            <w:pPr>
              <w:spacing w:after="0"/>
              <w:rPr>
                <w:sz w:val="9"/>
                <w:szCs w:val="9"/>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Column G</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2"/>
              </w:rPr>
              <w:t>Column H</w:t>
            </w:r>
          </w:p>
        </w:tc>
        <w:tc>
          <w:tcPr>
            <w:tcW w:w="9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Column I</w:t>
            </w:r>
          </w:p>
        </w:tc>
        <w:tc>
          <w:tcPr>
            <w:tcW w:w="0" w:type="dxa"/>
            <w:vAlign w:val="bottom"/>
          </w:tcPr>
          <w:p>
            <w:pPr>
              <w:spacing w:after="0"/>
              <w:rPr>
                <w:sz w:val="1"/>
                <w:szCs w:val="1"/>
                <w:color w:val="auto"/>
              </w:rPr>
            </w:pPr>
          </w:p>
        </w:tc>
      </w:tr>
      <w:tr>
        <w:trPr>
          <w:trHeight w:val="139"/>
        </w:trPr>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92"/>
              </w:rPr>
              <w:t>Initial Cost</w:t>
            </w:r>
          </w:p>
        </w:tc>
        <w:tc>
          <w:tcPr>
            <w:tcW w:w="100" w:type="dxa"/>
            <w:vAlign w:val="bottom"/>
          </w:tcPr>
          <w:p>
            <w:pPr>
              <w:spacing w:after="0"/>
              <w:rPr>
                <w:sz w:val="12"/>
                <w:szCs w:val="12"/>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6"/>
              </w:rPr>
              <w:t>Acquisition (1)</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5"/>
          </w:tcPr>
          <w:p>
            <w:pPr>
              <w:jc w:val="right"/>
              <w:ind w:right="27"/>
              <w:spacing w:after="0"/>
              <w:rPr>
                <w:sz w:val="20"/>
                <w:szCs w:val="20"/>
                <w:color w:val="auto"/>
              </w:rPr>
            </w:pPr>
            <w:r>
              <w:rPr>
                <w:rFonts w:ascii="Arial" w:cs="Arial" w:eastAsia="Arial" w:hAnsi="Arial"/>
                <w:sz w:val="11"/>
                <w:szCs w:val="11"/>
                <w:b w:val="1"/>
                <w:bCs w:val="1"/>
                <w:color w:val="auto"/>
                <w:w w:val="90"/>
              </w:rPr>
              <w:t>Carried at Close of Period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4"/>
              </w:rPr>
              <w:t>Life on</w:t>
            </w: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4"/>
              </w:rPr>
              <w:t>Building &amp;</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Building &amp;</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Building &amp;</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center"/>
              <w:ind w:right="27"/>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9"/>
                <w:szCs w:val="9"/>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1"/>
              </w:rPr>
              <w:t>Date of</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2"/>
              </w:rPr>
              <w:t>Date</w:t>
            </w:r>
          </w:p>
        </w:tc>
        <w:tc>
          <w:tcPr>
            <w:tcW w:w="9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0"/>
              </w:rPr>
              <w:t>Which</w:t>
            </w:r>
          </w:p>
        </w:tc>
        <w:tc>
          <w:tcPr>
            <w:tcW w:w="0" w:type="dxa"/>
            <w:vAlign w:val="bottom"/>
          </w:tcPr>
          <w:p>
            <w:pPr>
              <w:spacing w:after="0"/>
              <w:rPr>
                <w:sz w:val="1"/>
                <w:szCs w:val="1"/>
                <w:color w:val="auto"/>
              </w:rPr>
            </w:pPr>
          </w:p>
        </w:tc>
      </w:tr>
      <w:tr>
        <w:trPr>
          <w:trHeight w:val="106"/>
        </w:trPr>
        <w:tc>
          <w:tcPr>
            <w:tcW w:w="10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Description (2)</w:t>
            </w:r>
          </w:p>
        </w:tc>
        <w:tc>
          <w:tcPr>
            <w:tcW w:w="80" w:type="dxa"/>
            <w:vAlign w:val="bottom"/>
          </w:tcPr>
          <w:p>
            <w:pPr>
              <w:spacing w:after="0"/>
              <w:rPr>
                <w:sz w:val="9"/>
                <w:szCs w:val="9"/>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6"/>
              </w:rPr>
              <w:t>Encumbrances</w:t>
            </w:r>
          </w:p>
        </w:tc>
        <w:tc>
          <w:tcPr>
            <w:tcW w:w="12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Land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Land</w:t>
            </w: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127"/>
              <w:spacing w:after="0"/>
              <w:rPr>
                <w:sz w:val="20"/>
                <w:szCs w:val="20"/>
                <w:color w:val="auto"/>
              </w:rPr>
            </w:pPr>
            <w:r>
              <w:rPr>
                <w:rFonts w:ascii="Arial" w:cs="Arial" w:eastAsia="Arial" w:hAnsi="Arial"/>
                <w:sz w:val="11"/>
                <w:szCs w:val="11"/>
                <w:b w:val="1"/>
                <w:bCs w:val="1"/>
                <w:color w:val="auto"/>
              </w:rPr>
              <w:t>Land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86"/>
              </w:rPr>
              <w:t>Depreciation is</w:t>
            </w:r>
          </w:p>
        </w:tc>
        <w:tc>
          <w:tcPr>
            <w:tcW w:w="0" w:type="dxa"/>
            <w:vAlign w:val="bottom"/>
          </w:tcPr>
          <w:p>
            <w:pPr>
              <w:spacing w:after="0"/>
              <w:rPr>
                <w:sz w:val="1"/>
                <w:szCs w:val="1"/>
                <w:color w:val="auto"/>
              </w:rPr>
            </w:pPr>
          </w:p>
        </w:tc>
      </w:tr>
      <w:tr>
        <w:trPr>
          <w:trHeight w:val="139"/>
        </w:trPr>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Improvements</w:t>
            </w: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Improvements</w:t>
            </w: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Improvements (3)</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7"/>
              <w:spacing w:after="0"/>
              <w:rPr>
                <w:sz w:val="20"/>
                <w:szCs w:val="20"/>
                <w:color w:val="auto"/>
              </w:rPr>
            </w:pPr>
            <w:r>
              <w:rPr>
                <w:rFonts w:ascii="Arial" w:cs="Arial" w:eastAsia="Arial" w:hAnsi="Arial"/>
                <w:sz w:val="11"/>
                <w:szCs w:val="11"/>
                <w:b w:val="1"/>
                <w:bCs w:val="1"/>
                <w:color w:val="auto"/>
                <w:w w:val="89"/>
              </w:rPr>
              <w:t>Depreciation</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Construction</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Acquired</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8"/>
              </w:rPr>
              <w:t>Computed</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86"/>
              </w:rPr>
              <w:t>420</w:t>
            </w:r>
          </w:p>
        </w:tc>
        <w:tc>
          <w:tcPr>
            <w:tcW w:w="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Lexington Ave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283,064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333,499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225,456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558,955</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558,955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205,225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1927</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3/1998</w:t>
            </w: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8"/>
        </w:trPr>
        <w:tc>
          <w:tcPr>
            <w:tcW w:w="1000" w:type="dxa"/>
            <w:vAlign w:val="bottom"/>
            <w:gridSpan w:val="3"/>
          </w:tcPr>
          <w:p>
            <w:pPr>
              <w:ind w:left="20"/>
              <w:spacing w:after="0"/>
              <w:rPr>
                <w:sz w:val="20"/>
                <w:szCs w:val="20"/>
                <w:color w:val="auto"/>
              </w:rPr>
            </w:pPr>
            <w:r>
              <w:rPr>
                <w:rFonts w:ascii="Arial" w:cs="Arial" w:eastAsia="Arial" w:hAnsi="Arial"/>
                <w:sz w:val="11"/>
                <w:szCs w:val="11"/>
                <w:color w:val="auto"/>
              </w:rPr>
              <w:t>711 Third Avenue</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19,844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115,769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71,773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19,844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187,542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207,386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81,265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1955</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5/1998</w:t>
            </w:r>
          </w:p>
        </w:tc>
        <w:tc>
          <w:tcPr>
            <w:tcW w:w="10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86"/>
              </w:rPr>
              <w:t>555</w:t>
            </w:r>
          </w:p>
        </w:tc>
        <w:tc>
          <w:tcPr>
            <w:tcW w:w="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 57th Street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18,846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140,946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4,499</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18,846</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145,445</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164,291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91,729</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1971</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1/1999</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8"/>
        </w:trPr>
        <w:tc>
          <w:tcPr>
            <w:tcW w:w="200" w:type="dxa"/>
            <w:vAlign w:val="bottom"/>
          </w:tcPr>
          <w:p>
            <w:pPr>
              <w:ind w:left="20"/>
              <w:spacing w:after="0"/>
              <w:rPr>
                <w:sz w:val="20"/>
                <w:szCs w:val="20"/>
                <w:color w:val="auto"/>
              </w:rPr>
            </w:pPr>
            <w:r>
              <w:rPr>
                <w:rFonts w:ascii="Arial" w:cs="Arial" w:eastAsia="Arial" w:hAnsi="Arial"/>
                <w:sz w:val="11"/>
                <w:szCs w:val="11"/>
                <w:color w:val="auto"/>
                <w:w w:val="86"/>
              </w:rPr>
              <w:t>461</w:t>
            </w:r>
          </w:p>
        </w:tc>
        <w:tc>
          <w:tcPr>
            <w:tcW w:w="800" w:type="dxa"/>
            <w:vAlign w:val="bottom"/>
            <w:gridSpan w:val="2"/>
          </w:tcPr>
          <w:p>
            <w:pPr>
              <w:spacing w:after="0"/>
              <w:rPr>
                <w:sz w:val="20"/>
                <w:szCs w:val="20"/>
                <w:color w:val="auto"/>
              </w:rPr>
            </w:pPr>
            <w:r>
              <w:rPr>
                <w:rFonts w:ascii="Arial" w:cs="Arial" w:eastAsia="Arial" w:hAnsi="Arial"/>
                <w:sz w:val="11"/>
                <w:szCs w:val="11"/>
                <w:color w:val="auto"/>
              </w:rPr>
              <w:t>Fifth Avenue</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88,276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28,873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9,068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28,873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97,344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126,217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41,304</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1988</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10/2003</w:t>
            </w:r>
          </w:p>
        </w:tc>
        <w:tc>
          <w:tcPr>
            <w:tcW w:w="10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86"/>
              </w:rPr>
              <w:t>750</w:t>
            </w:r>
          </w:p>
        </w:tc>
        <w:tc>
          <w:tcPr>
            <w:tcW w:w="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Third Avenue</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51,093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251,523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52,043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51,093</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303,566</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354,659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110,402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1958</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7/2004</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10"/>
        </w:trPr>
        <w:tc>
          <w:tcPr>
            <w:tcW w:w="1000" w:type="dxa"/>
            <w:vAlign w:val="bottom"/>
            <w:gridSpan w:val="3"/>
          </w:tcPr>
          <w:p>
            <w:pPr>
              <w:ind w:left="20"/>
              <w:spacing w:after="0" w:line="110" w:lineRule="exact"/>
              <w:rPr>
                <w:sz w:val="20"/>
                <w:szCs w:val="20"/>
                <w:color w:val="auto"/>
              </w:rPr>
            </w:pPr>
            <w:r>
              <w:rPr>
                <w:rFonts w:ascii="Arial" w:cs="Arial" w:eastAsia="Arial" w:hAnsi="Arial"/>
                <w:sz w:val="11"/>
                <w:szCs w:val="11"/>
                <w:color w:val="auto"/>
              </w:rPr>
              <w:t>625 Madison</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291,319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146,707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1"/>
                <w:szCs w:val="11"/>
                <w:color w:val="auto"/>
              </w:rPr>
              <w:t>438,026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438,026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7"/>
              <w:spacing w:after="0"/>
              <w:rPr>
                <w:sz w:val="20"/>
                <w:szCs w:val="20"/>
                <w:color w:val="auto"/>
              </w:rPr>
            </w:pPr>
            <w:r>
              <w:rPr>
                <w:rFonts w:ascii="Arial" w:cs="Arial" w:eastAsia="Arial" w:hAnsi="Arial"/>
                <w:sz w:val="11"/>
                <w:szCs w:val="11"/>
                <w:color w:val="auto"/>
              </w:rPr>
              <w:t>150,321</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1956</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10/2004</w:t>
            </w:r>
          </w:p>
        </w:tc>
        <w:tc>
          <w:tcPr>
            <w:tcW w:w="100" w:type="dxa"/>
            <w:vAlign w:val="bottom"/>
          </w:tcPr>
          <w:p>
            <w:pPr>
              <w:spacing w:after="0"/>
              <w:rPr>
                <w:sz w:val="9"/>
                <w:szCs w:val="9"/>
                <w:color w:val="auto"/>
              </w:rPr>
            </w:pPr>
          </w:p>
        </w:tc>
        <w:tc>
          <w:tcPr>
            <w:tcW w:w="940" w:type="dxa"/>
            <w:vAlign w:val="bottom"/>
            <w:vMerge w:val="restart"/>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5"/>
        </w:trPr>
        <w:tc>
          <w:tcPr>
            <w:tcW w:w="1000" w:type="dxa"/>
            <w:vAlign w:val="bottom"/>
            <w:gridSpan w:val="3"/>
          </w:tcPr>
          <w:p>
            <w:pPr>
              <w:ind w:left="20"/>
              <w:spacing w:after="0"/>
              <w:rPr>
                <w:sz w:val="20"/>
                <w:szCs w:val="20"/>
                <w:color w:val="auto"/>
              </w:rPr>
            </w:pPr>
            <w:r>
              <w:rPr>
                <w:rFonts w:ascii="Arial" w:cs="Arial" w:eastAsia="Arial" w:hAnsi="Arial"/>
                <w:sz w:val="11"/>
                <w:szCs w:val="11"/>
                <w:color w:val="auto"/>
              </w:rPr>
              <w:t>Avenue</w:t>
            </w: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86"/>
              </w:rPr>
              <w:t>485</w:t>
            </w:r>
          </w:p>
        </w:tc>
        <w:tc>
          <w:tcPr>
            <w:tcW w:w="800" w:type="dxa"/>
            <w:vAlign w:val="bottom"/>
            <w:gridSpan w:val="2"/>
            <w:shd w:val="clear" w:color="auto" w:fill="CCEEFF"/>
          </w:tcPr>
          <w:p>
            <w:pPr>
              <w:spacing w:after="0" w:line="110" w:lineRule="exact"/>
              <w:rPr>
                <w:sz w:val="20"/>
                <w:szCs w:val="20"/>
                <w:color w:val="auto"/>
              </w:rPr>
            </w:pPr>
            <w:r>
              <w:rPr>
                <w:rFonts w:ascii="Arial" w:cs="Arial" w:eastAsia="Arial" w:hAnsi="Arial"/>
                <w:sz w:val="11"/>
                <w:szCs w:val="11"/>
                <w:color w:val="auto"/>
              </w:rPr>
              <w:t>Lexington</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450,000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78,282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452,631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(20,977)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78,282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431,654</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509,936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189,131</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1956</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12/2004</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6"/>
        </w:trPr>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Avenue</w:t>
            </w: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0" w:type="dxa"/>
            <w:vAlign w:val="bottom"/>
          </w:tcPr>
          <w:p>
            <w:pPr>
              <w:ind w:left="20"/>
              <w:spacing w:after="0" w:line="110" w:lineRule="exact"/>
              <w:rPr>
                <w:sz w:val="20"/>
                <w:szCs w:val="20"/>
                <w:color w:val="auto"/>
              </w:rPr>
            </w:pPr>
            <w:r>
              <w:rPr>
                <w:rFonts w:ascii="Arial" w:cs="Arial" w:eastAsia="Arial" w:hAnsi="Arial"/>
                <w:sz w:val="11"/>
                <w:szCs w:val="11"/>
                <w:color w:val="auto"/>
                <w:w w:val="86"/>
              </w:rPr>
              <w:t>810</w:t>
            </w:r>
          </w:p>
        </w:tc>
        <w:tc>
          <w:tcPr>
            <w:tcW w:w="800" w:type="dxa"/>
            <w:vAlign w:val="bottom"/>
            <w:gridSpan w:val="2"/>
          </w:tcPr>
          <w:p>
            <w:pPr>
              <w:spacing w:after="0" w:line="110" w:lineRule="exact"/>
              <w:rPr>
                <w:sz w:val="20"/>
                <w:szCs w:val="20"/>
                <w:color w:val="auto"/>
              </w:rPr>
            </w:pPr>
            <w:r>
              <w:rPr>
                <w:rFonts w:ascii="Arial" w:cs="Arial" w:eastAsia="Arial" w:hAnsi="Arial"/>
                <w:sz w:val="11"/>
                <w:szCs w:val="11"/>
                <w:color w:val="auto"/>
              </w:rPr>
              <w:t>Seventh</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114,077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550,819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5,483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7"/>
              <w:spacing w:after="0"/>
              <w:rPr>
                <w:sz w:val="20"/>
                <w:szCs w:val="20"/>
                <w:color w:val="auto"/>
              </w:rPr>
            </w:pPr>
            <w:r>
              <w:rPr>
                <w:rFonts w:ascii="Arial" w:cs="Arial" w:eastAsia="Arial" w:hAnsi="Arial"/>
                <w:sz w:val="11"/>
                <w:szCs w:val="11"/>
                <w:color w:val="auto"/>
              </w:rPr>
              <w:t>114,077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1"/>
                <w:szCs w:val="11"/>
                <w:color w:val="auto"/>
              </w:rPr>
              <w:t>556,302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670,379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7"/>
              <w:spacing w:after="0"/>
              <w:rPr>
                <w:sz w:val="20"/>
                <w:szCs w:val="20"/>
                <w:color w:val="auto"/>
              </w:rPr>
            </w:pPr>
            <w:r>
              <w:rPr>
                <w:rFonts w:ascii="Arial" w:cs="Arial" w:eastAsia="Arial" w:hAnsi="Arial"/>
                <w:sz w:val="11"/>
                <w:szCs w:val="11"/>
                <w:color w:val="auto"/>
              </w:rPr>
              <w:t>232,822</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1970</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Pr>
          <w:p>
            <w:pPr>
              <w:spacing w:after="0"/>
              <w:rPr>
                <w:sz w:val="9"/>
                <w:szCs w:val="9"/>
                <w:color w:val="auto"/>
              </w:rPr>
            </w:pPr>
          </w:p>
        </w:tc>
        <w:tc>
          <w:tcPr>
            <w:tcW w:w="940" w:type="dxa"/>
            <w:vAlign w:val="bottom"/>
            <w:vMerge w:val="restart"/>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5"/>
        </w:trPr>
        <w:tc>
          <w:tcPr>
            <w:tcW w:w="1000" w:type="dxa"/>
            <w:vAlign w:val="bottom"/>
            <w:gridSpan w:val="3"/>
          </w:tcPr>
          <w:p>
            <w:pPr>
              <w:ind w:left="20"/>
              <w:spacing w:after="0"/>
              <w:rPr>
                <w:sz w:val="20"/>
                <w:szCs w:val="20"/>
                <w:color w:val="auto"/>
              </w:rPr>
            </w:pPr>
            <w:r>
              <w:rPr>
                <w:rFonts w:ascii="Arial" w:cs="Arial" w:eastAsia="Arial" w:hAnsi="Arial"/>
                <w:sz w:val="11"/>
                <w:szCs w:val="11"/>
                <w:color w:val="auto"/>
              </w:rPr>
              <w:t>Avenue</w:t>
            </w: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00" w:type="dxa"/>
            <w:vAlign w:val="bottom"/>
            <w:gridSpan w:val="3"/>
            <w:shd w:val="clear" w:color="auto" w:fill="CCEEFF"/>
          </w:tcPr>
          <w:p>
            <w:pPr>
              <w:ind w:left="20"/>
              <w:spacing w:after="0" w:line="110" w:lineRule="exact"/>
              <w:rPr>
                <w:sz w:val="20"/>
                <w:szCs w:val="20"/>
                <w:color w:val="auto"/>
              </w:rPr>
            </w:pPr>
            <w:r>
              <w:rPr>
                <w:rFonts w:ascii="Arial" w:cs="Arial" w:eastAsia="Arial" w:hAnsi="Arial"/>
                <w:sz w:val="11"/>
                <w:szCs w:val="11"/>
                <w:color w:val="auto"/>
              </w:rPr>
              <w:t>1185 Avenue of the</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791,106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131,034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922,140</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922,140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375,907</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1969</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6"/>
        </w:trPr>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Americas</w:t>
            </w: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00" w:type="dxa"/>
            <w:vAlign w:val="bottom"/>
            <w:gridSpan w:val="3"/>
          </w:tcPr>
          <w:p>
            <w:pPr>
              <w:ind w:left="20"/>
              <w:spacing w:after="0" w:line="110" w:lineRule="exact"/>
              <w:rPr>
                <w:sz w:val="20"/>
                <w:szCs w:val="20"/>
                <w:color w:val="auto"/>
              </w:rPr>
            </w:pPr>
            <w:r>
              <w:rPr>
                <w:rFonts w:ascii="Arial" w:cs="Arial" w:eastAsia="Arial" w:hAnsi="Arial"/>
                <w:sz w:val="11"/>
                <w:szCs w:val="11"/>
                <w:color w:val="auto"/>
              </w:rPr>
              <w:t>1350 Avenue of the</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90,941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431,517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8,487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7"/>
              <w:spacing w:after="0"/>
              <w:rPr>
                <w:sz w:val="20"/>
                <w:szCs w:val="20"/>
                <w:color w:val="auto"/>
              </w:rPr>
            </w:pPr>
            <w:r>
              <w:rPr>
                <w:rFonts w:ascii="Arial" w:cs="Arial" w:eastAsia="Arial" w:hAnsi="Arial"/>
                <w:sz w:val="11"/>
                <w:szCs w:val="11"/>
                <w:color w:val="auto"/>
              </w:rPr>
              <w:t>90,941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1"/>
                <w:szCs w:val="11"/>
                <w:color w:val="auto"/>
              </w:rPr>
              <w:t>440,004</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530,945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7"/>
              <w:spacing w:after="0"/>
              <w:rPr>
                <w:sz w:val="20"/>
                <w:szCs w:val="20"/>
                <w:color w:val="auto"/>
              </w:rPr>
            </w:pPr>
            <w:r>
              <w:rPr>
                <w:rFonts w:ascii="Arial" w:cs="Arial" w:eastAsia="Arial" w:hAnsi="Arial"/>
                <w:sz w:val="11"/>
                <w:szCs w:val="11"/>
                <w:color w:val="auto"/>
              </w:rPr>
              <w:t>182,958</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1966</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Pr>
          <w:p>
            <w:pPr>
              <w:spacing w:after="0"/>
              <w:rPr>
                <w:sz w:val="9"/>
                <w:szCs w:val="9"/>
                <w:color w:val="auto"/>
              </w:rPr>
            </w:pPr>
          </w:p>
        </w:tc>
        <w:tc>
          <w:tcPr>
            <w:tcW w:w="940" w:type="dxa"/>
            <w:vAlign w:val="bottom"/>
            <w:vMerge w:val="restart"/>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5"/>
        </w:trPr>
        <w:tc>
          <w:tcPr>
            <w:tcW w:w="1000" w:type="dxa"/>
            <w:vAlign w:val="bottom"/>
            <w:gridSpan w:val="3"/>
          </w:tcPr>
          <w:p>
            <w:pPr>
              <w:ind w:left="20"/>
              <w:spacing w:after="0"/>
              <w:rPr>
                <w:sz w:val="20"/>
                <w:szCs w:val="20"/>
                <w:color w:val="auto"/>
              </w:rPr>
            </w:pPr>
            <w:r>
              <w:rPr>
                <w:rFonts w:ascii="Arial" w:cs="Arial" w:eastAsia="Arial" w:hAnsi="Arial"/>
                <w:sz w:val="11"/>
                <w:szCs w:val="11"/>
                <w:color w:val="auto"/>
              </w:rPr>
              <w:t>Americas</w:t>
            </w: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00" w:type="dxa"/>
            <w:vAlign w:val="bottom"/>
            <w:gridSpan w:val="3"/>
            <w:shd w:val="clear" w:color="auto" w:fill="CCEEFF"/>
          </w:tcPr>
          <w:p>
            <w:pPr>
              <w:ind w:left="20"/>
              <w:spacing w:after="0" w:line="110" w:lineRule="exact"/>
              <w:rPr>
                <w:sz w:val="20"/>
                <w:szCs w:val="20"/>
                <w:color w:val="auto"/>
              </w:rPr>
            </w:pPr>
            <w:r>
              <w:rPr>
                <w:rFonts w:ascii="Arial" w:cs="Arial" w:eastAsia="Arial" w:hAnsi="Arial"/>
                <w:sz w:val="11"/>
                <w:szCs w:val="11"/>
                <w:color w:val="auto"/>
              </w:rPr>
              <w:t>1-6 Landmark</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100,000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27,852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161,343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(6,939)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(27,266)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20,913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134,077</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154,990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41,964</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1973-1984</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6"/>
        </w:trPr>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Square (4)</w:t>
            </w: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00" w:type="dxa"/>
            <w:vAlign w:val="bottom"/>
            <w:gridSpan w:val="3"/>
          </w:tcPr>
          <w:p>
            <w:pPr>
              <w:ind w:left="20"/>
              <w:spacing w:after="0" w:line="110" w:lineRule="exact"/>
              <w:rPr>
                <w:sz w:val="20"/>
                <w:szCs w:val="20"/>
                <w:color w:val="auto"/>
              </w:rPr>
            </w:pPr>
            <w:r>
              <w:rPr>
                <w:rFonts w:ascii="Arial" w:cs="Arial" w:eastAsia="Arial" w:hAnsi="Arial"/>
                <w:sz w:val="11"/>
                <w:szCs w:val="11"/>
                <w:color w:val="auto"/>
                <w:w w:val="99"/>
              </w:rPr>
              <w:t>7 Landmark Square</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1,721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8,417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(1,337)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(6,240)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7"/>
              <w:spacing w:after="0"/>
              <w:rPr>
                <w:sz w:val="20"/>
                <w:szCs w:val="20"/>
                <w:color w:val="auto"/>
              </w:rPr>
            </w:pPr>
            <w:r>
              <w:rPr>
                <w:rFonts w:ascii="Arial" w:cs="Arial" w:eastAsia="Arial" w:hAnsi="Arial"/>
                <w:sz w:val="11"/>
                <w:szCs w:val="11"/>
                <w:color w:val="auto"/>
              </w:rPr>
              <w:t>384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1"/>
                <w:szCs w:val="11"/>
                <w:color w:val="auto"/>
              </w:rPr>
              <w:t>2,177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2,561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7"/>
              <w:spacing w:after="0"/>
              <w:rPr>
                <w:sz w:val="20"/>
                <w:szCs w:val="20"/>
                <w:color w:val="auto"/>
              </w:rPr>
            </w:pPr>
            <w:r>
              <w:rPr>
                <w:rFonts w:ascii="Arial" w:cs="Arial" w:eastAsia="Arial" w:hAnsi="Arial"/>
                <w:sz w:val="11"/>
                <w:szCs w:val="11"/>
                <w:color w:val="auto"/>
              </w:rPr>
              <w:t>606</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2007</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Pr>
          <w:p>
            <w:pPr>
              <w:spacing w:after="0"/>
              <w:rPr>
                <w:sz w:val="9"/>
                <w:szCs w:val="9"/>
                <w:color w:val="auto"/>
              </w:rPr>
            </w:pPr>
          </w:p>
        </w:tc>
        <w:tc>
          <w:tcPr>
            <w:tcW w:w="940" w:type="dxa"/>
            <w:vAlign w:val="bottom"/>
            <w:vMerge w:val="restart"/>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5"/>
        </w:trPr>
        <w:tc>
          <w:tcPr>
            <w:tcW w:w="200" w:type="dxa"/>
            <w:vAlign w:val="bottom"/>
          </w:tcPr>
          <w:p>
            <w:pPr>
              <w:ind w:left="20"/>
              <w:spacing w:after="0"/>
              <w:rPr>
                <w:sz w:val="20"/>
                <w:szCs w:val="20"/>
                <w:color w:val="auto"/>
              </w:rPr>
            </w:pPr>
            <w:r>
              <w:rPr>
                <w:rFonts w:ascii="Arial" w:cs="Arial" w:eastAsia="Arial" w:hAnsi="Arial"/>
                <w:sz w:val="11"/>
                <w:szCs w:val="11"/>
                <w:color w:val="auto"/>
              </w:rPr>
              <w:t>(4)</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86"/>
              </w:rPr>
              <w:t>100</w:t>
            </w:r>
          </w:p>
        </w:tc>
        <w:tc>
          <w:tcPr>
            <w:tcW w:w="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Church Street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370,000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34,994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183,932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10,100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34,994</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194,032</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229,026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71,515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1959</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1/2010</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8"/>
        </w:trPr>
        <w:tc>
          <w:tcPr>
            <w:tcW w:w="200" w:type="dxa"/>
            <w:vAlign w:val="bottom"/>
          </w:tcPr>
          <w:p>
            <w:pPr>
              <w:ind w:left="20"/>
              <w:spacing w:after="0"/>
              <w:rPr>
                <w:sz w:val="20"/>
                <w:szCs w:val="20"/>
                <w:color w:val="auto"/>
              </w:rPr>
            </w:pPr>
            <w:r>
              <w:rPr>
                <w:rFonts w:ascii="Arial" w:cs="Arial" w:eastAsia="Arial" w:hAnsi="Arial"/>
                <w:sz w:val="11"/>
                <w:szCs w:val="11"/>
                <w:color w:val="auto"/>
                <w:w w:val="86"/>
              </w:rPr>
              <w:t>125</w:t>
            </w:r>
          </w:p>
        </w:tc>
        <w:tc>
          <w:tcPr>
            <w:tcW w:w="800" w:type="dxa"/>
            <w:vAlign w:val="bottom"/>
            <w:gridSpan w:val="2"/>
          </w:tcPr>
          <w:p>
            <w:pPr>
              <w:spacing w:after="0"/>
              <w:rPr>
                <w:sz w:val="20"/>
                <w:szCs w:val="20"/>
                <w:color w:val="auto"/>
              </w:rPr>
            </w:pPr>
            <w:r>
              <w:rPr>
                <w:rFonts w:ascii="Arial" w:cs="Arial" w:eastAsia="Arial" w:hAnsi="Arial"/>
                <w:sz w:val="11"/>
                <w:szCs w:val="11"/>
                <w:color w:val="auto"/>
              </w:rPr>
              <w:t>Park Avenue</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120,900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270,598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19,946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120,900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290,544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411,444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120,545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1923</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10/2010</w:t>
            </w:r>
          </w:p>
        </w:tc>
        <w:tc>
          <w:tcPr>
            <w:tcW w:w="10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21"/>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19 East 65th Street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8,603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2,074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1,888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8,603</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3,962</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12,565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1929</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01/2012</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8"/>
        </w:trPr>
        <w:tc>
          <w:tcPr>
            <w:tcW w:w="200" w:type="dxa"/>
            <w:vAlign w:val="bottom"/>
          </w:tcPr>
          <w:p>
            <w:pPr>
              <w:ind w:left="20"/>
              <w:spacing w:after="0"/>
              <w:rPr>
                <w:sz w:val="20"/>
                <w:szCs w:val="20"/>
                <w:color w:val="auto"/>
              </w:rPr>
            </w:pPr>
            <w:r>
              <w:rPr>
                <w:rFonts w:ascii="Arial" w:cs="Arial" w:eastAsia="Arial" w:hAnsi="Arial"/>
                <w:sz w:val="11"/>
                <w:szCs w:val="11"/>
                <w:color w:val="auto"/>
                <w:w w:val="86"/>
              </w:rPr>
              <w:t>304</w:t>
            </w:r>
          </w:p>
        </w:tc>
        <w:tc>
          <w:tcPr>
            <w:tcW w:w="800" w:type="dxa"/>
            <w:vAlign w:val="bottom"/>
            <w:gridSpan w:val="2"/>
          </w:tcPr>
          <w:p>
            <w:pPr>
              <w:spacing w:after="0"/>
              <w:rPr>
                <w:sz w:val="20"/>
                <w:szCs w:val="20"/>
                <w:color w:val="auto"/>
              </w:rPr>
            </w:pPr>
            <w:r>
              <w:rPr>
                <w:rFonts w:ascii="Arial" w:cs="Arial" w:eastAsia="Arial" w:hAnsi="Arial"/>
                <w:sz w:val="11"/>
                <w:szCs w:val="11"/>
                <w:color w:val="auto"/>
              </w:rPr>
              <w:t>Park Avenue</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54,489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90,643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7,425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54,489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98,068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152,557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29,685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1930</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6/2012</w:t>
            </w:r>
          </w:p>
        </w:tc>
        <w:tc>
          <w:tcPr>
            <w:tcW w:w="10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21"/>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00" w:type="dxa"/>
            <w:vAlign w:val="bottom"/>
            <w:gridSpan w:val="3"/>
            <w:shd w:val="clear" w:color="auto" w:fill="CCEEFF"/>
          </w:tcPr>
          <w:p>
            <w:pPr>
              <w:ind w:left="20"/>
              <w:spacing w:after="0" w:line="110" w:lineRule="exact"/>
              <w:rPr>
                <w:sz w:val="20"/>
                <w:szCs w:val="20"/>
                <w:color w:val="auto"/>
              </w:rPr>
            </w:pPr>
            <w:r>
              <w:rPr>
                <w:rFonts w:ascii="Arial" w:cs="Arial" w:eastAsia="Arial" w:hAnsi="Arial"/>
                <w:sz w:val="11"/>
                <w:szCs w:val="11"/>
                <w:color w:val="auto"/>
              </w:rPr>
              <w:t>760 Madison</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284,286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8,314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(2,450)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107,078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281,836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115,392</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397,228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4,991</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1996/2012</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7/2014</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6"/>
        </w:trPr>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Avenue (5)</w:t>
            </w: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0" w:type="dxa"/>
            <w:vAlign w:val="bottom"/>
          </w:tcPr>
          <w:p>
            <w:pPr>
              <w:ind w:left="20"/>
              <w:spacing w:after="0" w:line="110" w:lineRule="exact"/>
              <w:rPr>
                <w:sz w:val="20"/>
                <w:szCs w:val="20"/>
                <w:color w:val="auto"/>
              </w:rPr>
            </w:pPr>
            <w:r>
              <w:rPr>
                <w:rFonts w:ascii="Arial" w:cs="Arial" w:eastAsia="Arial" w:hAnsi="Arial"/>
                <w:sz w:val="11"/>
                <w:szCs w:val="11"/>
                <w:color w:val="auto"/>
                <w:w w:val="86"/>
              </w:rPr>
              <w:t>719</w:t>
            </w:r>
          </w:p>
        </w:tc>
        <w:tc>
          <w:tcPr>
            <w:tcW w:w="800" w:type="dxa"/>
            <w:vAlign w:val="bottom"/>
            <w:gridSpan w:val="2"/>
          </w:tcPr>
          <w:p>
            <w:pPr>
              <w:spacing w:after="0" w:line="110" w:lineRule="exact"/>
              <w:rPr>
                <w:sz w:val="20"/>
                <w:szCs w:val="20"/>
                <w:color w:val="auto"/>
              </w:rPr>
            </w:pPr>
            <w:r>
              <w:rPr>
                <w:rFonts w:ascii="Arial" w:cs="Arial" w:eastAsia="Arial" w:hAnsi="Arial"/>
                <w:sz w:val="11"/>
                <w:szCs w:val="11"/>
                <w:color w:val="auto"/>
              </w:rPr>
              <w:t>Seventh</w:t>
            </w: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50,000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41,180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46,232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(4,724)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7"/>
              <w:spacing w:after="0"/>
              <w:rPr>
                <w:sz w:val="20"/>
                <w:szCs w:val="20"/>
                <w:color w:val="auto"/>
              </w:rPr>
            </w:pPr>
            <w:r>
              <w:rPr>
                <w:rFonts w:ascii="Arial" w:cs="Arial" w:eastAsia="Arial" w:hAnsi="Arial"/>
                <w:sz w:val="11"/>
                <w:szCs w:val="11"/>
                <w:color w:val="auto"/>
              </w:rPr>
              <w:t>41,180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1"/>
                <w:szCs w:val="11"/>
                <w:color w:val="auto"/>
              </w:rPr>
              <w:t>41,508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82,688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7"/>
              <w:spacing w:after="0"/>
              <w:rPr>
                <w:sz w:val="20"/>
                <w:szCs w:val="20"/>
                <w:color w:val="auto"/>
              </w:rPr>
            </w:pPr>
            <w:r>
              <w:rPr>
                <w:rFonts w:ascii="Arial" w:cs="Arial" w:eastAsia="Arial" w:hAnsi="Arial"/>
                <w:sz w:val="11"/>
                <w:szCs w:val="11"/>
                <w:color w:val="auto"/>
              </w:rPr>
              <w:t>4,388</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1927</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7/2014</w:t>
            </w:r>
          </w:p>
        </w:tc>
        <w:tc>
          <w:tcPr>
            <w:tcW w:w="100" w:type="dxa"/>
            <w:vAlign w:val="bottom"/>
          </w:tcPr>
          <w:p>
            <w:pPr>
              <w:spacing w:after="0"/>
              <w:rPr>
                <w:sz w:val="9"/>
                <w:szCs w:val="9"/>
                <w:color w:val="auto"/>
              </w:rPr>
            </w:pPr>
          </w:p>
        </w:tc>
        <w:tc>
          <w:tcPr>
            <w:tcW w:w="940" w:type="dxa"/>
            <w:vAlign w:val="bottom"/>
            <w:vMerge w:val="restart"/>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5"/>
        </w:trPr>
        <w:tc>
          <w:tcPr>
            <w:tcW w:w="1000" w:type="dxa"/>
            <w:vAlign w:val="bottom"/>
            <w:gridSpan w:val="3"/>
          </w:tcPr>
          <w:p>
            <w:pPr>
              <w:ind w:left="20"/>
              <w:spacing w:after="0"/>
              <w:rPr>
                <w:sz w:val="20"/>
                <w:szCs w:val="20"/>
                <w:color w:val="auto"/>
              </w:rPr>
            </w:pPr>
            <w:r>
              <w:rPr>
                <w:rFonts w:ascii="Arial" w:cs="Arial" w:eastAsia="Arial" w:hAnsi="Arial"/>
                <w:sz w:val="11"/>
                <w:szCs w:val="11"/>
                <w:color w:val="auto"/>
              </w:rPr>
              <w:t>Avenue (6)</w:t>
            </w: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110 Greene Street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45,120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228,393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4,166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45,120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232,559</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277,679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49,982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1910</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7/2015</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10"/>
        </w:trPr>
        <w:tc>
          <w:tcPr>
            <w:tcW w:w="1000" w:type="dxa"/>
            <w:vAlign w:val="bottom"/>
            <w:gridSpan w:val="3"/>
          </w:tcPr>
          <w:p>
            <w:pPr>
              <w:ind w:left="20"/>
              <w:spacing w:after="0" w:line="110" w:lineRule="exact"/>
              <w:rPr>
                <w:sz w:val="20"/>
                <w:szCs w:val="20"/>
                <w:color w:val="auto"/>
              </w:rPr>
            </w:pPr>
            <w:r>
              <w:rPr>
                <w:rFonts w:ascii="Arial" w:cs="Arial" w:eastAsia="Arial" w:hAnsi="Arial"/>
                <w:sz w:val="11"/>
                <w:szCs w:val="11"/>
                <w:color w:val="auto"/>
              </w:rPr>
              <w:t>7 Dey / 185</w:t>
            </w: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210,148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45,540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27,865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204,968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7"/>
              <w:spacing w:after="0"/>
              <w:rPr>
                <w:sz w:val="20"/>
                <w:szCs w:val="20"/>
                <w:color w:val="auto"/>
              </w:rPr>
            </w:pPr>
            <w:r>
              <w:rPr>
                <w:rFonts w:ascii="Arial" w:cs="Arial" w:eastAsia="Arial" w:hAnsi="Arial"/>
                <w:sz w:val="11"/>
                <w:szCs w:val="11"/>
                <w:color w:val="auto"/>
              </w:rPr>
              <w:t>45,540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1"/>
                <w:szCs w:val="11"/>
                <w:color w:val="auto"/>
              </w:rPr>
              <w:t>232,833</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278,373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7"/>
              <w:spacing w:after="0"/>
              <w:rPr>
                <w:sz w:val="20"/>
                <w:szCs w:val="20"/>
                <w:color w:val="auto"/>
              </w:rPr>
            </w:pPr>
            <w:r>
              <w:rPr>
                <w:rFonts w:ascii="Arial" w:cs="Arial" w:eastAsia="Arial" w:hAnsi="Arial"/>
                <w:sz w:val="11"/>
                <w:szCs w:val="11"/>
                <w:color w:val="auto"/>
              </w:rPr>
              <w:t>2,658</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1921</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8/2015</w:t>
            </w:r>
          </w:p>
        </w:tc>
        <w:tc>
          <w:tcPr>
            <w:tcW w:w="100" w:type="dxa"/>
            <w:vAlign w:val="bottom"/>
          </w:tcPr>
          <w:p>
            <w:pPr>
              <w:spacing w:after="0"/>
              <w:rPr>
                <w:sz w:val="9"/>
                <w:szCs w:val="9"/>
                <w:color w:val="auto"/>
              </w:rPr>
            </w:pPr>
          </w:p>
        </w:tc>
        <w:tc>
          <w:tcPr>
            <w:tcW w:w="940" w:type="dxa"/>
            <w:vAlign w:val="bottom"/>
            <w:vMerge w:val="restart"/>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5"/>
        </w:trPr>
        <w:tc>
          <w:tcPr>
            <w:tcW w:w="1000" w:type="dxa"/>
            <w:vAlign w:val="bottom"/>
            <w:gridSpan w:val="3"/>
          </w:tcPr>
          <w:p>
            <w:pPr>
              <w:ind w:left="20"/>
              <w:spacing w:after="0"/>
              <w:rPr>
                <w:sz w:val="20"/>
                <w:szCs w:val="20"/>
                <w:color w:val="auto"/>
              </w:rPr>
            </w:pPr>
            <w:r>
              <w:rPr>
                <w:rFonts w:ascii="Arial" w:cs="Arial" w:eastAsia="Arial" w:hAnsi="Arial"/>
                <w:sz w:val="11"/>
                <w:szCs w:val="11"/>
                <w:color w:val="auto"/>
              </w:rPr>
              <w:t>Broadway (7)</w:t>
            </w: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86"/>
              </w:rPr>
              <w:t>885</w:t>
            </w:r>
          </w:p>
        </w:tc>
        <w:tc>
          <w:tcPr>
            <w:tcW w:w="800" w:type="dxa"/>
            <w:vAlign w:val="bottom"/>
            <w:gridSpan w:val="2"/>
            <w:shd w:val="clear" w:color="auto" w:fill="CCEEFF"/>
          </w:tcPr>
          <w:p>
            <w:pPr>
              <w:spacing w:after="0" w:line="110" w:lineRule="exact"/>
              <w:rPr>
                <w:sz w:val="20"/>
                <w:szCs w:val="20"/>
                <w:color w:val="auto"/>
              </w:rPr>
            </w:pPr>
            <w:r>
              <w:rPr>
                <w:rFonts w:ascii="Arial" w:cs="Arial" w:eastAsia="Arial" w:hAnsi="Arial"/>
                <w:sz w:val="11"/>
                <w:szCs w:val="11"/>
                <w:color w:val="auto"/>
              </w:rPr>
              <w:t>Third Avenue</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138,444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244,040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(138,444)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(136,174)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107,866</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107,866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6,664</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1986</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07/2020</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6"/>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(8)</w:t>
            </w: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0" w:type="dxa"/>
            <w:vAlign w:val="bottom"/>
          </w:tcPr>
          <w:p>
            <w:pPr>
              <w:ind w:left="20"/>
              <w:spacing w:after="0"/>
              <w:rPr>
                <w:sz w:val="20"/>
                <w:szCs w:val="20"/>
                <w:color w:val="auto"/>
              </w:rPr>
            </w:pPr>
            <w:r>
              <w:rPr>
                <w:rFonts w:ascii="Arial" w:cs="Arial" w:eastAsia="Arial" w:hAnsi="Arial"/>
                <w:sz w:val="11"/>
                <w:szCs w:val="11"/>
                <w:color w:val="auto"/>
                <w:w w:val="86"/>
              </w:rPr>
              <w:t>690</w:t>
            </w:r>
          </w:p>
        </w:tc>
        <w:tc>
          <w:tcPr>
            <w:tcW w:w="800" w:type="dxa"/>
            <w:vAlign w:val="bottom"/>
            <w:gridSpan w:val="2"/>
          </w:tcPr>
          <w:p>
            <w:pPr>
              <w:spacing w:after="0"/>
              <w:rPr>
                <w:sz w:val="20"/>
                <w:szCs w:val="20"/>
                <w:color w:val="auto"/>
              </w:rPr>
            </w:pPr>
            <w:r>
              <w:rPr>
                <w:rFonts w:ascii="Arial" w:cs="Arial" w:eastAsia="Arial" w:hAnsi="Arial"/>
                <w:sz w:val="11"/>
                <w:szCs w:val="11"/>
                <w:color w:val="auto"/>
              </w:rPr>
              <w:t>Madison</w:t>
            </w: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60,000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13,820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51,732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13,820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51,760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65,580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2,044</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1879</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09/2021</w:t>
            </w:r>
          </w:p>
        </w:tc>
        <w:tc>
          <w:tcPr>
            <w:tcW w:w="10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86"/>
              </w:rPr>
              <w:t>245</w:t>
            </w:r>
          </w:p>
        </w:tc>
        <w:tc>
          <w:tcPr>
            <w:tcW w:w="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Park Avenue</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1,712,750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505,458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1,394,584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14,597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505,458</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1,409,181</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1,914,639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20,877</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1966</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09/2022</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38"/>
        </w:trPr>
        <w:tc>
          <w:tcPr>
            <w:tcW w:w="1000" w:type="dxa"/>
            <w:vAlign w:val="bottom"/>
            <w:gridSpan w:val="3"/>
          </w:tcPr>
          <w:p>
            <w:pPr>
              <w:ind w:left="20"/>
              <w:spacing w:after="0"/>
              <w:rPr>
                <w:sz w:val="20"/>
                <w:szCs w:val="20"/>
                <w:color w:val="auto"/>
              </w:rPr>
            </w:pPr>
            <w:r>
              <w:rPr>
                <w:rFonts w:ascii="Arial" w:cs="Arial" w:eastAsia="Arial" w:hAnsi="Arial"/>
                <w:sz w:val="11"/>
                <w:szCs w:val="11"/>
                <w:color w:val="auto"/>
              </w:rPr>
              <w:t>Other (9)</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1,734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16,224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610,711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1,734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626,935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628,669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22,567</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3,235,962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9"/>
              </w:rPr>
              <w:t>1,697,226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6,181,796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(120,297)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1,440,076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5"/>
              </w:rPr>
              <w:t>1,576,927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7,621,872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7"/>
              </w:rPr>
              <w:t>9,198,799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2,039,554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0" w:hanging="394"/>
        <w:spacing w:after="0"/>
        <w:tabs>
          <w:tab w:leader="none" w:pos="4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Includes depreciable real estate reserves and impairments recorded subsequent to acquisition.</w:t>
      </w:r>
    </w:p>
    <w:p>
      <w:pPr>
        <w:spacing w:after="0" w:line="21" w:lineRule="exact"/>
        <w:rPr>
          <w:rFonts w:ascii="Arial" w:cs="Arial" w:eastAsia="Arial" w:hAnsi="Arial"/>
          <w:sz w:val="12"/>
          <w:szCs w:val="12"/>
          <w:color w:val="auto"/>
        </w:rPr>
      </w:pPr>
    </w:p>
    <w:p>
      <w:pPr>
        <w:ind w:left="400" w:hanging="394"/>
        <w:spacing w:after="0"/>
        <w:tabs>
          <w:tab w:leader="none" w:pos="4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All properties located in New York, New York unless otherwise noted.</w:t>
      </w:r>
    </w:p>
    <w:p>
      <w:pPr>
        <w:spacing w:after="0" w:line="18" w:lineRule="exact"/>
        <w:rPr>
          <w:rFonts w:ascii="Arial" w:cs="Arial" w:eastAsia="Arial" w:hAnsi="Arial"/>
          <w:sz w:val="12"/>
          <w:szCs w:val="12"/>
          <w:color w:val="auto"/>
        </w:rPr>
      </w:pPr>
    </w:p>
    <w:p>
      <w:pPr>
        <w:ind w:left="400" w:hanging="394"/>
        <w:spacing w:after="0"/>
        <w:tabs>
          <w:tab w:leader="none" w:pos="4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Includes right of use lease assets.</w:t>
      </w:r>
    </w:p>
    <w:p>
      <w:pPr>
        <w:spacing w:after="0" w:line="8" w:lineRule="exact"/>
        <w:rPr>
          <w:rFonts w:ascii="Arial" w:cs="Arial" w:eastAsia="Arial" w:hAnsi="Arial"/>
          <w:sz w:val="12"/>
          <w:szCs w:val="12"/>
          <w:color w:val="auto"/>
        </w:rPr>
      </w:pPr>
    </w:p>
    <w:p>
      <w:pPr>
        <w:ind w:left="400" w:hanging="394"/>
        <w:spacing w:after="0"/>
        <w:tabs>
          <w:tab w:leader="none" w:pos="4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Property located in Connecticut.</w:t>
      </w:r>
    </w:p>
    <w:p>
      <w:pPr>
        <w:spacing w:after="0" w:line="8" w:lineRule="exact"/>
        <w:rPr>
          <w:rFonts w:ascii="Arial" w:cs="Arial" w:eastAsia="Arial" w:hAnsi="Arial"/>
          <w:sz w:val="12"/>
          <w:szCs w:val="12"/>
          <w:color w:val="auto"/>
        </w:rPr>
      </w:pPr>
    </w:p>
    <w:p>
      <w:pPr>
        <w:ind w:left="400" w:hanging="394"/>
        <w:spacing w:after="0"/>
        <w:tabs>
          <w:tab w:leader="none" w:pos="4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Includes amounts attributable to the property at 762 Madison Avenue, which is part of this development project.</w:t>
      </w:r>
    </w:p>
    <w:p>
      <w:pPr>
        <w:spacing w:after="0" w:line="8" w:lineRule="exact"/>
        <w:rPr>
          <w:rFonts w:ascii="Arial" w:cs="Arial" w:eastAsia="Arial" w:hAnsi="Arial"/>
          <w:sz w:val="12"/>
          <w:szCs w:val="12"/>
          <w:color w:val="auto"/>
        </w:rPr>
      </w:pPr>
    </w:p>
    <w:p>
      <w:pPr>
        <w:ind w:left="400" w:hanging="394"/>
        <w:spacing w:after="0"/>
        <w:tabs>
          <w:tab w:leader="none" w:pos="4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We own a 75.0% interest in this property.</w:t>
      </w:r>
    </w:p>
    <w:p>
      <w:pPr>
        <w:spacing w:after="0" w:line="8" w:lineRule="exact"/>
        <w:rPr>
          <w:rFonts w:ascii="Arial" w:cs="Arial" w:eastAsia="Arial" w:hAnsi="Arial"/>
          <w:sz w:val="12"/>
          <w:szCs w:val="12"/>
          <w:color w:val="auto"/>
        </w:rPr>
      </w:pPr>
    </w:p>
    <w:p>
      <w:pPr>
        <w:ind w:left="400" w:hanging="394"/>
        <w:spacing w:after="0"/>
        <w:tabs>
          <w:tab w:leader="none" w:pos="4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Properties at 5-7 Dey Street, 183 Broadway, and 185 Broadway were demolished in preparation of the development site for the 7 Dey / 185 Broadway project.</w:t>
      </w:r>
    </w:p>
    <w:p>
      <w:pPr>
        <w:spacing w:after="0" w:line="11" w:lineRule="exact"/>
        <w:rPr>
          <w:rFonts w:ascii="Arial" w:cs="Arial" w:eastAsia="Arial" w:hAnsi="Arial"/>
          <w:sz w:val="12"/>
          <w:szCs w:val="12"/>
          <w:color w:val="auto"/>
        </w:rPr>
      </w:pPr>
    </w:p>
    <w:p>
      <w:pPr>
        <w:ind w:left="400" w:hanging="394"/>
        <w:spacing w:after="0"/>
        <w:tabs>
          <w:tab w:leader="none" w:pos="4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 December 2022, the Company sold 414,317 square feet of office leasehold condominium units at the property. The Company retained the remaining 218,796 square feet of the building.</w:t>
      </w:r>
    </w:p>
    <w:p>
      <w:pPr>
        <w:spacing w:after="0" w:line="18" w:lineRule="exact"/>
        <w:rPr>
          <w:rFonts w:ascii="Arial" w:cs="Arial" w:eastAsia="Arial" w:hAnsi="Arial"/>
          <w:sz w:val="12"/>
          <w:szCs w:val="12"/>
          <w:color w:val="auto"/>
        </w:rPr>
      </w:pPr>
    </w:p>
    <w:p>
      <w:pPr>
        <w:ind w:left="400" w:hanging="394"/>
        <w:spacing w:after="0"/>
        <w:tabs>
          <w:tab w:leader="none" w:pos="4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Other includes tenant improvements of eEmerge, capitalized interest and corporate improvements.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 Real Estate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real estate for the years ended December 31, 2022, 2021 and 2020 are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5"/>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7,650,907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7,355,079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8,784,567</w:t>
            </w:r>
          </w:p>
        </w:tc>
      </w:tr>
      <w:tr>
        <w:trPr>
          <w:trHeight w:val="211"/>
        </w:trPr>
        <w:tc>
          <w:tcPr>
            <w:tcW w:w="6720" w:type="dxa"/>
            <w:vAlign w:val="bottom"/>
          </w:tcPr>
          <w:p>
            <w:pPr>
              <w:ind w:left="20"/>
              <w:spacing w:after="0"/>
              <w:rPr>
                <w:sz w:val="20"/>
                <w:szCs w:val="20"/>
                <w:color w:val="auto"/>
              </w:rPr>
            </w:pPr>
            <w:r>
              <w:rPr>
                <w:rFonts w:ascii="Arial" w:cs="Arial" w:eastAsia="Arial" w:hAnsi="Arial"/>
                <w:sz w:val="16"/>
                <w:szCs w:val="16"/>
                <w:color w:val="auto"/>
              </w:rPr>
              <w:t>Property acquisitions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1,900,042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124,103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178,635</w:t>
            </w: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Improvements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335,413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296,876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481,327</w:t>
            </w:r>
          </w:p>
        </w:tc>
      </w:tr>
      <w:tr>
        <w:trPr>
          <w:trHeight w:val="211"/>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Retirements/disposals/deconsolidation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(687,563)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(2,089,450)</w:t>
            </w:r>
          </w:p>
        </w:tc>
      </w:tr>
      <w:tr>
        <w:trPr>
          <w:trHeight w:val="23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9,198,799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7,650,907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7,355,079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460" w:firstLine="439"/>
        <w:spacing w:after="0" w:line="266" w:lineRule="auto"/>
        <w:rPr>
          <w:sz w:val="20"/>
          <w:szCs w:val="20"/>
          <w:color w:val="auto"/>
        </w:rPr>
      </w:pPr>
      <w:r>
        <w:rPr>
          <w:rFonts w:ascii="Arial" w:cs="Arial" w:eastAsia="Arial" w:hAnsi="Arial"/>
          <w:sz w:val="18"/>
          <w:szCs w:val="18"/>
          <w:color w:val="auto"/>
        </w:rPr>
        <w:t>The aggregate cost of land, buildings and improvements, before depreciation, for Federal income tax purposes as of December 31, 2022 was $6.4 billion (unaudited).</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accumulated depreciation, exclusive of amounts relating to equipment, autos, and furniture and fixtures, for the years ended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and 2020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2020</w:t>
            </w:r>
          </w:p>
        </w:tc>
      </w:tr>
      <w:tr>
        <w:trPr>
          <w:trHeight w:val="25"/>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1,896,199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1,956,077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2,060,560</w:t>
            </w:r>
          </w:p>
        </w:tc>
      </w:tr>
      <w:tr>
        <w:trPr>
          <w:trHeight w:val="211"/>
        </w:trPr>
        <w:tc>
          <w:tcPr>
            <w:tcW w:w="6920" w:type="dxa"/>
            <w:vAlign w:val="bottom"/>
          </w:tcPr>
          <w:p>
            <w:pPr>
              <w:ind w:left="20"/>
              <w:spacing w:after="0"/>
              <w:rPr>
                <w:sz w:val="20"/>
                <w:szCs w:val="20"/>
                <w:color w:val="auto"/>
              </w:rPr>
            </w:pPr>
            <w:r>
              <w:rPr>
                <w:rFonts w:ascii="Arial" w:cs="Arial" w:eastAsia="Arial" w:hAnsi="Arial"/>
                <w:sz w:val="16"/>
                <w:szCs w:val="16"/>
                <w:color w:val="auto"/>
              </w:rPr>
              <w:t>Depreciation for year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175,465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174,219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270,843</w:t>
            </w:r>
          </w:p>
        </w:tc>
      </w:tr>
      <w:tr>
        <w:trPr>
          <w:trHeight w:val="21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Retirements/disposals/deconsolidation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(32,110)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(234,097)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(375,326)</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2,039,554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1,896,199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1,956,077</w:t>
            </w: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right="79"/>
        <w:spacing w:after="0" w:line="39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30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 GREEN REALTY CORP.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jc w:val="both"/>
        <w:ind w:firstLine="399"/>
        <w:spacing w:after="0" w:line="285"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63"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8"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The Company is responsible for establishing and maintaining adequate internal control over financial reporting, as such term is defined in Exchange Act Rules 13a-15(f) and 15d-15(f). Under the supervision and with the participation of the Company's management, including our Chief Executive Officer and Chief Financial Officer, the Company conducted an evaluation of the effectiveness of our internal control over financial reporting as of December 31, 2022 based on the framework in Internal Control—Integrated Framework issued by the Committee of Sponsoring Organizations of the Treadway Commission (2013 Framework) (COSO). Based on that evaluation, the Company concluded that its internal control over financial reporting was effective as of December 31, 2022.</w:t>
      </w:r>
    </w:p>
    <w:p>
      <w:pPr>
        <w:spacing w:after="0" w:line="91"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83"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Ernst &amp; Young LLP, an independent registered public accounting firm, as stated in their report which appears herein.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There have been no significant changes in the Company's internal control over financial reporting during the year ended December 31, 2022 that has materially affected, or is reasonably likely to materially affect, its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 GREEN OPERATING PARTNERSHIP, L.P.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The Operating Partnership maintains disclosure controls and procedures that are designed to ensure that information required to be disclosed in the Operating Partnership's Exchange Act reports is recorded, processed, summarized and reported within the time periods specified in the SEC’s rules and forms, and that such information is accumulated and communicated to the Operating Partnership's management, including the Chief Executive Officer and Chief Financial Officer of the Operating Partnership's general partner,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Operating Partnership to disclose material information otherwise required to be set forth in the Operating Partnership's periodic reports. Also, the Operating Partnership has investments in certain unconsolidated entities. As the Operating Partnership does not control these entities, the Operating Partnership's disclosure controls and procedures with respect to such entities are necessarily substantially more limited than those it maintains with respect to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As of the end of the period covered by this report, the Operating Partnership carried out an evaluation, under the supervision and with the participation of management, including the Chief Executive Officer and Chief Financial Officer of the Operating Partnership's general partner, of the effectiveness of the design and operation of the Operating Partnership's disclosure controls and procedures. Based upon that evaluation as of the end of the period covered by this report, the Chief Executive Officer and Chief Financial Officer of the Operating Partnership's general partner concluded that the Operating Partnership's disclosure controls and procedures were effective to give reasonable assurances to the timely collection, evaluation and disclosure of information relating to the Operating Partnership that would potentially be subject to disclosure under the Exchange Act and the rules and regulations promulgated thereunder.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8"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The Operating Partnership is responsible for establishing and maintaining adequate internal control over financial reporting, as such term is defined in Exchange Act Rules 13a-15 (f) and 15d-15 (f). Under the supervision and with the participation of our management, including the Chief Executive Officer and Chief Financial Officer of the Operating Partnership's general partner, the Operating Partnership conducted an evaluation of the effectiveness of its internal control over financial reporting as of December 31, 2022 based on the framework in Internal Control-Integrated Framework issued by the Committee of Sponsoring Organizations of the Treadway Commission (2013 Framework) (COSO). Based on that evaluation, the Operating Partnership concluded that its internal control over financial reporting was effective as of December 31, 2022.</w:t>
      </w:r>
    </w:p>
    <w:p>
      <w:pPr>
        <w:spacing w:after="0" w:line="75"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83"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effectiveness of the Operating Partnership's internal control over financial reporting as of December 31, 2022 has been audited by Ernst &amp; Young LLP, an independent registered public accounting firm, as stated in their report which appears herein.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There have been no significant changes in the Operating Partnership's internal control over financial reporting during the year ended December 31, 2022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right="3400" w:firstLine="3397"/>
        <w:spacing w:after="0" w:line="43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SL Green Realty Corp.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SL Green Realty Corp.'s internal control over financial reporting as of December 31, 2022, based on criteria established in Internal Control-Integrated Framework issued by the Committee of Sponsoring Organizations of the Treadway Commission (2013 framework) (the COSO criteria). In our opinion, SL Green Realty Corp. (the Company) maintained, in all material respects, effective internal control over financial reporting as of December 31, 2022, based on the COSO criteria.</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2022 consolidated financial statements of the Company and our report dated February 16, 2023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right="3400" w:firstLine="3397"/>
        <w:spacing w:after="0" w:line="43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Partners of SL Green Operating Partnership, L.P.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have audited SL Green Operating Partnership, L.P.'s internal control over financial reporting as of December 31, 2022, based on criteria established in Internal Control-Integrated Framework issued by the Committee of Sponsoring Organizations of the Treadway Commission (2013 framework) (the COSO criteria). In our opinion, SL Green Operating Partnership, L.P. (the Operating Partnership) maintained, in all material respects, effective internal control over financial reporting as of December 31, 2022, based on the COSO criteria.</w:t>
      </w:r>
    </w:p>
    <w:p>
      <w:pPr>
        <w:spacing w:after="0" w:line="8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2022 consolidated financial statements of the Operating Partnership and our report dated February 16, 2023 expressed an unqualified opinion thereon.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Operating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Operating Partnership's internal control over financial reporting based on our audit.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1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information required by Item 10 will be set forth in our Definitive Proxy Statement for our 2023 Annual Meeting of Stockholders, to be filed pursuant to Regulation 14A under the Securities and Exchange Act of 1934, as amended, on or prior to April 30, 2023, or the 2023 Proxy Statement, and is incorporated herein by reference.</w:t>
      </w:r>
    </w:p>
    <w:p>
      <w:pPr>
        <w:spacing w:after="0" w:line="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Item 11 will be set forth in the 2023 Proxy Statement and is incorporated herein by reference.</w:t>
      </w:r>
    </w:p>
    <w:p>
      <w:pPr>
        <w:spacing w:after="0" w:line="106" w:lineRule="exact"/>
        <w:rPr>
          <w:sz w:val="20"/>
          <w:szCs w:val="20"/>
          <w:color w:val="auto"/>
        </w:rPr>
      </w:pPr>
    </w:p>
    <w:p>
      <w:pPr>
        <w:ind w:right="580"/>
        <w:spacing w:after="0" w:line="273"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Item 12 will be set forth in the 2023 Proxy Statement and is incorporated herein by reference.</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Item 13 will be set forth under in the 2023 Proxy Statement and is incorporated herein by reference.</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18"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The information regarding principal accounting fees and services and the audit committee's pre-approval policies and procedures required by this Item 14 will be set forth in the 2023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93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880" w:type="dxa"/>
            <w:vAlign w:val="bottom"/>
          </w:tcPr>
          <w:p>
            <w:pPr>
              <w:spacing w:after="0"/>
              <w:rPr>
                <w:sz w:val="17"/>
                <w:szCs w:val="17"/>
                <w:color w:val="auto"/>
              </w:rPr>
            </w:pPr>
          </w:p>
        </w:tc>
      </w:tr>
      <w:tr>
        <w:trPr>
          <w:trHeight w:val="777"/>
        </w:trPr>
        <w:tc>
          <w:tcPr>
            <w:tcW w:w="1260" w:type="dxa"/>
            <w:vAlign w:val="bottom"/>
            <w:tcBorders>
              <w:top w:val="single" w:sz="8" w:color="0000FF"/>
            </w:tcBorders>
          </w:tcPr>
          <w:p>
            <w:pPr>
              <w:spacing w:after="0"/>
              <w:rPr>
                <w:sz w:val="24"/>
                <w:szCs w:val="24"/>
                <w:color w:val="auto"/>
              </w:rPr>
            </w:pPr>
          </w:p>
        </w:tc>
        <w:tc>
          <w:tcPr>
            <w:tcW w:w="8060" w:type="dxa"/>
            <w:vAlign w:val="bottom"/>
          </w:tcPr>
          <w:p>
            <w:pPr>
              <w:ind w:left="4020"/>
              <w:spacing w:after="0"/>
              <w:rPr>
                <w:sz w:val="20"/>
                <w:szCs w:val="20"/>
                <w:color w:val="auto"/>
              </w:rPr>
            </w:pPr>
            <w:r>
              <w:rPr>
                <w:rFonts w:ascii="Arial" w:cs="Arial" w:eastAsia="Arial" w:hAnsi="Arial"/>
                <w:sz w:val="18"/>
                <w:szCs w:val="18"/>
                <w:b w:val="1"/>
                <w:bCs w:val="1"/>
                <w:color w:val="auto"/>
              </w:rPr>
              <w:t>PART IV</w:t>
            </w:r>
          </w:p>
        </w:tc>
        <w:tc>
          <w:tcPr>
            <w:tcW w:w="1880" w:type="dxa"/>
            <w:vAlign w:val="bottom"/>
          </w:tcPr>
          <w:p>
            <w:pPr>
              <w:spacing w:after="0"/>
              <w:rPr>
                <w:sz w:val="24"/>
                <w:szCs w:val="24"/>
                <w:color w:val="auto"/>
              </w:rPr>
            </w:pPr>
          </w:p>
        </w:tc>
      </w:tr>
      <w:tr>
        <w:trPr>
          <w:trHeight w:val="373"/>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FINANCIAL STATEMENTS AND SCHEDULES</w:t>
            </w:r>
          </w:p>
        </w:tc>
        <w:tc>
          <w:tcPr>
            <w:tcW w:w="1880" w:type="dxa"/>
            <w:vAlign w:val="bottom"/>
          </w:tcPr>
          <w:p>
            <w:pPr>
              <w:spacing w:after="0"/>
              <w:rPr>
                <w:sz w:val="24"/>
                <w:szCs w:val="24"/>
                <w:color w:val="auto"/>
              </w:rPr>
            </w:pPr>
          </w:p>
        </w:tc>
      </w:tr>
      <w:tr>
        <w:trPr>
          <w:trHeight w:val="373"/>
        </w:trPr>
        <w:tc>
          <w:tcPr>
            <w:tcW w:w="9320" w:type="dxa"/>
            <w:vAlign w:val="bottom"/>
            <w:gridSpan w:val="2"/>
          </w:tcPr>
          <w:p>
            <w:pPr>
              <w:spacing w:after="0"/>
              <w:rPr>
                <w:sz w:val="20"/>
                <w:szCs w:val="20"/>
                <w:color w:val="auto"/>
              </w:rPr>
            </w:pPr>
            <w:r>
              <w:rPr>
                <w:rFonts w:ascii="Arial" w:cs="Arial" w:eastAsia="Arial" w:hAnsi="Arial"/>
                <w:sz w:val="18"/>
                <w:szCs w:val="18"/>
                <w:color w:val="auto"/>
              </w:rPr>
              <w:t>(a)(1) Consolidated Financial Statements</w:t>
            </w:r>
          </w:p>
        </w:tc>
        <w:tc>
          <w:tcPr>
            <w:tcW w:w="1880" w:type="dxa"/>
            <w:vAlign w:val="bottom"/>
          </w:tcPr>
          <w:p>
            <w:pPr>
              <w:spacing w:after="0"/>
              <w:rPr>
                <w:sz w:val="24"/>
                <w:szCs w:val="24"/>
                <w:color w:val="auto"/>
              </w:rPr>
            </w:pPr>
          </w:p>
        </w:tc>
      </w:tr>
      <w:tr>
        <w:trPr>
          <w:trHeight w:val="679"/>
        </w:trPr>
        <w:tc>
          <w:tcPr>
            <w:tcW w:w="9320" w:type="dxa"/>
            <w:vAlign w:val="bottom"/>
            <w:gridSpan w:val="2"/>
          </w:tcPr>
          <w:p>
            <w:pPr>
              <w:ind w:left="20"/>
              <w:spacing w:after="0"/>
              <w:rPr>
                <w:sz w:val="20"/>
                <w:szCs w:val="20"/>
                <w:color w:val="auto"/>
              </w:rPr>
            </w:pPr>
            <w:r>
              <w:rPr>
                <w:rFonts w:ascii="Arial" w:cs="Arial" w:eastAsia="Arial" w:hAnsi="Arial"/>
                <w:sz w:val="18"/>
                <w:szCs w:val="18"/>
                <w:b w:val="1"/>
                <w:bCs w:val="1"/>
                <w:color w:val="auto"/>
              </w:rPr>
              <w:t>SL GREEN REALTY CORP.</w:t>
            </w:r>
          </w:p>
        </w:tc>
        <w:tc>
          <w:tcPr>
            <w:tcW w:w="1880" w:type="dxa"/>
            <w:vAlign w:val="bottom"/>
          </w:tcPr>
          <w:p>
            <w:pPr>
              <w:spacing w:after="0"/>
              <w:rPr>
                <w:sz w:val="24"/>
                <w:szCs w:val="24"/>
                <w:color w:val="auto"/>
              </w:rPr>
            </w:pP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1880" w:type="dxa"/>
            <w:vAlign w:val="bottom"/>
          </w:tcPr>
          <w:p>
            <w:pPr>
              <w:jc w:val="right"/>
              <w:spacing w:after="0"/>
              <w:rPr>
                <w:sz w:val="20"/>
                <w:szCs w:val="20"/>
                <w:color w:val="auto"/>
              </w:rPr>
            </w:pPr>
            <w:r>
              <w:rPr>
                <w:rFonts w:ascii="Arial" w:cs="Arial" w:eastAsia="Arial" w:hAnsi="Arial"/>
                <w:sz w:val="18"/>
                <w:szCs w:val="18"/>
                <w:color w:val="0000FF"/>
              </w:rPr>
              <w:t>58</w:t>
            </w: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 as of December 31, 2022 and 2021</w:t>
            </w:r>
          </w:p>
        </w:tc>
        <w:tc>
          <w:tcPr>
            <w:tcW w:w="1880" w:type="dxa"/>
            <w:vAlign w:val="bottom"/>
          </w:tcPr>
          <w:p>
            <w:pPr>
              <w:jc w:val="right"/>
              <w:spacing w:after="0"/>
              <w:rPr>
                <w:sz w:val="20"/>
                <w:szCs w:val="20"/>
                <w:color w:val="auto"/>
              </w:rPr>
            </w:pPr>
            <w:r>
              <w:rPr>
                <w:rFonts w:ascii="Arial" w:cs="Arial" w:eastAsia="Arial" w:hAnsi="Arial"/>
                <w:sz w:val="18"/>
                <w:szCs w:val="18"/>
                <w:color w:val="0000FF"/>
              </w:rPr>
              <w:t>60</w:t>
            </w: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Operations for the years ended December 31, 2022, 2021 and 2020</w:t>
            </w:r>
          </w:p>
        </w:tc>
        <w:tc>
          <w:tcPr>
            <w:tcW w:w="1880" w:type="dxa"/>
            <w:vAlign w:val="bottom"/>
          </w:tcPr>
          <w:p>
            <w:pPr>
              <w:jc w:val="right"/>
              <w:spacing w:after="0"/>
              <w:rPr>
                <w:sz w:val="20"/>
                <w:szCs w:val="20"/>
                <w:color w:val="auto"/>
              </w:rPr>
            </w:pPr>
            <w:r>
              <w:rPr>
                <w:rFonts w:ascii="Arial" w:cs="Arial" w:eastAsia="Arial" w:hAnsi="Arial"/>
                <w:sz w:val="18"/>
                <w:szCs w:val="18"/>
                <w:color w:val="0000FF"/>
              </w:rPr>
              <w:t>62</w:t>
            </w: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 for the years ended December 31, 2022, 2021 and 2020</w:t>
            </w:r>
          </w:p>
        </w:tc>
        <w:tc>
          <w:tcPr>
            <w:tcW w:w="1880" w:type="dxa"/>
            <w:vAlign w:val="bottom"/>
          </w:tcPr>
          <w:p>
            <w:pPr>
              <w:jc w:val="right"/>
              <w:spacing w:after="0"/>
              <w:rPr>
                <w:sz w:val="20"/>
                <w:szCs w:val="20"/>
                <w:color w:val="auto"/>
              </w:rPr>
            </w:pPr>
            <w:r>
              <w:rPr>
                <w:rFonts w:ascii="Arial" w:cs="Arial" w:eastAsia="Arial" w:hAnsi="Arial"/>
                <w:sz w:val="18"/>
                <w:szCs w:val="18"/>
                <w:color w:val="0000FF"/>
              </w:rPr>
              <w:t>63</w:t>
            </w: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Equity for the years ended December 31, 2022, 2021 and 2020</w:t>
            </w:r>
          </w:p>
        </w:tc>
        <w:tc>
          <w:tcPr>
            <w:tcW w:w="1880" w:type="dxa"/>
            <w:vAlign w:val="bottom"/>
          </w:tcPr>
          <w:p>
            <w:pPr>
              <w:jc w:val="right"/>
              <w:spacing w:after="0"/>
              <w:rPr>
                <w:sz w:val="20"/>
                <w:szCs w:val="20"/>
                <w:color w:val="auto"/>
              </w:rPr>
            </w:pPr>
            <w:r>
              <w:rPr>
                <w:rFonts w:ascii="Arial" w:cs="Arial" w:eastAsia="Arial" w:hAnsi="Arial"/>
                <w:sz w:val="18"/>
                <w:szCs w:val="18"/>
                <w:color w:val="0000FF"/>
              </w:rPr>
              <w:t>64</w:t>
            </w:r>
          </w:p>
        </w:tc>
      </w:tr>
      <w:tr>
        <w:trPr>
          <w:trHeight w:val="222"/>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tc>
        <w:tc>
          <w:tcPr>
            <w:tcW w:w="1880" w:type="dxa"/>
            <w:vAlign w:val="bottom"/>
          </w:tcPr>
          <w:p>
            <w:pPr>
              <w:jc w:val="right"/>
              <w:spacing w:after="0"/>
              <w:rPr>
                <w:sz w:val="20"/>
                <w:szCs w:val="20"/>
                <w:color w:val="auto"/>
              </w:rPr>
            </w:pPr>
            <w:r>
              <w:rPr>
                <w:rFonts w:ascii="Arial" w:cs="Arial" w:eastAsia="Arial" w:hAnsi="Arial"/>
                <w:sz w:val="18"/>
                <w:szCs w:val="18"/>
                <w:color w:val="0000FF"/>
              </w:rPr>
              <w:t>66</w:t>
            </w:r>
          </w:p>
        </w:tc>
      </w:tr>
      <w:tr>
        <w:trPr>
          <w:trHeight w:val="230"/>
        </w:trPr>
        <w:tc>
          <w:tcPr>
            <w:tcW w:w="9320" w:type="dxa"/>
            <w:vAlign w:val="bottom"/>
            <w:gridSpan w:val="2"/>
          </w:tcPr>
          <w:p>
            <w:pPr>
              <w:ind w:left="20"/>
              <w:spacing w:after="0"/>
              <w:rPr>
                <w:sz w:val="20"/>
                <w:szCs w:val="20"/>
                <w:color w:val="auto"/>
              </w:rPr>
            </w:pPr>
            <w:r>
              <w:rPr>
                <w:rFonts w:ascii="Arial" w:cs="Arial" w:eastAsia="Arial" w:hAnsi="Arial"/>
                <w:sz w:val="18"/>
                <w:szCs w:val="18"/>
                <w:b w:val="1"/>
                <w:bCs w:val="1"/>
                <w:color w:val="auto"/>
              </w:rPr>
              <w:t>SL GREEN OPERATING PARTNERSHIP, L.P.</w:t>
            </w:r>
          </w:p>
        </w:tc>
        <w:tc>
          <w:tcPr>
            <w:tcW w:w="1880" w:type="dxa"/>
            <w:vAlign w:val="bottom"/>
          </w:tcPr>
          <w:p>
            <w:pPr>
              <w:spacing w:after="0"/>
              <w:rPr>
                <w:sz w:val="20"/>
                <w:szCs w:val="20"/>
                <w:color w:val="auto"/>
              </w:rPr>
            </w:pP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1880" w:type="dxa"/>
            <w:vAlign w:val="bottom"/>
          </w:tcPr>
          <w:p>
            <w:pPr>
              <w:jc w:val="right"/>
              <w:spacing w:after="0"/>
              <w:rPr>
                <w:sz w:val="20"/>
                <w:szCs w:val="20"/>
                <w:color w:val="auto"/>
              </w:rPr>
            </w:pPr>
            <w:r>
              <w:rPr>
                <w:rFonts w:ascii="Arial" w:cs="Arial" w:eastAsia="Arial" w:hAnsi="Arial"/>
                <w:sz w:val="18"/>
                <w:szCs w:val="18"/>
                <w:color w:val="0000FF"/>
              </w:rPr>
              <w:t>69</w:t>
            </w: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 as of December 31, 2022 and 2021</w:t>
            </w:r>
          </w:p>
        </w:tc>
        <w:tc>
          <w:tcPr>
            <w:tcW w:w="1880" w:type="dxa"/>
            <w:vAlign w:val="bottom"/>
          </w:tcPr>
          <w:p>
            <w:pPr>
              <w:jc w:val="right"/>
              <w:spacing w:after="0"/>
              <w:rPr>
                <w:sz w:val="20"/>
                <w:szCs w:val="20"/>
                <w:color w:val="auto"/>
              </w:rPr>
            </w:pPr>
            <w:r>
              <w:rPr>
                <w:rFonts w:ascii="Arial" w:cs="Arial" w:eastAsia="Arial" w:hAnsi="Arial"/>
                <w:sz w:val="18"/>
                <w:szCs w:val="18"/>
                <w:color w:val="0000FF"/>
              </w:rPr>
              <w:t>71</w:t>
            </w: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Operations for the years ended December 31, 2022, 2021 and 2020</w:t>
            </w:r>
          </w:p>
        </w:tc>
        <w:tc>
          <w:tcPr>
            <w:tcW w:w="1880" w:type="dxa"/>
            <w:vAlign w:val="bottom"/>
          </w:tcPr>
          <w:p>
            <w:pPr>
              <w:jc w:val="right"/>
              <w:spacing w:after="0"/>
              <w:rPr>
                <w:sz w:val="20"/>
                <w:szCs w:val="20"/>
                <w:color w:val="auto"/>
              </w:rPr>
            </w:pPr>
            <w:r>
              <w:rPr>
                <w:rFonts w:ascii="Arial" w:cs="Arial" w:eastAsia="Arial" w:hAnsi="Arial"/>
                <w:sz w:val="18"/>
                <w:szCs w:val="18"/>
                <w:color w:val="0000FF"/>
              </w:rPr>
              <w:t>73</w:t>
            </w: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 for the years ended December 31, 2022, 2021 and 2020</w:t>
            </w:r>
          </w:p>
        </w:tc>
        <w:tc>
          <w:tcPr>
            <w:tcW w:w="1880" w:type="dxa"/>
            <w:vAlign w:val="bottom"/>
          </w:tcPr>
          <w:p>
            <w:pPr>
              <w:jc w:val="right"/>
              <w:spacing w:after="0"/>
              <w:rPr>
                <w:sz w:val="20"/>
                <w:szCs w:val="20"/>
                <w:color w:val="auto"/>
              </w:rPr>
            </w:pPr>
            <w:r>
              <w:rPr>
                <w:rFonts w:ascii="Arial" w:cs="Arial" w:eastAsia="Arial" w:hAnsi="Arial"/>
                <w:sz w:val="18"/>
                <w:szCs w:val="18"/>
                <w:color w:val="0000FF"/>
              </w:rPr>
              <w:t>74</w:t>
            </w: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Equity for the years ended December 31, 2022, 2021 and 2020</w:t>
            </w:r>
          </w:p>
        </w:tc>
        <w:tc>
          <w:tcPr>
            <w:tcW w:w="1880" w:type="dxa"/>
            <w:vAlign w:val="bottom"/>
          </w:tcPr>
          <w:p>
            <w:pPr>
              <w:jc w:val="right"/>
              <w:spacing w:after="0"/>
              <w:rPr>
                <w:sz w:val="20"/>
                <w:szCs w:val="20"/>
                <w:color w:val="auto"/>
              </w:rPr>
            </w:pPr>
            <w:r>
              <w:rPr>
                <w:rFonts w:ascii="Arial" w:cs="Arial" w:eastAsia="Arial" w:hAnsi="Arial"/>
                <w:sz w:val="18"/>
                <w:szCs w:val="18"/>
                <w:color w:val="0000FF"/>
              </w:rPr>
              <w:t>75</w:t>
            </w:r>
          </w:p>
        </w:tc>
      </w:tr>
      <w:tr>
        <w:trPr>
          <w:trHeight w:val="222"/>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tc>
        <w:tc>
          <w:tcPr>
            <w:tcW w:w="1880" w:type="dxa"/>
            <w:vAlign w:val="bottom"/>
          </w:tcPr>
          <w:p>
            <w:pPr>
              <w:jc w:val="right"/>
              <w:spacing w:after="0"/>
              <w:rPr>
                <w:sz w:val="20"/>
                <w:szCs w:val="20"/>
                <w:color w:val="auto"/>
              </w:rPr>
            </w:pPr>
            <w:r>
              <w:rPr>
                <w:rFonts w:ascii="Arial" w:cs="Arial" w:eastAsia="Arial" w:hAnsi="Arial"/>
                <w:sz w:val="18"/>
                <w:szCs w:val="18"/>
                <w:color w:val="0000FF"/>
              </w:rPr>
              <w:t>76</w:t>
            </w: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Notes to Consolidated Financial Statements</w:t>
            </w:r>
          </w:p>
        </w:tc>
        <w:tc>
          <w:tcPr>
            <w:tcW w:w="1880" w:type="dxa"/>
            <w:vAlign w:val="bottom"/>
          </w:tcPr>
          <w:p>
            <w:pPr>
              <w:jc w:val="right"/>
              <w:spacing w:after="0"/>
              <w:rPr>
                <w:sz w:val="20"/>
                <w:szCs w:val="20"/>
                <w:color w:val="auto"/>
              </w:rPr>
            </w:pPr>
            <w:r>
              <w:rPr>
                <w:rFonts w:ascii="Arial" w:cs="Arial" w:eastAsia="Arial" w:hAnsi="Arial"/>
                <w:sz w:val="18"/>
                <w:szCs w:val="18"/>
                <w:color w:val="0000FF"/>
              </w:rPr>
              <w:t>79</w:t>
            </w:r>
          </w:p>
        </w:tc>
      </w:tr>
      <w:tr>
        <w:trPr>
          <w:trHeight w:val="230"/>
        </w:trPr>
        <w:tc>
          <w:tcPr>
            <w:tcW w:w="9320" w:type="dxa"/>
            <w:vAlign w:val="bottom"/>
            <w:gridSpan w:val="2"/>
          </w:tcPr>
          <w:p>
            <w:pPr>
              <w:ind w:left="20"/>
              <w:spacing w:after="0"/>
              <w:rPr>
                <w:sz w:val="20"/>
                <w:szCs w:val="20"/>
                <w:color w:val="auto"/>
              </w:rPr>
            </w:pPr>
            <w:r>
              <w:rPr>
                <w:rFonts w:ascii="Arial" w:cs="Arial" w:eastAsia="Arial" w:hAnsi="Arial"/>
                <w:sz w:val="18"/>
                <w:szCs w:val="18"/>
                <w:b w:val="1"/>
                <w:bCs w:val="1"/>
                <w:color w:val="auto"/>
              </w:rPr>
              <w:t>(a)(2)  Financial Statement Schedules</w:t>
            </w:r>
          </w:p>
        </w:tc>
        <w:tc>
          <w:tcPr>
            <w:tcW w:w="1880" w:type="dxa"/>
            <w:vAlign w:val="bottom"/>
          </w:tcPr>
          <w:p>
            <w:pPr>
              <w:spacing w:after="0"/>
              <w:rPr>
                <w:sz w:val="20"/>
                <w:szCs w:val="20"/>
                <w:color w:val="auto"/>
              </w:rPr>
            </w:pPr>
          </w:p>
        </w:tc>
      </w:tr>
      <w:tr>
        <w:trPr>
          <w:trHeight w:val="226"/>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Schedule III—Real Estate and Accumulated Depreciation as of December 31, 2022</w:t>
            </w:r>
          </w:p>
        </w:tc>
        <w:tc>
          <w:tcPr>
            <w:tcW w:w="1880" w:type="dxa"/>
            <w:vAlign w:val="bottom"/>
          </w:tcPr>
          <w:p>
            <w:pPr>
              <w:jc w:val="right"/>
              <w:spacing w:after="0"/>
              <w:rPr>
                <w:sz w:val="20"/>
                <w:szCs w:val="20"/>
                <w:color w:val="auto"/>
              </w:rPr>
            </w:pPr>
            <w:r>
              <w:rPr>
                <w:rFonts w:ascii="Arial" w:cs="Arial" w:eastAsia="Arial" w:hAnsi="Arial"/>
                <w:sz w:val="18"/>
                <w:szCs w:val="18"/>
                <w:color w:val="0000FF"/>
              </w:rPr>
              <w:t>126</w:t>
            </w:r>
          </w:p>
        </w:tc>
      </w:tr>
    </w:tbl>
    <w:p>
      <w:pPr>
        <w:spacing w:after="0" w:line="242"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Schedules other than those listed are omitted as they are not applicable or the required or equivalent information has been included in the financial statements or notes thereto.</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(a)(3) In reviewing the agreements included as exhibits to this Annual Report on Form 10-K, please remember they are included to provide you with information regarding their terms and are not intended to provide any other factual or disclosure information about us or the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139" w:lineRule="exact"/>
        <w:rPr>
          <w:sz w:val="20"/>
          <w:szCs w:val="20"/>
          <w:color w:val="auto"/>
        </w:rPr>
      </w:pPr>
    </w:p>
    <w:p>
      <w:pPr>
        <w:ind w:left="640" w:hanging="314"/>
        <w:spacing w:after="0" w:line="266"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should not in all instances be treated as categorical statements of fact, but rather as a way of allocating the risk to one of the parties if those statements prove to be inaccurate;</w:t>
      </w:r>
    </w:p>
    <w:p>
      <w:pPr>
        <w:spacing w:after="0" w:line="126"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126" w:lineRule="exact"/>
        <w:rPr>
          <w:rFonts w:ascii="Arial" w:cs="Arial" w:eastAsia="Arial" w:hAnsi="Arial"/>
          <w:sz w:val="18"/>
          <w:szCs w:val="18"/>
          <w:color w:val="auto"/>
        </w:rPr>
      </w:pPr>
    </w:p>
    <w:p>
      <w:pPr>
        <w:ind w:left="640" w:hanging="314"/>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 and</w:t>
      </w:r>
    </w:p>
    <w:p>
      <w:pPr>
        <w:spacing w:after="0" w:line="165"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12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 xml:space="preserve">Accordingly, these representations and warranties may not describe the actual state of affairs as of the date they were made or at any other time. Additional information about us may be found elsewhere in this Annual Report on Form 10-K and our other public filings, which are available without charge through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EXHIBITS</w:t>
      </w:r>
    </w:p>
    <w:p>
      <w:pPr>
        <w:spacing w:after="0" w:line="212" w:lineRule="exact"/>
        <w:rPr>
          <w:sz w:val="20"/>
          <w:szCs w:val="20"/>
          <w:color w:val="auto"/>
        </w:rPr>
      </w:pPr>
    </w:p>
    <w:p>
      <w:pPr>
        <w:ind w:left="720"/>
        <w:spacing w:after="0"/>
        <w:rPr>
          <w:rFonts w:ascii="Arial" w:cs="Arial" w:eastAsia="Arial" w:hAnsi="Arial"/>
          <w:sz w:val="16"/>
          <w:szCs w:val="16"/>
          <w:color w:val="0000FF"/>
        </w:rPr>
      </w:pPr>
      <w:hyperlink r:id="rId175">
        <w:r>
          <w:rPr>
            <w:rFonts w:ascii="Arial" w:cs="Arial" w:eastAsia="Arial" w:hAnsi="Arial"/>
            <w:sz w:val="16"/>
            <w:szCs w:val="16"/>
            <w:u w:val="single" w:color="auto"/>
            <w:color w:val="0000FF"/>
          </w:rPr>
          <w:t>3.1</w:t>
        </w:r>
        <w:r>
          <w:rPr>
            <w:rFonts w:ascii="Arial" w:cs="Arial" w:eastAsia="Arial" w:hAnsi="Arial"/>
            <w:sz w:val="16"/>
            <w:szCs w:val="16"/>
            <w:color w:val="0000FF"/>
          </w:rPr>
          <w:t xml:space="preserve"> </w:t>
        </w:r>
      </w:hyperlink>
      <w:r>
        <w:rPr>
          <w:rFonts w:ascii="Arial" w:cs="Arial" w:eastAsia="Arial" w:hAnsi="Arial"/>
          <w:sz w:val="16"/>
          <w:szCs w:val="16"/>
          <w:color w:val="000000"/>
        </w:rPr>
        <w:t>Articles</w:t>
      </w:r>
      <w:r>
        <w:rPr>
          <w:rFonts w:ascii="Arial" w:cs="Arial" w:eastAsia="Arial" w:hAnsi="Arial"/>
          <w:sz w:val="16"/>
          <w:szCs w:val="16"/>
          <w:color w:val="0000FF"/>
        </w:rPr>
        <w:t xml:space="preserve"> </w:t>
      </w:r>
      <w:r>
        <w:rPr>
          <w:rFonts w:ascii="Arial" w:cs="Arial" w:eastAsia="Arial" w:hAnsi="Arial"/>
          <w:sz w:val="16"/>
          <w:szCs w:val="16"/>
          <w:color w:val="000000"/>
        </w:rPr>
        <w:t>of Restatement, incorporated by reference to the Company's Form 10-Q, dated July 11, 2014, filed with the SEC on August 11, 2014.</w:t>
      </w:r>
    </w:p>
    <w:p>
      <w:pPr>
        <w:spacing w:after="0" w:line="42" w:lineRule="exact"/>
        <w:rPr>
          <w:sz w:val="20"/>
          <w:szCs w:val="20"/>
          <w:color w:val="auto"/>
        </w:rPr>
      </w:pPr>
    </w:p>
    <w:p>
      <w:pPr>
        <w:ind w:left="980" w:hanging="256"/>
        <w:spacing w:after="0" w:line="230" w:lineRule="auto"/>
        <w:rPr>
          <w:rFonts w:ascii="Arial" w:cs="Arial" w:eastAsia="Arial" w:hAnsi="Arial"/>
          <w:sz w:val="18"/>
          <w:szCs w:val="18"/>
          <w:color w:val="0000FF"/>
        </w:rPr>
      </w:pPr>
      <w:hyperlink r:id="rId176">
        <w:r>
          <w:rPr>
            <w:rFonts w:ascii="Arial" w:cs="Arial" w:eastAsia="Arial" w:hAnsi="Arial"/>
            <w:sz w:val="18"/>
            <w:szCs w:val="18"/>
            <w:u w:val="single" w:color="auto"/>
            <w:color w:val="0000FF"/>
          </w:rPr>
          <w:t>3.2</w:t>
        </w:r>
        <w:r>
          <w:rPr>
            <w:rFonts w:ascii="Arial" w:cs="Arial" w:eastAsia="Arial" w:hAnsi="Arial"/>
            <w:sz w:val="18"/>
            <w:szCs w:val="18"/>
            <w:color w:val="0000FF"/>
          </w:rPr>
          <w:t xml:space="preserve"> </w:t>
        </w:r>
      </w:hyperlink>
      <w:r>
        <w:rPr>
          <w:rFonts w:ascii="Arial" w:cs="Arial" w:eastAsia="Arial" w:hAnsi="Arial"/>
          <w:sz w:val="18"/>
          <w:szCs w:val="18"/>
          <w:color w:val="000000"/>
        </w:rPr>
        <w:t>Articles</w:t>
      </w:r>
      <w:r>
        <w:rPr>
          <w:rFonts w:ascii="Arial" w:cs="Arial" w:eastAsia="Arial" w:hAnsi="Arial"/>
          <w:sz w:val="18"/>
          <w:szCs w:val="18"/>
          <w:color w:val="0000FF"/>
        </w:rPr>
        <w:t xml:space="preserve"> </w:t>
      </w:r>
      <w:r>
        <w:rPr>
          <w:rFonts w:ascii="Arial" w:cs="Arial" w:eastAsia="Arial" w:hAnsi="Arial"/>
          <w:sz w:val="18"/>
          <w:szCs w:val="18"/>
          <w:color w:val="000000"/>
        </w:rPr>
        <w:t>of Amendment to the Company’s Articles of Restatement, incorporated by reference to the Company’s Form 8-K, dated July 18, 2017,</w:t>
      </w:r>
      <w:r>
        <w:rPr>
          <w:rFonts w:ascii="Arial" w:cs="Arial" w:eastAsia="Arial" w:hAnsi="Arial"/>
          <w:sz w:val="18"/>
          <w:szCs w:val="18"/>
          <w:color w:val="0000FF"/>
        </w:rPr>
        <w:t xml:space="preserve"> </w:t>
      </w:r>
      <w:r>
        <w:rPr>
          <w:rFonts w:ascii="Arial" w:cs="Arial" w:eastAsia="Arial" w:hAnsi="Arial"/>
          <w:sz w:val="18"/>
          <w:szCs w:val="18"/>
          <w:color w:val="000000"/>
        </w:rPr>
        <w:t>filed with the SEC on July 18, 2017.</w:t>
      </w:r>
    </w:p>
    <w:p>
      <w:pPr>
        <w:spacing w:after="0" w:line="16" w:lineRule="exact"/>
        <w:rPr>
          <w:sz w:val="20"/>
          <w:szCs w:val="20"/>
          <w:color w:val="auto"/>
        </w:rPr>
      </w:pPr>
    </w:p>
    <w:p>
      <w:pPr>
        <w:ind w:left="980" w:right="20" w:hanging="256"/>
        <w:spacing w:after="0" w:line="230" w:lineRule="auto"/>
        <w:rPr>
          <w:rFonts w:ascii="Arial" w:cs="Arial" w:eastAsia="Arial" w:hAnsi="Arial"/>
          <w:sz w:val="18"/>
          <w:szCs w:val="18"/>
          <w:color w:val="0000FF"/>
        </w:rPr>
      </w:pPr>
      <w:hyperlink r:id="rId177">
        <w:r>
          <w:rPr>
            <w:rFonts w:ascii="Arial" w:cs="Arial" w:eastAsia="Arial" w:hAnsi="Arial"/>
            <w:sz w:val="18"/>
            <w:szCs w:val="18"/>
            <w:u w:val="single" w:color="auto"/>
            <w:color w:val="0000FF"/>
          </w:rPr>
          <w:t>3.3</w:t>
        </w:r>
        <w:r>
          <w:rPr>
            <w:rFonts w:ascii="Arial" w:cs="Arial" w:eastAsia="Arial" w:hAnsi="Arial"/>
            <w:sz w:val="18"/>
            <w:szCs w:val="18"/>
            <w:color w:val="0000FF"/>
          </w:rPr>
          <w:t xml:space="preserve"> </w:t>
        </w:r>
      </w:hyperlink>
      <w:r>
        <w:rPr>
          <w:rFonts w:ascii="Arial" w:cs="Arial" w:eastAsia="Arial" w:hAnsi="Arial"/>
          <w:sz w:val="18"/>
          <w:szCs w:val="18"/>
          <w:color w:val="000000"/>
        </w:rPr>
        <w:t>Articles</w:t>
      </w:r>
      <w:r>
        <w:rPr>
          <w:rFonts w:ascii="Arial" w:cs="Arial" w:eastAsia="Arial" w:hAnsi="Arial"/>
          <w:sz w:val="18"/>
          <w:szCs w:val="18"/>
          <w:color w:val="0000FF"/>
        </w:rPr>
        <w:t xml:space="preserve"> </w:t>
      </w:r>
      <w:r>
        <w:rPr>
          <w:rFonts w:ascii="Arial" w:cs="Arial" w:eastAsia="Arial" w:hAnsi="Arial"/>
          <w:sz w:val="18"/>
          <w:szCs w:val="18"/>
          <w:color w:val="000000"/>
        </w:rPr>
        <w:t>of Amendment to the Company’s Articles of Restatement, incorporated by reference to Exhibit 3.1 to the Company’s Form 8-K, dated</w:t>
      </w:r>
      <w:r>
        <w:rPr>
          <w:rFonts w:ascii="Arial" w:cs="Arial" w:eastAsia="Arial" w:hAnsi="Arial"/>
          <w:sz w:val="18"/>
          <w:szCs w:val="18"/>
          <w:color w:val="0000FF"/>
        </w:rPr>
        <w:t xml:space="preserve"> </w:t>
      </w:r>
      <w:r>
        <w:rPr>
          <w:rFonts w:ascii="Arial" w:cs="Arial" w:eastAsia="Arial" w:hAnsi="Arial"/>
          <w:sz w:val="18"/>
          <w:szCs w:val="18"/>
          <w:color w:val="000000"/>
        </w:rPr>
        <w:t>January 20, 2021, filed with the SEC on January 20, 2021.</w:t>
      </w:r>
    </w:p>
    <w:p>
      <w:pPr>
        <w:spacing w:after="0" w:line="16" w:lineRule="exact"/>
        <w:rPr>
          <w:sz w:val="20"/>
          <w:szCs w:val="20"/>
          <w:color w:val="auto"/>
        </w:rPr>
      </w:pPr>
    </w:p>
    <w:p>
      <w:pPr>
        <w:ind w:left="980" w:right="20" w:hanging="256"/>
        <w:spacing w:after="0" w:line="230" w:lineRule="auto"/>
        <w:rPr>
          <w:rFonts w:ascii="Arial" w:cs="Arial" w:eastAsia="Arial" w:hAnsi="Arial"/>
          <w:sz w:val="18"/>
          <w:szCs w:val="18"/>
          <w:color w:val="0000FF"/>
        </w:rPr>
      </w:pPr>
      <w:hyperlink r:id="rId178">
        <w:r>
          <w:rPr>
            <w:rFonts w:ascii="Arial" w:cs="Arial" w:eastAsia="Arial" w:hAnsi="Arial"/>
            <w:sz w:val="18"/>
            <w:szCs w:val="18"/>
            <w:u w:val="single" w:color="auto"/>
            <w:color w:val="0000FF"/>
          </w:rPr>
          <w:t>3.4</w:t>
        </w:r>
        <w:r>
          <w:rPr>
            <w:rFonts w:ascii="Arial" w:cs="Arial" w:eastAsia="Arial" w:hAnsi="Arial"/>
            <w:sz w:val="18"/>
            <w:szCs w:val="18"/>
            <w:color w:val="0000FF"/>
          </w:rPr>
          <w:t xml:space="preserve"> </w:t>
        </w:r>
      </w:hyperlink>
      <w:r>
        <w:rPr>
          <w:rFonts w:ascii="Arial" w:cs="Arial" w:eastAsia="Arial" w:hAnsi="Arial"/>
          <w:sz w:val="18"/>
          <w:szCs w:val="18"/>
          <w:color w:val="000000"/>
        </w:rPr>
        <w:t>Articles</w:t>
      </w:r>
      <w:r>
        <w:rPr>
          <w:rFonts w:ascii="Arial" w:cs="Arial" w:eastAsia="Arial" w:hAnsi="Arial"/>
          <w:sz w:val="18"/>
          <w:szCs w:val="18"/>
          <w:color w:val="0000FF"/>
        </w:rPr>
        <w:t xml:space="preserve"> </w:t>
      </w:r>
      <w:r>
        <w:rPr>
          <w:rFonts w:ascii="Arial" w:cs="Arial" w:eastAsia="Arial" w:hAnsi="Arial"/>
          <w:sz w:val="18"/>
          <w:szCs w:val="18"/>
          <w:color w:val="000000"/>
        </w:rPr>
        <w:t>of Amendment to the Company’s Articles of Restatement, incorporated by reference to Exhibit 3.2 to the Company’s Form 8-K, dated</w:t>
      </w:r>
      <w:r>
        <w:rPr>
          <w:rFonts w:ascii="Arial" w:cs="Arial" w:eastAsia="Arial" w:hAnsi="Arial"/>
          <w:sz w:val="18"/>
          <w:szCs w:val="18"/>
          <w:color w:val="0000FF"/>
        </w:rPr>
        <w:t xml:space="preserve"> </w:t>
      </w:r>
      <w:r>
        <w:rPr>
          <w:rFonts w:ascii="Arial" w:cs="Arial" w:eastAsia="Arial" w:hAnsi="Arial"/>
          <w:sz w:val="18"/>
          <w:szCs w:val="18"/>
          <w:color w:val="000000"/>
        </w:rPr>
        <w:t>January 20, 2021, filed with the SEC on January 20, 2021.</w:t>
      </w:r>
    </w:p>
    <w:p>
      <w:pPr>
        <w:spacing w:after="0" w:line="16" w:lineRule="exact"/>
        <w:rPr>
          <w:sz w:val="20"/>
          <w:szCs w:val="20"/>
          <w:color w:val="auto"/>
        </w:rPr>
      </w:pPr>
    </w:p>
    <w:p>
      <w:pPr>
        <w:ind w:left="980" w:right="20" w:hanging="256"/>
        <w:spacing w:after="0" w:line="230" w:lineRule="auto"/>
        <w:rPr>
          <w:rFonts w:ascii="Arial" w:cs="Arial" w:eastAsia="Arial" w:hAnsi="Arial"/>
          <w:sz w:val="18"/>
          <w:szCs w:val="18"/>
          <w:color w:val="0000FF"/>
        </w:rPr>
      </w:pPr>
      <w:hyperlink r:id="rId179">
        <w:r>
          <w:rPr>
            <w:rFonts w:ascii="Arial" w:cs="Arial" w:eastAsia="Arial" w:hAnsi="Arial"/>
            <w:sz w:val="18"/>
            <w:szCs w:val="18"/>
            <w:u w:val="single" w:color="auto"/>
            <w:color w:val="0000FF"/>
          </w:rPr>
          <w:t>3.5</w:t>
        </w:r>
        <w:r>
          <w:rPr>
            <w:rFonts w:ascii="Arial" w:cs="Arial" w:eastAsia="Arial" w:hAnsi="Arial"/>
            <w:sz w:val="18"/>
            <w:szCs w:val="18"/>
            <w:color w:val="0000FF"/>
          </w:rPr>
          <w:t xml:space="preserve"> </w:t>
        </w:r>
      </w:hyperlink>
      <w:r>
        <w:rPr>
          <w:rFonts w:ascii="Arial" w:cs="Arial" w:eastAsia="Arial" w:hAnsi="Arial"/>
          <w:sz w:val="18"/>
          <w:szCs w:val="18"/>
          <w:color w:val="000000"/>
        </w:rPr>
        <w:t>Articles</w:t>
      </w:r>
      <w:r>
        <w:rPr>
          <w:rFonts w:ascii="Arial" w:cs="Arial" w:eastAsia="Arial" w:hAnsi="Arial"/>
          <w:sz w:val="18"/>
          <w:szCs w:val="18"/>
          <w:color w:val="0000FF"/>
        </w:rPr>
        <w:t xml:space="preserve"> </w:t>
      </w:r>
      <w:r>
        <w:rPr>
          <w:rFonts w:ascii="Arial" w:cs="Arial" w:eastAsia="Arial" w:hAnsi="Arial"/>
          <w:sz w:val="18"/>
          <w:szCs w:val="18"/>
          <w:color w:val="000000"/>
        </w:rPr>
        <w:t>of Amendment to the Company's Articles of Restatement, incorporated by reference to Exhibit 3.1 to the Company's Form 8-K, dated</w:t>
      </w:r>
      <w:r>
        <w:rPr>
          <w:rFonts w:ascii="Arial" w:cs="Arial" w:eastAsia="Arial" w:hAnsi="Arial"/>
          <w:sz w:val="18"/>
          <w:szCs w:val="18"/>
          <w:color w:val="0000FF"/>
        </w:rPr>
        <w:t xml:space="preserve"> </w:t>
      </w:r>
      <w:r>
        <w:rPr>
          <w:rFonts w:ascii="Arial" w:cs="Arial" w:eastAsia="Arial" w:hAnsi="Arial"/>
          <w:sz w:val="18"/>
          <w:szCs w:val="18"/>
          <w:color w:val="000000"/>
        </w:rPr>
        <w:t>January 21, 2022, filed with the SEC on January 21, 2022.</w:t>
      </w:r>
    </w:p>
    <w:p>
      <w:pPr>
        <w:spacing w:after="0" w:line="16" w:lineRule="exact"/>
        <w:rPr>
          <w:sz w:val="20"/>
          <w:szCs w:val="20"/>
          <w:color w:val="auto"/>
        </w:rPr>
      </w:pPr>
    </w:p>
    <w:p>
      <w:pPr>
        <w:ind w:left="980" w:right="20" w:hanging="256"/>
        <w:spacing w:after="0" w:line="230" w:lineRule="auto"/>
        <w:rPr>
          <w:rFonts w:ascii="Arial" w:cs="Arial" w:eastAsia="Arial" w:hAnsi="Arial"/>
          <w:sz w:val="18"/>
          <w:szCs w:val="18"/>
          <w:color w:val="0000FF"/>
        </w:rPr>
      </w:pPr>
      <w:hyperlink r:id="rId180">
        <w:r>
          <w:rPr>
            <w:rFonts w:ascii="Arial" w:cs="Arial" w:eastAsia="Arial" w:hAnsi="Arial"/>
            <w:sz w:val="18"/>
            <w:szCs w:val="18"/>
            <w:u w:val="single" w:color="auto"/>
            <w:color w:val="0000FF"/>
          </w:rPr>
          <w:t>3.6</w:t>
        </w:r>
        <w:r>
          <w:rPr>
            <w:rFonts w:ascii="Arial" w:cs="Arial" w:eastAsia="Arial" w:hAnsi="Arial"/>
            <w:sz w:val="18"/>
            <w:szCs w:val="18"/>
            <w:color w:val="0000FF"/>
          </w:rPr>
          <w:t xml:space="preserve"> </w:t>
        </w:r>
      </w:hyperlink>
      <w:r>
        <w:rPr>
          <w:rFonts w:ascii="Arial" w:cs="Arial" w:eastAsia="Arial" w:hAnsi="Arial"/>
          <w:sz w:val="18"/>
          <w:szCs w:val="18"/>
          <w:color w:val="000000"/>
        </w:rPr>
        <w:t>Articles</w:t>
      </w:r>
      <w:r>
        <w:rPr>
          <w:rFonts w:ascii="Arial" w:cs="Arial" w:eastAsia="Arial" w:hAnsi="Arial"/>
          <w:sz w:val="18"/>
          <w:szCs w:val="18"/>
          <w:color w:val="0000FF"/>
        </w:rPr>
        <w:t xml:space="preserve"> </w:t>
      </w:r>
      <w:r>
        <w:rPr>
          <w:rFonts w:ascii="Arial" w:cs="Arial" w:eastAsia="Arial" w:hAnsi="Arial"/>
          <w:sz w:val="18"/>
          <w:szCs w:val="18"/>
          <w:color w:val="000000"/>
        </w:rPr>
        <w:t>of Amendment to the Company's Articles of Restatement, incorporated by reference to Exhibit 3.2 to the Company's Form 8-K, dated</w:t>
      </w:r>
      <w:r>
        <w:rPr>
          <w:rFonts w:ascii="Arial" w:cs="Arial" w:eastAsia="Arial" w:hAnsi="Arial"/>
          <w:sz w:val="18"/>
          <w:szCs w:val="18"/>
          <w:color w:val="0000FF"/>
        </w:rPr>
        <w:t xml:space="preserve"> </w:t>
      </w:r>
      <w:r>
        <w:rPr>
          <w:rFonts w:ascii="Arial" w:cs="Arial" w:eastAsia="Arial" w:hAnsi="Arial"/>
          <w:sz w:val="18"/>
          <w:szCs w:val="18"/>
          <w:color w:val="000000"/>
        </w:rPr>
        <w:t>January 21, 2022, filed with the SEC on January 21, 2022.</w:t>
      </w:r>
    </w:p>
    <w:p>
      <w:pPr>
        <w:spacing w:after="0" w:line="16" w:lineRule="exact"/>
        <w:rPr>
          <w:sz w:val="20"/>
          <w:szCs w:val="20"/>
          <w:color w:val="auto"/>
        </w:rPr>
      </w:pPr>
    </w:p>
    <w:p>
      <w:pPr>
        <w:ind w:left="980" w:hanging="256"/>
        <w:spacing w:after="0" w:line="230" w:lineRule="auto"/>
        <w:rPr>
          <w:rFonts w:ascii="Arial" w:cs="Arial" w:eastAsia="Arial" w:hAnsi="Arial"/>
          <w:sz w:val="18"/>
          <w:szCs w:val="18"/>
          <w:color w:val="0000FF"/>
        </w:rPr>
      </w:pPr>
      <w:hyperlink r:id="rId181">
        <w:r>
          <w:rPr>
            <w:rFonts w:ascii="Arial" w:cs="Arial" w:eastAsia="Arial" w:hAnsi="Arial"/>
            <w:sz w:val="18"/>
            <w:szCs w:val="18"/>
            <w:u w:val="single" w:color="auto"/>
            <w:color w:val="0000FF"/>
          </w:rPr>
          <w:t>3.7</w:t>
        </w:r>
        <w:r>
          <w:rPr>
            <w:rFonts w:ascii="Arial" w:cs="Arial" w:eastAsia="Arial" w:hAnsi="Arial"/>
            <w:sz w:val="18"/>
            <w:szCs w:val="18"/>
            <w:color w:val="0000FF"/>
          </w:rPr>
          <w:t xml:space="preserve"> </w:t>
        </w:r>
      </w:hyperlink>
      <w:r>
        <w:rPr>
          <w:rFonts w:ascii="Arial" w:cs="Arial" w:eastAsia="Arial" w:hAnsi="Arial"/>
          <w:sz w:val="18"/>
          <w:szCs w:val="18"/>
          <w:color w:val="000000"/>
        </w:rPr>
        <w:t>Fifth</w:t>
      </w:r>
      <w:r>
        <w:rPr>
          <w:rFonts w:ascii="Arial" w:cs="Arial" w:eastAsia="Arial" w:hAnsi="Arial"/>
          <w:sz w:val="18"/>
          <w:szCs w:val="18"/>
          <w:color w:val="0000FF"/>
        </w:rPr>
        <w:t xml:space="preserve"> </w:t>
      </w:r>
      <w:r>
        <w:rPr>
          <w:rFonts w:ascii="Arial" w:cs="Arial" w:eastAsia="Arial" w:hAnsi="Arial"/>
          <w:sz w:val="18"/>
          <w:szCs w:val="18"/>
          <w:color w:val="000000"/>
        </w:rPr>
        <w:t>Amended and Restated Bylaws of the Company, incorporated by reference to the Company's Form 8-K, dated December 21, 2018, filed</w:t>
      </w:r>
      <w:r>
        <w:rPr>
          <w:rFonts w:ascii="Arial" w:cs="Arial" w:eastAsia="Arial" w:hAnsi="Arial"/>
          <w:sz w:val="18"/>
          <w:szCs w:val="18"/>
          <w:color w:val="0000FF"/>
        </w:rPr>
        <w:t xml:space="preserve"> </w:t>
      </w:r>
      <w:r>
        <w:rPr>
          <w:rFonts w:ascii="Arial" w:cs="Arial" w:eastAsia="Arial" w:hAnsi="Arial"/>
          <w:sz w:val="18"/>
          <w:szCs w:val="18"/>
          <w:color w:val="000000"/>
        </w:rPr>
        <w:t>with the SEC on December 28, 2018.</w:t>
      </w:r>
    </w:p>
    <w:p>
      <w:pPr>
        <w:spacing w:after="0" w:line="16" w:lineRule="exact"/>
        <w:rPr>
          <w:sz w:val="20"/>
          <w:szCs w:val="20"/>
          <w:color w:val="auto"/>
        </w:rPr>
      </w:pPr>
    </w:p>
    <w:p>
      <w:pPr>
        <w:ind w:left="980" w:hanging="256"/>
        <w:spacing w:after="0" w:line="230" w:lineRule="auto"/>
        <w:rPr>
          <w:rFonts w:ascii="Arial" w:cs="Arial" w:eastAsia="Arial" w:hAnsi="Arial"/>
          <w:sz w:val="18"/>
          <w:szCs w:val="18"/>
          <w:color w:val="0000FF"/>
        </w:rPr>
      </w:pPr>
      <w:hyperlink r:id="rId182">
        <w:r>
          <w:rPr>
            <w:rFonts w:ascii="Arial" w:cs="Arial" w:eastAsia="Arial" w:hAnsi="Arial"/>
            <w:sz w:val="18"/>
            <w:szCs w:val="18"/>
            <w:u w:val="single" w:color="auto"/>
            <w:color w:val="0000FF"/>
          </w:rPr>
          <w:t>3.8</w:t>
        </w:r>
        <w:r>
          <w:rPr>
            <w:rFonts w:ascii="Arial" w:cs="Arial" w:eastAsia="Arial" w:hAnsi="Arial"/>
            <w:sz w:val="18"/>
            <w:szCs w:val="18"/>
            <w:color w:val="0000FF"/>
          </w:rPr>
          <w:t xml:space="preserve"> </w:t>
        </w:r>
      </w:hyperlink>
      <w:r>
        <w:rPr>
          <w:rFonts w:ascii="Arial" w:cs="Arial" w:eastAsia="Arial" w:hAnsi="Arial"/>
          <w:sz w:val="18"/>
          <w:szCs w:val="18"/>
          <w:color w:val="000000"/>
        </w:rPr>
        <w:t>First</w:t>
      </w:r>
      <w:r>
        <w:rPr>
          <w:rFonts w:ascii="Arial" w:cs="Arial" w:eastAsia="Arial" w:hAnsi="Arial"/>
          <w:sz w:val="18"/>
          <w:szCs w:val="18"/>
          <w:color w:val="0000FF"/>
        </w:rPr>
        <w:t xml:space="preserve"> </w:t>
      </w:r>
      <w:r>
        <w:rPr>
          <w:rFonts w:ascii="Arial" w:cs="Arial" w:eastAsia="Arial" w:hAnsi="Arial"/>
          <w:sz w:val="18"/>
          <w:szCs w:val="18"/>
          <w:color w:val="000000"/>
        </w:rPr>
        <w:t>Amendment to Fifth Amended and Restated Bylaws of the Company, effective as of May 11, 2020, incorporated by reference to the</w:t>
      </w:r>
      <w:r>
        <w:rPr>
          <w:rFonts w:ascii="Arial" w:cs="Arial" w:eastAsia="Arial" w:hAnsi="Arial"/>
          <w:sz w:val="18"/>
          <w:szCs w:val="18"/>
          <w:color w:val="0000FF"/>
        </w:rPr>
        <w:t xml:space="preserve"> </w:t>
      </w:r>
      <w:r>
        <w:rPr>
          <w:rFonts w:ascii="Arial" w:cs="Arial" w:eastAsia="Arial" w:hAnsi="Arial"/>
          <w:sz w:val="18"/>
          <w:szCs w:val="18"/>
          <w:color w:val="000000"/>
        </w:rPr>
        <w:t>Company's Form 8-K, dated May 11, 2020, filed with the SEC on May 13, 2020.</w:t>
      </w:r>
    </w:p>
    <w:p>
      <w:pPr>
        <w:spacing w:after="0" w:line="16" w:lineRule="exact"/>
        <w:rPr>
          <w:sz w:val="20"/>
          <w:szCs w:val="20"/>
          <w:color w:val="auto"/>
        </w:rPr>
      </w:pPr>
    </w:p>
    <w:p>
      <w:pPr>
        <w:ind w:left="980" w:right="20" w:hanging="256"/>
        <w:spacing w:after="0" w:line="247" w:lineRule="auto"/>
        <w:rPr>
          <w:rFonts w:ascii="Arial" w:cs="Arial" w:eastAsia="Arial" w:hAnsi="Arial"/>
          <w:sz w:val="17"/>
          <w:szCs w:val="17"/>
          <w:color w:val="0000FF"/>
        </w:rPr>
      </w:pPr>
      <w:hyperlink r:id="rId183">
        <w:r>
          <w:rPr>
            <w:rFonts w:ascii="Arial" w:cs="Arial" w:eastAsia="Arial" w:hAnsi="Arial"/>
            <w:sz w:val="17"/>
            <w:szCs w:val="17"/>
            <w:u w:val="single" w:color="auto"/>
            <w:color w:val="0000FF"/>
          </w:rPr>
          <w:t>3.9</w:t>
        </w:r>
        <w:r>
          <w:rPr>
            <w:rFonts w:ascii="Arial" w:cs="Arial" w:eastAsia="Arial" w:hAnsi="Arial"/>
            <w:sz w:val="17"/>
            <w:szCs w:val="17"/>
            <w:color w:val="0000FF"/>
          </w:rPr>
          <w:t xml:space="preserve"> </w:t>
        </w:r>
      </w:hyperlink>
      <w:r>
        <w:rPr>
          <w:rFonts w:ascii="Arial" w:cs="Arial" w:eastAsia="Arial" w:hAnsi="Arial"/>
          <w:sz w:val="17"/>
          <w:szCs w:val="17"/>
          <w:color w:val="000000"/>
        </w:rPr>
        <w:t>Articles</w:t>
      </w:r>
      <w:r>
        <w:rPr>
          <w:rFonts w:ascii="Arial" w:cs="Arial" w:eastAsia="Arial" w:hAnsi="Arial"/>
          <w:sz w:val="17"/>
          <w:szCs w:val="17"/>
          <w:color w:val="0000FF"/>
        </w:rPr>
        <w:t xml:space="preserve"> </w:t>
      </w:r>
      <w:r>
        <w:rPr>
          <w:rFonts w:ascii="Arial" w:cs="Arial" w:eastAsia="Arial" w:hAnsi="Arial"/>
          <w:sz w:val="17"/>
          <w:szCs w:val="17"/>
          <w:color w:val="000000"/>
        </w:rPr>
        <w:t>Supplementary Electing that SL Green Realty Corp. be Subject to Maryland General Corporations Law Section 3-804(c), incorporated</w:t>
      </w:r>
      <w:r>
        <w:rPr>
          <w:rFonts w:ascii="Arial" w:cs="Arial" w:eastAsia="Arial" w:hAnsi="Arial"/>
          <w:sz w:val="17"/>
          <w:szCs w:val="17"/>
          <w:color w:val="0000FF"/>
        </w:rPr>
        <w:t xml:space="preserve"> </w:t>
      </w:r>
      <w:r>
        <w:rPr>
          <w:rFonts w:ascii="Arial" w:cs="Arial" w:eastAsia="Arial" w:hAnsi="Arial"/>
          <w:sz w:val="17"/>
          <w:szCs w:val="17"/>
          <w:color w:val="000000"/>
        </w:rPr>
        <w:t>by reference to the Company's Form 8-K, dated September 16, 2009, filed with the SEC on September 16, 2009.</w:t>
      </w:r>
    </w:p>
    <w:p>
      <w:pPr>
        <w:spacing w:after="0" w:line="10" w:lineRule="exact"/>
        <w:rPr>
          <w:sz w:val="20"/>
          <w:szCs w:val="20"/>
          <w:color w:val="auto"/>
        </w:rPr>
      </w:pPr>
    </w:p>
    <w:p>
      <w:pPr>
        <w:jc w:val="right"/>
        <w:ind w:left="640"/>
        <w:spacing w:after="0" w:line="243" w:lineRule="auto"/>
        <w:rPr>
          <w:rFonts w:ascii="Arial" w:cs="Arial" w:eastAsia="Arial" w:hAnsi="Arial"/>
          <w:sz w:val="16"/>
          <w:szCs w:val="16"/>
          <w:color w:val="0000FF"/>
        </w:rPr>
      </w:pPr>
      <w:hyperlink r:id="rId184">
        <w:r>
          <w:rPr>
            <w:rFonts w:ascii="Arial" w:cs="Arial" w:eastAsia="Arial" w:hAnsi="Arial"/>
            <w:sz w:val="16"/>
            <w:szCs w:val="16"/>
            <w:u w:val="single" w:color="auto"/>
            <w:color w:val="0000FF"/>
          </w:rPr>
          <w:t>3.10</w:t>
        </w:r>
        <w:r>
          <w:rPr>
            <w:rFonts w:ascii="Arial" w:cs="Arial" w:eastAsia="Arial" w:hAnsi="Arial"/>
            <w:sz w:val="16"/>
            <w:szCs w:val="16"/>
            <w:color w:val="0000FF"/>
          </w:rPr>
          <w:t xml:space="preserve"> </w:t>
        </w:r>
      </w:hyperlink>
      <w:r>
        <w:rPr>
          <w:rFonts w:ascii="Arial" w:cs="Arial" w:eastAsia="Arial" w:hAnsi="Arial"/>
          <w:sz w:val="16"/>
          <w:szCs w:val="16"/>
          <w:color w:val="000000"/>
        </w:rPr>
        <w:t>Articles</w:t>
      </w:r>
      <w:r>
        <w:rPr>
          <w:rFonts w:ascii="Arial" w:cs="Arial" w:eastAsia="Arial" w:hAnsi="Arial"/>
          <w:sz w:val="16"/>
          <w:szCs w:val="16"/>
          <w:color w:val="0000FF"/>
        </w:rPr>
        <w:t xml:space="preserve"> </w:t>
      </w:r>
      <w:r>
        <w:rPr>
          <w:rFonts w:ascii="Arial" w:cs="Arial" w:eastAsia="Arial" w:hAnsi="Arial"/>
          <w:sz w:val="16"/>
          <w:szCs w:val="16"/>
          <w:color w:val="000000"/>
        </w:rPr>
        <w:t>Supplementary reclassifying 4,600,000 shares of 8.0% Series A Convertible Cumulative Preferred Stock, 1,300,000 shares of Series B</w:t>
      </w:r>
      <w:r>
        <w:rPr>
          <w:rFonts w:ascii="Arial" w:cs="Arial" w:eastAsia="Arial" w:hAnsi="Arial"/>
          <w:sz w:val="16"/>
          <w:szCs w:val="16"/>
          <w:color w:val="0000FF"/>
        </w:rPr>
        <w:t xml:space="preserve"> </w:t>
      </w:r>
      <w:r>
        <w:rPr>
          <w:rFonts w:ascii="Arial" w:cs="Arial" w:eastAsia="Arial" w:hAnsi="Arial"/>
          <w:sz w:val="16"/>
          <w:szCs w:val="16"/>
          <w:color w:val="000000"/>
        </w:rPr>
        <w:t>Junior Participating Preferred Stock and 4,000,000 shares of 7.875% Series D Cumulative Redeemable Preferred Stock into authorized</w:t>
      </w:r>
    </w:p>
    <w:p>
      <w:pPr>
        <w:spacing w:after="0" w:line="1" w:lineRule="exact"/>
        <w:rPr>
          <w:sz w:val="20"/>
          <w:szCs w:val="20"/>
          <w:color w:val="auto"/>
        </w:rPr>
      </w:pPr>
    </w:p>
    <w:p>
      <w:pPr>
        <w:ind w:left="980"/>
        <w:spacing w:after="0" w:line="222" w:lineRule="auto"/>
        <w:rPr>
          <w:sz w:val="20"/>
          <w:szCs w:val="20"/>
          <w:color w:val="auto"/>
        </w:rPr>
      </w:pPr>
      <w:r>
        <w:rPr>
          <w:rFonts w:ascii="Arial" w:cs="Arial" w:eastAsia="Arial" w:hAnsi="Arial"/>
          <w:sz w:val="18"/>
          <w:szCs w:val="18"/>
          <w:color w:val="auto"/>
        </w:rPr>
        <w:t>preferred stock without further designation, incorporated by reference to the Company's Form 8-K, dated August 9, 2012, filed with the SEC on August 10, 2012.</w:t>
      </w:r>
    </w:p>
    <w:p>
      <w:pPr>
        <w:spacing w:after="0" w:line="2" w:lineRule="exact"/>
        <w:rPr>
          <w:sz w:val="20"/>
          <w:szCs w:val="20"/>
          <w:color w:val="auto"/>
        </w:rPr>
      </w:pPr>
    </w:p>
    <w:p>
      <w:pPr>
        <w:jc w:val="right"/>
        <w:ind w:left="640" w:right="20"/>
        <w:spacing w:after="0" w:line="243" w:lineRule="auto"/>
        <w:rPr>
          <w:rFonts w:ascii="Arial" w:cs="Arial" w:eastAsia="Arial" w:hAnsi="Arial"/>
          <w:sz w:val="16"/>
          <w:szCs w:val="16"/>
          <w:color w:val="0000FF"/>
        </w:rPr>
      </w:pPr>
      <w:hyperlink r:id="rId185">
        <w:r>
          <w:rPr>
            <w:rFonts w:ascii="Arial" w:cs="Arial" w:eastAsia="Arial" w:hAnsi="Arial"/>
            <w:sz w:val="16"/>
            <w:szCs w:val="16"/>
            <w:u w:val="single" w:color="auto"/>
            <w:color w:val="0000FF"/>
          </w:rPr>
          <w:t>3.11</w:t>
        </w:r>
        <w:r>
          <w:rPr>
            <w:rFonts w:ascii="Arial" w:cs="Arial" w:eastAsia="Arial" w:hAnsi="Arial"/>
            <w:sz w:val="16"/>
            <w:szCs w:val="16"/>
            <w:color w:val="0000FF"/>
          </w:rPr>
          <w:t xml:space="preserve"> </w:t>
        </w:r>
      </w:hyperlink>
      <w:r>
        <w:rPr>
          <w:rFonts w:ascii="Arial" w:cs="Arial" w:eastAsia="Arial" w:hAnsi="Arial"/>
          <w:sz w:val="16"/>
          <w:szCs w:val="16"/>
          <w:color w:val="000000"/>
        </w:rPr>
        <w:t>Articles</w:t>
      </w:r>
      <w:r>
        <w:rPr>
          <w:rFonts w:ascii="Arial" w:cs="Arial" w:eastAsia="Arial" w:hAnsi="Arial"/>
          <w:sz w:val="16"/>
          <w:szCs w:val="16"/>
          <w:color w:val="0000FF"/>
        </w:rPr>
        <w:t xml:space="preserve"> </w:t>
      </w:r>
      <w:r>
        <w:rPr>
          <w:rFonts w:ascii="Arial" w:cs="Arial" w:eastAsia="Arial" w:hAnsi="Arial"/>
          <w:sz w:val="16"/>
          <w:szCs w:val="16"/>
          <w:color w:val="000000"/>
        </w:rPr>
        <w:t>Supplementary classifying and designating 9,200,000 shares of the Company's 6.50% Series I Cumulative Redeemable Preferred</w:t>
      </w:r>
      <w:r>
        <w:rPr>
          <w:rFonts w:ascii="Arial" w:cs="Arial" w:eastAsia="Arial" w:hAnsi="Arial"/>
          <w:sz w:val="16"/>
          <w:szCs w:val="16"/>
          <w:color w:val="0000FF"/>
        </w:rPr>
        <w:t xml:space="preserve"> </w:t>
      </w:r>
      <w:r>
        <w:rPr>
          <w:rFonts w:ascii="Arial" w:cs="Arial" w:eastAsia="Arial" w:hAnsi="Arial"/>
          <w:sz w:val="16"/>
          <w:szCs w:val="16"/>
          <w:color w:val="000000"/>
        </w:rPr>
        <w:t>Stock, liquidation preference $25.00 per share, par value $0.01 per share, incorporated by reference to the Company's Form 8-K, dated August</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 2012, filed with the SEC on August 10, 2012.</w:t>
      </w:r>
    </w:p>
    <w:p>
      <w:pPr>
        <w:spacing w:after="0" w:line="5" w:lineRule="exact"/>
        <w:rPr>
          <w:sz w:val="20"/>
          <w:szCs w:val="20"/>
          <w:color w:val="auto"/>
        </w:rPr>
      </w:pPr>
    </w:p>
    <w:p>
      <w:pPr>
        <w:ind w:left="640"/>
        <w:spacing w:after="0"/>
        <w:rPr>
          <w:rFonts w:ascii="Arial" w:cs="Arial" w:eastAsia="Arial" w:hAnsi="Arial"/>
          <w:sz w:val="16"/>
          <w:szCs w:val="16"/>
          <w:color w:val="0000FF"/>
        </w:rPr>
      </w:pPr>
      <w:hyperlink r:id="rId186">
        <w:r>
          <w:rPr>
            <w:rFonts w:ascii="Arial" w:cs="Arial" w:eastAsia="Arial" w:hAnsi="Arial"/>
            <w:sz w:val="16"/>
            <w:szCs w:val="16"/>
            <w:u w:val="single" w:color="auto"/>
            <w:color w:val="0000FF"/>
          </w:rPr>
          <w:t>3.12</w:t>
        </w:r>
        <w:r>
          <w:rPr>
            <w:rFonts w:ascii="Arial" w:cs="Arial" w:eastAsia="Arial" w:hAnsi="Arial"/>
            <w:sz w:val="16"/>
            <w:szCs w:val="16"/>
            <w:color w:val="0000FF"/>
          </w:rPr>
          <w:t xml:space="preserve"> </w:t>
        </w:r>
      </w:hyperlink>
      <w:r>
        <w:rPr>
          <w:rFonts w:ascii="Arial" w:cs="Arial" w:eastAsia="Arial" w:hAnsi="Arial"/>
          <w:sz w:val="16"/>
          <w:szCs w:val="16"/>
          <w:color w:val="000000"/>
        </w:rPr>
        <w:t>First</w:t>
      </w:r>
      <w:r>
        <w:rPr>
          <w:rFonts w:ascii="Arial" w:cs="Arial" w:eastAsia="Arial" w:hAnsi="Arial"/>
          <w:sz w:val="16"/>
          <w:szCs w:val="16"/>
          <w:color w:val="0000FF"/>
        </w:rPr>
        <w:t xml:space="preserve"> </w:t>
      </w:r>
      <w:r>
        <w:rPr>
          <w:rFonts w:ascii="Arial" w:cs="Arial" w:eastAsia="Arial" w:hAnsi="Arial"/>
          <w:sz w:val="16"/>
          <w:szCs w:val="16"/>
          <w:color w:val="000000"/>
        </w:rPr>
        <w:t>Amended and Restated Agreement of Limited Partnership of the Operating Partnership, incorporated by reference to the Company's Form</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8-K, dated October 23, 2002, filed with the SEC on October 23, 2002.</w:t>
      </w:r>
    </w:p>
    <w:p>
      <w:pPr>
        <w:spacing w:after="0" w:line="19" w:lineRule="exact"/>
        <w:rPr>
          <w:sz w:val="20"/>
          <w:szCs w:val="20"/>
          <w:color w:val="auto"/>
        </w:rPr>
      </w:pPr>
    </w:p>
    <w:p>
      <w:pPr>
        <w:ind w:left="980" w:right="20" w:hanging="345"/>
        <w:spacing w:after="0" w:line="247" w:lineRule="auto"/>
        <w:rPr>
          <w:rFonts w:ascii="Arial" w:cs="Arial" w:eastAsia="Arial" w:hAnsi="Arial"/>
          <w:sz w:val="17"/>
          <w:szCs w:val="17"/>
          <w:color w:val="0000FF"/>
        </w:rPr>
      </w:pPr>
      <w:hyperlink r:id="rId187">
        <w:r>
          <w:rPr>
            <w:rFonts w:ascii="Arial" w:cs="Arial" w:eastAsia="Arial" w:hAnsi="Arial"/>
            <w:sz w:val="17"/>
            <w:szCs w:val="17"/>
            <w:u w:val="single" w:color="auto"/>
            <w:color w:val="0000FF"/>
          </w:rPr>
          <w:t>3.13</w:t>
        </w:r>
        <w:r>
          <w:rPr>
            <w:rFonts w:ascii="Arial" w:cs="Arial" w:eastAsia="Arial" w:hAnsi="Arial"/>
            <w:sz w:val="17"/>
            <w:szCs w:val="17"/>
            <w:color w:val="0000FF"/>
          </w:rPr>
          <w:t xml:space="preserve"> </w:t>
        </w:r>
      </w:hyperlink>
      <w:r>
        <w:rPr>
          <w:rFonts w:ascii="Arial" w:cs="Arial" w:eastAsia="Arial" w:hAnsi="Arial"/>
          <w:sz w:val="17"/>
          <w:szCs w:val="17"/>
          <w:color w:val="000000"/>
        </w:rPr>
        <w:t>First</w:t>
      </w:r>
      <w:r>
        <w:rPr>
          <w:rFonts w:ascii="Arial" w:cs="Arial" w:eastAsia="Arial" w:hAnsi="Arial"/>
          <w:sz w:val="17"/>
          <w:szCs w:val="17"/>
          <w:color w:val="0000FF"/>
        </w:rPr>
        <w:t xml:space="preserve"> </w:t>
      </w:r>
      <w:r>
        <w:rPr>
          <w:rFonts w:ascii="Arial" w:cs="Arial" w:eastAsia="Arial" w:hAnsi="Arial"/>
          <w:sz w:val="17"/>
          <w:szCs w:val="17"/>
          <w:color w:val="000000"/>
        </w:rPr>
        <w:t>Amendment to the First Amended and Restated Agreement of Limited Partnership of the Operating Partnership, dated May 14, 1998,</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the Company's Form 8-K, dated October 23, 2002, filed with the SEC on October 23, 2002.</w:t>
      </w:r>
    </w:p>
    <w:p>
      <w:pPr>
        <w:spacing w:after="0" w:line="10" w:lineRule="exact"/>
        <w:rPr>
          <w:sz w:val="20"/>
          <w:szCs w:val="20"/>
          <w:color w:val="auto"/>
        </w:rPr>
      </w:pPr>
    </w:p>
    <w:p>
      <w:pPr>
        <w:ind w:left="980" w:right="20" w:hanging="345"/>
        <w:spacing w:after="0" w:line="269" w:lineRule="auto"/>
        <w:rPr>
          <w:rFonts w:ascii="Arial" w:cs="Arial" w:eastAsia="Arial" w:hAnsi="Arial"/>
          <w:sz w:val="16"/>
          <w:szCs w:val="16"/>
          <w:color w:val="0000FF"/>
        </w:rPr>
      </w:pPr>
      <w:hyperlink r:id="rId188">
        <w:r>
          <w:rPr>
            <w:rFonts w:ascii="Arial" w:cs="Arial" w:eastAsia="Arial" w:hAnsi="Arial"/>
            <w:sz w:val="16"/>
            <w:szCs w:val="16"/>
            <w:u w:val="single" w:color="auto"/>
            <w:color w:val="0000FF"/>
          </w:rPr>
          <w:t>3.14</w:t>
        </w:r>
        <w:r>
          <w:rPr>
            <w:rFonts w:ascii="Arial" w:cs="Arial" w:eastAsia="Arial" w:hAnsi="Arial"/>
            <w:sz w:val="16"/>
            <w:szCs w:val="16"/>
            <w:color w:val="0000FF"/>
          </w:rPr>
          <w:t xml:space="preserve"> </w:t>
        </w:r>
      </w:hyperlink>
      <w:r>
        <w:rPr>
          <w:rFonts w:ascii="Arial" w:cs="Arial" w:eastAsia="Arial" w:hAnsi="Arial"/>
          <w:sz w:val="16"/>
          <w:szCs w:val="16"/>
          <w:color w:val="000000"/>
        </w:rPr>
        <w:t>Second</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incorporated by</w:t>
      </w:r>
      <w:r>
        <w:rPr>
          <w:rFonts w:ascii="Arial" w:cs="Arial" w:eastAsia="Arial" w:hAnsi="Arial"/>
          <w:sz w:val="16"/>
          <w:szCs w:val="16"/>
          <w:color w:val="0000FF"/>
        </w:rPr>
        <w:t xml:space="preserve"> </w:t>
      </w:r>
      <w:r>
        <w:rPr>
          <w:rFonts w:ascii="Arial" w:cs="Arial" w:eastAsia="Arial" w:hAnsi="Arial"/>
          <w:sz w:val="16"/>
          <w:szCs w:val="16"/>
          <w:color w:val="000000"/>
        </w:rPr>
        <w:t>reference to the Company's Quarterly Report on Form 10-Q for the quarter ended June 30, 2002, filed with the SEC on July 31, 2002.</w:t>
      </w:r>
    </w:p>
    <w:p>
      <w:pPr>
        <w:jc w:val="right"/>
        <w:spacing w:after="0" w:line="229" w:lineRule="auto"/>
        <w:rPr>
          <w:rFonts w:ascii="Arial" w:cs="Arial" w:eastAsia="Arial" w:hAnsi="Arial"/>
          <w:sz w:val="17"/>
          <w:szCs w:val="17"/>
          <w:color w:val="0000FF"/>
        </w:rPr>
      </w:pPr>
      <w:hyperlink r:id="rId189">
        <w:r>
          <w:rPr>
            <w:rFonts w:ascii="Arial" w:cs="Arial" w:eastAsia="Arial" w:hAnsi="Arial"/>
            <w:sz w:val="17"/>
            <w:szCs w:val="17"/>
            <w:u w:val="single" w:color="auto"/>
            <w:color w:val="0000FF"/>
          </w:rPr>
          <w:t>3.15</w:t>
        </w:r>
        <w:r>
          <w:rPr>
            <w:rFonts w:ascii="Arial" w:cs="Arial" w:eastAsia="Arial" w:hAnsi="Arial"/>
            <w:sz w:val="17"/>
            <w:szCs w:val="17"/>
            <w:color w:val="0000FF"/>
          </w:rPr>
          <w:t xml:space="preserve"> </w:t>
        </w:r>
      </w:hyperlink>
      <w:r>
        <w:rPr>
          <w:rFonts w:ascii="Arial" w:cs="Arial" w:eastAsia="Arial" w:hAnsi="Arial"/>
          <w:sz w:val="17"/>
          <w:szCs w:val="17"/>
          <w:color w:val="000000"/>
        </w:rPr>
        <w:t>Fifth</w:t>
      </w:r>
      <w:r>
        <w:rPr>
          <w:rFonts w:ascii="Arial" w:cs="Arial" w:eastAsia="Arial" w:hAnsi="Arial"/>
          <w:sz w:val="17"/>
          <w:szCs w:val="17"/>
          <w:color w:val="0000FF"/>
        </w:rPr>
        <w:t xml:space="preserve"> </w:t>
      </w:r>
      <w:r>
        <w:rPr>
          <w:rFonts w:ascii="Arial" w:cs="Arial" w:eastAsia="Arial" w:hAnsi="Arial"/>
          <w:sz w:val="17"/>
          <w:szCs w:val="17"/>
          <w:color w:val="000000"/>
        </w:rPr>
        <w:t>Amendment to the First Amended and Restated Agreement of Limited Partnership of the Operating Partnership, dated as of March 15,</w:t>
      </w:r>
    </w:p>
    <w:p>
      <w:pPr>
        <w:jc w:val="right"/>
        <w:spacing w:after="0" w:line="229" w:lineRule="auto"/>
        <w:rPr>
          <w:sz w:val="20"/>
          <w:szCs w:val="20"/>
          <w:color w:val="auto"/>
        </w:rPr>
      </w:pPr>
      <w:r>
        <w:rPr>
          <w:rFonts w:ascii="Arial" w:cs="Arial" w:eastAsia="Arial" w:hAnsi="Arial"/>
          <w:sz w:val="17"/>
          <w:szCs w:val="17"/>
          <w:color w:val="auto"/>
        </w:rPr>
        <w:t>2006, incorporated by reference to the Company's Annual Report on Form 10-K for the year ended December 31, 2005, filed with the SEC on</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March 16, 2006.</w:t>
      </w:r>
    </w:p>
    <w:p>
      <w:pPr>
        <w:spacing w:after="0" w:line="5" w:lineRule="exact"/>
        <w:rPr>
          <w:sz w:val="20"/>
          <w:szCs w:val="20"/>
          <w:color w:val="auto"/>
        </w:rPr>
      </w:pPr>
    </w:p>
    <w:p>
      <w:pPr>
        <w:ind w:left="640"/>
        <w:spacing w:after="0"/>
        <w:rPr>
          <w:rFonts w:ascii="Arial" w:cs="Arial" w:eastAsia="Arial" w:hAnsi="Arial"/>
          <w:sz w:val="16"/>
          <w:szCs w:val="16"/>
          <w:color w:val="0000FF"/>
        </w:rPr>
      </w:pPr>
      <w:hyperlink r:id="rId190">
        <w:r>
          <w:rPr>
            <w:rFonts w:ascii="Arial" w:cs="Arial" w:eastAsia="Arial" w:hAnsi="Arial"/>
            <w:sz w:val="16"/>
            <w:szCs w:val="16"/>
            <w:u w:val="single" w:color="auto"/>
            <w:color w:val="0000FF"/>
          </w:rPr>
          <w:t>3.16</w:t>
        </w:r>
        <w:r>
          <w:rPr>
            <w:rFonts w:ascii="Arial" w:cs="Arial" w:eastAsia="Arial" w:hAnsi="Arial"/>
            <w:sz w:val="16"/>
            <w:szCs w:val="16"/>
            <w:color w:val="0000FF"/>
          </w:rPr>
          <w:t xml:space="preserve"> </w:t>
        </w:r>
      </w:hyperlink>
      <w:r>
        <w:rPr>
          <w:rFonts w:ascii="Arial" w:cs="Arial" w:eastAsia="Arial" w:hAnsi="Arial"/>
          <w:sz w:val="16"/>
          <w:szCs w:val="16"/>
          <w:color w:val="000000"/>
        </w:rPr>
        <w:t>Seventh</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dated as of January</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25, 2007, incorporated by reference to the Company's Form 8-K, dated January 24, 2007, filed with the SEC on January 30, 2007.</w:t>
      </w:r>
    </w:p>
    <w:p>
      <w:pPr>
        <w:spacing w:after="0" w:line="30" w:lineRule="exact"/>
        <w:rPr>
          <w:sz w:val="20"/>
          <w:szCs w:val="20"/>
          <w:color w:val="auto"/>
        </w:rPr>
      </w:pPr>
    </w:p>
    <w:p>
      <w:pPr>
        <w:ind w:left="640"/>
        <w:spacing w:after="0"/>
        <w:rPr>
          <w:rFonts w:ascii="Arial" w:cs="Arial" w:eastAsia="Arial" w:hAnsi="Arial"/>
          <w:sz w:val="16"/>
          <w:szCs w:val="16"/>
          <w:color w:val="0000FF"/>
        </w:rPr>
      </w:pPr>
      <w:hyperlink r:id="rId191">
        <w:r>
          <w:rPr>
            <w:rFonts w:ascii="Arial" w:cs="Arial" w:eastAsia="Arial" w:hAnsi="Arial"/>
            <w:sz w:val="16"/>
            <w:szCs w:val="16"/>
            <w:u w:val="single" w:color="auto"/>
            <w:color w:val="0000FF"/>
          </w:rPr>
          <w:t>3.17</w:t>
        </w:r>
        <w:r>
          <w:rPr>
            <w:rFonts w:ascii="Arial" w:cs="Arial" w:eastAsia="Arial" w:hAnsi="Arial"/>
            <w:sz w:val="16"/>
            <w:szCs w:val="16"/>
            <w:color w:val="0000FF"/>
          </w:rPr>
          <w:t xml:space="preserve"> </w:t>
        </w:r>
      </w:hyperlink>
      <w:r>
        <w:rPr>
          <w:rFonts w:ascii="Arial" w:cs="Arial" w:eastAsia="Arial" w:hAnsi="Arial"/>
          <w:sz w:val="16"/>
          <w:szCs w:val="16"/>
          <w:color w:val="000000"/>
        </w:rPr>
        <w:t>Eighth</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dated as of January 20,</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2010, incorporated by reference to the Company's Form 8-K, dated January 20, 2010, filed with the SEC on January 20, 2010.</w:t>
      </w:r>
    </w:p>
    <w:p>
      <w:pPr>
        <w:spacing w:after="0" w:line="19" w:lineRule="exact"/>
        <w:rPr>
          <w:sz w:val="20"/>
          <w:szCs w:val="20"/>
          <w:color w:val="auto"/>
        </w:rPr>
      </w:pPr>
    </w:p>
    <w:p>
      <w:pPr>
        <w:ind w:left="640"/>
        <w:spacing w:after="0"/>
        <w:rPr>
          <w:rFonts w:ascii="Arial" w:cs="Arial" w:eastAsia="Arial" w:hAnsi="Arial"/>
          <w:sz w:val="16"/>
          <w:szCs w:val="16"/>
          <w:color w:val="0000FF"/>
        </w:rPr>
      </w:pPr>
      <w:hyperlink r:id="rId192">
        <w:r>
          <w:rPr>
            <w:rFonts w:ascii="Arial" w:cs="Arial" w:eastAsia="Arial" w:hAnsi="Arial"/>
            <w:sz w:val="16"/>
            <w:szCs w:val="16"/>
            <w:u w:val="single" w:color="auto"/>
            <w:color w:val="0000FF"/>
          </w:rPr>
          <w:t>3.18</w:t>
        </w:r>
        <w:r>
          <w:rPr>
            <w:rFonts w:ascii="Arial" w:cs="Arial" w:eastAsia="Arial" w:hAnsi="Arial"/>
            <w:sz w:val="16"/>
            <w:szCs w:val="16"/>
            <w:color w:val="0000FF"/>
          </w:rPr>
          <w:t xml:space="preserve"> </w:t>
        </w:r>
      </w:hyperlink>
      <w:r>
        <w:rPr>
          <w:rFonts w:ascii="Arial" w:cs="Arial" w:eastAsia="Arial" w:hAnsi="Arial"/>
          <w:sz w:val="16"/>
          <w:szCs w:val="16"/>
          <w:color w:val="000000"/>
        </w:rPr>
        <w:t>Tenth</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dated as of January 31,</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2012, incorporated by reference to the Company's Form 8-K, dated January 31, 2012, filed with the SEC on February 2, 2012.</w:t>
      </w:r>
    </w:p>
    <w:p>
      <w:pPr>
        <w:spacing w:after="0" w:line="19" w:lineRule="exact"/>
        <w:rPr>
          <w:sz w:val="20"/>
          <w:szCs w:val="20"/>
          <w:color w:val="auto"/>
        </w:rPr>
      </w:pPr>
    </w:p>
    <w:p>
      <w:pPr>
        <w:jc w:val="right"/>
        <w:ind w:left="640"/>
        <w:spacing w:after="0" w:line="243" w:lineRule="auto"/>
        <w:rPr>
          <w:rFonts w:ascii="Arial" w:cs="Arial" w:eastAsia="Arial" w:hAnsi="Arial"/>
          <w:sz w:val="16"/>
          <w:szCs w:val="16"/>
          <w:color w:val="0000FF"/>
        </w:rPr>
      </w:pPr>
      <w:hyperlink r:id="rId193">
        <w:r>
          <w:rPr>
            <w:rFonts w:ascii="Arial" w:cs="Arial" w:eastAsia="Arial" w:hAnsi="Arial"/>
            <w:sz w:val="16"/>
            <w:szCs w:val="16"/>
            <w:u w:val="single" w:color="auto"/>
            <w:color w:val="0000FF"/>
          </w:rPr>
          <w:t>3.19</w:t>
        </w:r>
        <w:r>
          <w:rPr>
            <w:rFonts w:ascii="Arial" w:cs="Arial" w:eastAsia="Arial" w:hAnsi="Arial"/>
            <w:sz w:val="16"/>
            <w:szCs w:val="16"/>
            <w:color w:val="0000FF"/>
          </w:rPr>
          <w:t xml:space="preserve"> </w:t>
        </w:r>
      </w:hyperlink>
      <w:r>
        <w:rPr>
          <w:rFonts w:ascii="Arial" w:cs="Arial" w:eastAsia="Arial" w:hAnsi="Arial"/>
          <w:sz w:val="16"/>
          <w:szCs w:val="16"/>
          <w:color w:val="000000"/>
        </w:rPr>
        <w:t>Eleventh</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dated March 6, 2012,</w:t>
      </w:r>
      <w:r>
        <w:rPr>
          <w:rFonts w:ascii="Arial" w:cs="Arial" w:eastAsia="Arial" w:hAnsi="Arial"/>
          <w:sz w:val="16"/>
          <w:szCs w:val="16"/>
          <w:color w:val="0000FF"/>
        </w:rPr>
        <w:t xml:space="preserve"> </w:t>
      </w:r>
      <w:r>
        <w:rPr>
          <w:rFonts w:ascii="Arial" w:cs="Arial" w:eastAsia="Arial" w:hAnsi="Arial"/>
          <w:sz w:val="16"/>
          <w:szCs w:val="16"/>
          <w:color w:val="000000"/>
        </w:rPr>
        <w:t>incorporated by reference to the Company's Quarterly Report on Form 10-Q for the quarter ended March 31, 2012, filed with the SEC on May</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10, 2012.</w:t>
      </w:r>
    </w:p>
    <w:p>
      <w:pPr>
        <w:spacing w:after="0" w:line="5" w:lineRule="exact"/>
        <w:rPr>
          <w:sz w:val="20"/>
          <w:szCs w:val="20"/>
          <w:color w:val="auto"/>
        </w:rPr>
      </w:pPr>
    </w:p>
    <w:p>
      <w:pPr>
        <w:ind w:left="640"/>
        <w:spacing w:after="0"/>
        <w:rPr>
          <w:rFonts w:ascii="Arial" w:cs="Arial" w:eastAsia="Arial" w:hAnsi="Arial"/>
          <w:sz w:val="16"/>
          <w:szCs w:val="16"/>
          <w:color w:val="0000FF"/>
        </w:rPr>
      </w:pPr>
      <w:hyperlink r:id="rId194">
        <w:r>
          <w:rPr>
            <w:rFonts w:ascii="Arial" w:cs="Arial" w:eastAsia="Arial" w:hAnsi="Arial"/>
            <w:sz w:val="16"/>
            <w:szCs w:val="16"/>
            <w:u w:val="single" w:color="auto"/>
            <w:color w:val="0000FF"/>
          </w:rPr>
          <w:t>3.20</w:t>
        </w:r>
        <w:r>
          <w:rPr>
            <w:rFonts w:ascii="Arial" w:cs="Arial" w:eastAsia="Arial" w:hAnsi="Arial"/>
            <w:sz w:val="16"/>
            <w:szCs w:val="16"/>
            <w:color w:val="0000FF"/>
          </w:rPr>
          <w:t xml:space="preserve"> </w:t>
        </w:r>
      </w:hyperlink>
      <w:r>
        <w:rPr>
          <w:rFonts w:ascii="Arial" w:cs="Arial" w:eastAsia="Arial" w:hAnsi="Arial"/>
          <w:sz w:val="16"/>
          <w:szCs w:val="16"/>
          <w:color w:val="000000"/>
        </w:rPr>
        <w:t>Twelfth</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dated as of August 10,</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2012, incorporated by reference to the Company's Form 8-K, dated August 10, 2012, filed with the SEC on August 10, 2012.</w:t>
      </w:r>
    </w:p>
    <w:p>
      <w:pPr>
        <w:spacing w:after="0" w:line="19" w:lineRule="exact"/>
        <w:rPr>
          <w:sz w:val="20"/>
          <w:szCs w:val="20"/>
          <w:color w:val="auto"/>
        </w:rPr>
      </w:pPr>
    </w:p>
    <w:p>
      <w:pPr>
        <w:ind w:left="640"/>
        <w:spacing w:after="0"/>
        <w:rPr>
          <w:rFonts w:ascii="Arial" w:cs="Arial" w:eastAsia="Arial" w:hAnsi="Arial"/>
          <w:sz w:val="16"/>
          <w:szCs w:val="16"/>
          <w:color w:val="0000FF"/>
        </w:rPr>
      </w:pPr>
      <w:hyperlink r:id="rId195">
        <w:r>
          <w:rPr>
            <w:rFonts w:ascii="Arial" w:cs="Arial" w:eastAsia="Arial" w:hAnsi="Arial"/>
            <w:sz w:val="16"/>
            <w:szCs w:val="16"/>
            <w:u w:val="single" w:color="auto"/>
            <w:color w:val="0000FF"/>
          </w:rPr>
          <w:t>3.21</w:t>
        </w:r>
        <w:r>
          <w:rPr>
            <w:rFonts w:ascii="Arial" w:cs="Arial" w:eastAsia="Arial" w:hAnsi="Arial"/>
            <w:sz w:val="16"/>
            <w:szCs w:val="16"/>
            <w:color w:val="0000FF"/>
          </w:rPr>
          <w:t xml:space="preserve"> </w:t>
        </w:r>
      </w:hyperlink>
      <w:r>
        <w:rPr>
          <w:rFonts w:ascii="Arial" w:cs="Arial" w:eastAsia="Arial" w:hAnsi="Arial"/>
          <w:sz w:val="16"/>
          <w:szCs w:val="16"/>
          <w:color w:val="000000"/>
        </w:rPr>
        <w:t>Fourteenth</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dated as of July 1,</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2014, incorporated by reference to the Company's Form 8-K, dated July 2, 2014, filed with the SEC on July 2, 2014.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640"/>
        <w:spacing w:after="0"/>
        <w:rPr>
          <w:rFonts w:ascii="Arial" w:cs="Arial" w:eastAsia="Arial" w:hAnsi="Arial"/>
          <w:sz w:val="16"/>
          <w:szCs w:val="16"/>
          <w:color w:val="0000FF"/>
        </w:rPr>
      </w:pPr>
      <w:hyperlink r:id="rId197">
        <w:r>
          <w:rPr>
            <w:rFonts w:ascii="Arial" w:cs="Arial" w:eastAsia="Arial" w:hAnsi="Arial"/>
            <w:sz w:val="16"/>
            <w:szCs w:val="16"/>
            <w:u w:val="single" w:color="auto"/>
            <w:color w:val="0000FF"/>
          </w:rPr>
          <w:t>3.22</w:t>
        </w:r>
        <w:r>
          <w:rPr>
            <w:rFonts w:ascii="Arial" w:cs="Arial" w:eastAsia="Arial" w:hAnsi="Arial"/>
            <w:sz w:val="16"/>
            <w:szCs w:val="16"/>
            <w:color w:val="0000FF"/>
          </w:rPr>
          <w:t xml:space="preserve"> </w:t>
        </w:r>
      </w:hyperlink>
      <w:r>
        <w:rPr>
          <w:rFonts w:ascii="Arial" w:cs="Arial" w:eastAsia="Arial" w:hAnsi="Arial"/>
          <w:sz w:val="16"/>
          <w:szCs w:val="16"/>
          <w:color w:val="000000"/>
        </w:rPr>
        <w:t>Fifteenth</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dated as of July 1,</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2014, incorporated by reference to the Company's Form 8-K, dated July 2, 2014, filed with the SEC on July 2, 2014.</w:t>
      </w:r>
    </w:p>
    <w:p>
      <w:pPr>
        <w:spacing w:after="0" w:line="10" w:lineRule="exact"/>
        <w:rPr>
          <w:sz w:val="20"/>
          <w:szCs w:val="20"/>
          <w:color w:val="auto"/>
        </w:rPr>
      </w:pPr>
    </w:p>
    <w:p>
      <w:pPr>
        <w:jc w:val="right"/>
        <w:ind w:right="20"/>
        <w:spacing w:after="0"/>
        <w:rPr>
          <w:rFonts w:ascii="Arial" w:cs="Arial" w:eastAsia="Arial" w:hAnsi="Arial"/>
          <w:sz w:val="17"/>
          <w:szCs w:val="17"/>
          <w:color w:val="0000FF"/>
        </w:rPr>
      </w:pPr>
      <w:hyperlink r:id="rId198">
        <w:r>
          <w:rPr>
            <w:rFonts w:ascii="Arial" w:cs="Arial" w:eastAsia="Arial" w:hAnsi="Arial"/>
            <w:sz w:val="17"/>
            <w:szCs w:val="17"/>
            <w:u w:val="single" w:color="auto"/>
            <w:color w:val="0000FF"/>
          </w:rPr>
          <w:t>3.23</w:t>
        </w:r>
        <w:r>
          <w:rPr>
            <w:rFonts w:ascii="Arial" w:cs="Arial" w:eastAsia="Arial" w:hAnsi="Arial"/>
            <w:sz w:val="17"/>
            <w:szCs w:val="17"/>
            <w:color w:val="0000FF"/>
          </w:rPr>
          <w:t xml:space="preserve"> </w:t>
        </w:r>
      </w:hyperlink>
      <w:r>
        <w:rPr>
          <w:rFonts w:ascii="Arial" w:cs="Arial" w:eastAsia="Arial" w:hAnsi="Arial"/>
          <w:sz w:val="17"/>
          <w:szCs w:val="17"/>
          <w:color w:val="000000"/>
        </w:rPr>
        <w:t>Eighteenth</w:t>
      </w:r>
      <w:r>
        <w:rPr>
          <w:rFonts w:ascii="Arial" w:cs="Arial" w:eastAsia="Arial" w:hAnsi="Arial"/>
          <w:sz w:val="17"/>
          <w:szCs w:val="17"/>
          <w:color w:val="0000FF"/>
        </w:rPr>
        <w:t xml:space="preserve"> </w:t>
      </w:r>
      <w:r>
        <w:rPr>
          <w:rFonts w:ascii="Arial" w:cs="Arial" w:eastAsia="Arial" w:hAnsi="Arial"/>
          <w:sz w:val="17"/>
          <w:szCs w:val="17"/>
          <w:color w:val="000000"/>
        </w:rPr>
        <w:t>Amendment to the First Amended and Restated Agreement of Limited Partnership of the Operating Partnership, dated as of June</w:t>
      </w:r>
    </w:p>
    <w:p>
      <w:pPr>
        <w:jc w:val="right"/>
        <w:ind w:right="20"/>
        <w:spacing w:after="0" w:line="228" w:lineRule="auto"/>
        <w:rPr>
          <w:sz w:val="20"/>
          <w:szCs w:val="20"/>
          <w:color w:val="auto"/>
        </w:rPr>
      </w:pPr>
      <w:r>
        <w:rPr>
          <w:rFonts w:ascii="Arial" w:cs="Arial" w:eastAsia="Arial" w:hAnsi="Arial"/>
          <w:sz w:val="17"/>
          <w:szCs w:val="17"/>
          <w:color w:val="auto"/>
        </w:rPr>
        <w:t>25, 2015, incorporated by reference to the Company's Annual Report on Form 10-K for the year ended December 31, 2021, filed with the SEC</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February 18, 2022.</w:t>
      </w:r>
    </w:p>
    <w:p>
      <w:pPr>
        <w:spacing w:after="0" w:line="5" w:lineRule="exact"/>
        <w:rPr>
          <w:sz w:val="20"/>
          <w:szCs w:val="20"/>
          <w:color w:val="auto"/>
        </w:rPr>
      </w:pPr>
    </w:p>
    <w:p>
      <w:pPr>
        <w:ind w:left="640"/>
        <w:spacing w:after="0"/>
        <w:rPr>
          <w:rFonts w:ascii="Arial" w:cs="Arial" w:eastAsia="Arial" w:hAnsi="Arial"/>
          <w:sz w:val="16"/>
          <w:szCs w:val="16"/>
          <w:color w:val="0000FF"/>
        </w:rPr>
      </w:pPr>
      <w:hyperlink r:id="rId199">
        <w:r>
          <w:rPr>
            <w:rFonts w:ascii="Arial" w:cs="Arial" w:eastAsia="Arial" w:hAnsi="Arial"/>
            <w:sz w:val="16"/>
            <w:szCs w:val="16"/>
            <w:u w:val="single" w:color="auto"/>
            <w:color w:val="0000FF"/>
          </w:rPr>
          <w:t>3.24</w:t>
        </w:r>
        <w:r>
          <w:rPr>
            <w:rFonts w:ascii="Arial" w:cs="Arial" w:eastAsia="Arial" w:hAnsi="Arial"/>
            <w:sz w:val="16"/>
            <w:szCs w:val="16"/>
            <w:color w:val="0000FF"/>
          </w:rPr>
          <w:t xml:space="preserve"> </w:t>
        </w:r>
      </w:hyperlink>
      <w:r>
        <w:rPr>
          <w:rFonts w:ascii="Arial" w:cs="Arial" w:eastAsia="Arial" w:hAnsi="Arial"/>
          <w:sz w:val="16"/>
          <w:szCs w:val="16"/>
          <w:color w:val="000000"/>
        </w:rPr>
        <w:t>Nineteenth</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dated as of July 22,</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2015, incorporated by reference to the Company's Form 8-K, dated July 24, 2015, filed with the SEC on July 24, 2015.</w:t>
      </w:r>
    </w:p>
    <w:p>
      <w:pPr>
        <w:spacing w:after="0" w:line="19" w:lineRule="exact"/>
        <w:rPr>
          <w:sz w:val="20"/>
          <w:szCs w:val="20"/>
          <w:color w:val="auto"/>
        </w:rPr>
      </w:pPr>
    </w:p>
    <w:p>
      <w:pPr>
        <w:ind w:left="640"/>
        <w:spacing w:after="0"/>
        <w:rPr>
          <w:rFonts w:ascii="Arial" w:cs="Arial" w:eastAsia="Arial" w:hAnsi="Arial"/>
          <w:sz w:val="16"/>
          <w:szCs w:val="16"/>
          <w:color w:val="0000FF"/>
        </w:rPr>
      </w:pPr>
      <w:hyperlink r:id="rId200">
        <w:r>
          <w:rPr>
            <w:rFonts w:ascii="Arial" w:cs="Arial" w:eastAsia="Arial" w:hAnsi="Arial"/>
            <w:sz w:val="16"/>
            <w:szCs w:val="16"/>
            <w:u w:val="single" w:color="auto"/>
            <w:color w:val="0000FF"/>
          </w:rPr>
          <w:t>3.25</w:t>
        </w:r>
        <w:r>
          <w:rPr>
            <w:rFonts w:ascii="Arial" w:cs="Arial" w:eastAsia="Arial" w:hAnsi="Arial"/>
            <w:sz w:val="16"/>
            <w:szCs w:val="16"/>
            <w:color w:val="0000FF"/>
          </w:rPr>
          <w:t xml:space="preserve"> </w:t>
        </w:r>
      </w:hyperlink>
      <w:r>
        <w:rPr>
          <w:rFonts w:ascii="Arial" w:cs="Arial" w:eastAsia="Arial" w:hAnsi="Arial"/>
          <w:sz w:val="16"/>
          <w:szCs w:val="16"/>
          <w:color w:val="000000"/>
        </w:rPr>
        <w:t>Twentieth</w:t>
      </w:r>
      <w:r>
        <w:rPr>
          <w:rFonts w:ascii="Arial" w:cs="Arial" w:eastAsia="Arial" w:hAnsi="Arial"/>
          <w:sz w:val="16"/>
          <w:szCs w:val="16"/>
          <w:color w:val="0000FF"/>
        </w:rPr>
        <w:t xml:space="preserve"> </w:t>
      </w:r>
      <w:r>
        <w:rPr>
          <w:rFonts w:ascii="Arial" w:cs="Arial" w:eastAsia="Arial" w:hAnsi="Arial"/>
          <w:sz w:val="16"/>
          <w:szCs w:val="16"/>
          <w:color w:val="000000"/>
        </w:rPr>
        <w:t>Amendment to the First Amended and Restated Agreement of Limited Partnership of the Operating Partnership, dated as of July 22,</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2015, incorporated by reference to the Company's Form 8-K, dated July 24, 2015, filed with the SEC on July 24, 2015.</w:t>
      </w:r>
    </w:p>
    <w:p>
      <w:pPr>
        <w:spacing w:after="0" w:line="19" w:lineRule="exact"/>
        <w:rPr>
          <w:sz w:val="20"/>
          <w:szCs w:val="20"/>
          <w:color w:val="auto"/>
        </w:rPr>
      </w:pPr>
    </w:p>
    <w:p>
      <w:pPr>
        <w:ind w:left="980" w:right="20" w:hanging="345"/>
        <w:spacing w:after="0" w:line="269" w:lineRule="auto"/>
        <w:rPr>
          <w:rFonts w:ascii="Arial" w:cs="Arial" w:eastAsia="Arial" w:hAnsi="Arial"/>
          <w:sz w:val="16"/>
          <w:szCs w:val="16"/>
          <w:color w:val="0000FF"/>
        </w:rPr>
      </w:pPr>
      <w:hyperlink r:id="rId201">
        <w:r>
          <w:rPr>
            <w:rFonts w:ascii="Arial" w:cs="Arial" w:eastAsia="Arial" w:hAnsi="Arial"/>
            <w:sz w:val="16"/>
            <w:szCs w:val="16"/>
            <w:u w:val="single" w:color="auto"/>
            <w:color w:val="0000FF"/>
          </w:rPr>
          <w:t>3.26</w:t>
        </w:r>
        <w:r>
          <w:rPr>
            <w:rFonts w:ascii="Arial" w:cs="Arial" w:eastAsia="Arial" w:hAnsi="Arial"/>
            <w:sz w:val="16"/>
            <w:szCs w:val="16"/>
            <w:color w:val="0000FF"/>
          </w:rPr>
          <w:t xml:space="preserve"> </w:t>
        </w:r>
      </w:hyperlink>
      <w:r>
        <w:rPr>
          <w:rFonts w:ascii="Arial" w:cs="Arial" w:eastAsia="Arial" w:hAnsi="Arial"/>
          <w:sz w:val="16"/>
          <w:szCs w:val="16"/>
          <w:color w:val="000000"/>
        </w:rPr>
        <w:t>Twenty-First Amendment to the First Amended and Restated Agreement of Limited Partnership of the Operating Partnership, dated as of</w:t>
      </w:r>
      <w:r>
        <w:rPr>
          <w:rFonts w:ascii="Arial" w:cs="Arial" w:eastAsia="Arial" w:hAnsi="Arial"/>
          <w:sz w:val="16"/>
          <w:szCs w:val="16"/>
          <w:color w:val="0000FF"/>
        </w:rPr>
        <w:t xml:space="preserve"> </w:t>
      </w:r>
      <w:r>
        <w:rPr>
          <w:rFonts w:ascii="Arial" w:cs="Arial" w:eastAsia="Arial" w:hAnsi="Arial"/>
          <w:sz w:val="16"/>
          <w:szCs w:val="16"/>
          <w:color w:val="000000"/>
        </w:rPr>
        <w:t>August 20, 2015, incorporated by reference to the Company's Form 8-K, dated as of August 21, 2015, filed with the SEC on August 21, 2015.</w:t>
      </w:r>
    </w:p>
    <w:p>
      <w:pPr>
        <w:ind w:left="980" w:right="20" w:hanging="345"/>
        <w:spacing w:after="0" w:line="269" w:lineRule="auto"/>
        <w:rPr>
          <w:rFonts w:ascii="Arial" w:cs="Arial" w:eastAsia="Arial" w:hAnsi="Arial"/>
          <w:sz w:val="16"/>
          <w:szCs w:val="16"/>
          <w:color w:val="0000FF"/>
        </w:rPr>
      </w:pPr>
      <w:hyperlink r:id="rId202">
        <w:r>
          <w:rPr>
            <w:rFonts w:ascii="Arial" w:cs="Arial" w:eastAsia="Arial" w:hAnsi="Arial"/>
            <w:sz w:val="16"/>
            <w:szCs w:val="16"/>
            <w:u w:val="single" w:color="auto"/>
            <w:color w:val="0000FF"/>
          </w:rPr>
          <w:t>3.27</w:t>
        </w:r>
        <w:r>
          <w:rPr>
            <w:rFonts w:ascii="Arial" w:cs="Arial" w:eastAsia="Arial" w:hAnsi="Arial"/>
            <w:sz w:val="16"/>
            <w:szCs w:val="16"/>
            <w:color w:val="0000FF"/>
          </w:rPr>
          <w:t xml:space="preserve"> </w:t>
        </w:r>
      </w:hyperlink>
      <w:r>
        <w:rPr>
          <w:rFonts w:ascii="Arial" w:cs="Arial" w:eastAsia="Arial" w:hAnsi="Arial"/>
          <w:sz w:val="16"/>
          <w:szCs w:val="16"/>
          <w:color w:val="000000"/>
        </w:rPr>
        <w:t>Twenty-Second Amendment to the First Amended and Restated Agreement of Limited Partnership of the Operating Partnership, dated as of</w:t>
      </w:r>
      <w:r>
        <w:rPr>
          <w:rFonts w:ascii="Arial" w:cs="Arial" w:eastAsia="Arial" w:hAnsi="Arial"/>
          <w:sz w:val="16"/>
          <w:szCs w:val="16"/>
          <w:color w:val="0000FF"/>
        </w:rPr>
        <w:t xml:space="preserve"> </w:t>
      </w:r>
      <w:r>
        <w:rPr>
          <w:rFonts w:ascii="Arial" w:cs="Arial" w:eastAsia="Arial" w:hAnsi="Arial"/>
          <w:sz w:val="16"/>
          <w:szCs w:val="16"/>
          <w:color w:val="000000"/>
        </w:rPr>
        <w:t>August 20, 2015, incorporated by reference to the Company's Form 8-K, dated as of August 21, 2015, filed with the SEC on August 21, 2015.</w:t>
      </w:r>
    </w:p>
    <w:p>
      <w:pPr>
        <w:jc w:val="right"/>
        <w:spacing w:after="0" w:line="229" w:lineRule="auto"/>
        <w:rPr>
          <w:rFonts w:ascii="Arial" w:cs="Arial" w:eastAsia="Arial" w:hAnsi="Arial"/>
          <w:sz w:val="17"/>
          <w:szCs w:val="17"/>
          <w:color w:val="0000FF"/>
        </w:rPr>
      </w:pPr>
      <w:hyperlink r:id="rId203">
        <w:r>
          <w:rPr>
            <w:rFonts w:ascii="Arial" w:cs="Arial" w:eastAsia="Arial" w:hAnsi="Arial"/>
            <w:sz w:val="17"/>
            <w:szCs w:val="17"/>
            <w:u w:val="single" w:color="auto"/>
            <w:color w:val="0000FF"/>
          </w:rPr>
          <w:t>3.28</w:t>
        </w:r>
        <w:r>
          <w:rPr>
            <w:rFonts w:ascii="Arial" w:cs="Arial" w:eastAsia="Arial" w:hAnsi="Arial"/>
            <w:sz w:val="17"/>
            <w:szCs w:val="17"/>
            <w:color w:val="0000FF"/>
          </w:rPr>
          <w:t xml:space="preserve"> </w:t>
        </w:r>
      </w:hyperlink>
      <w:r>
        <w:rPr>
          <w:rFonts w:ascii="Arial" w:cs="Arial" w:eastAsia="Arial" w:hAnsi="Arial"/>
          <w:sz w:val="17"/>
          <w:szCs w:val="17"/>
          <w:color w:val="000000"/>
        </w:rPr>
        <w:t>Twenty-Fifth Amendment to the First Amended and Restated Agreement of Limited Partnership of the Operating Partnership, dated as of June</w:t>
      </w:r>
    </w:p>
    <w:p>
      <w:pPr>
        <w:jc w:val="right"/>
        <w:ind w:right="20"/>
        <w:spacing w:after="0" w:line="229" w:lineRule="auto"/>
        <w:rPr>
          <w:sz w:val="20"/>
          <w:szCs w:val="20"/>
          <w:color w:val="auto"/>
        </w:rPr>
      </w:pPr>
      <w:r>
        <w:rPr>
          <w:rFonts w:ascii="Arial" w:cs="Arial" w:eastAsia="Arial" w:hAnsi="Arial"/>
          <w:sz w:val="17"/>
          <w:szCs w:val="17"/>
          <w:color w:val="auto"/>
        </w:rPr>
        <w:t>17, 2016, incorporated by reference to the Company's Quarterly Report on Form 10-Q for the quarter ended September 30, 2016, filed with the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 on November 9, 2016.</w:t>
      </w:r>
    </w:p>
    <w:p>
      <w:pPr>
        <w:spacing w:after="0" w:line="5" w:lineRule="exact"/>
        <w:rPr>
          <w:sz w:val="20"/>
          <w:szCs w:val="20"/>
          <w:color w:val="auto"/>
        </w:rPr>
      </w:pPr>
    </w:p>
    <w:p>
      <w:pPr>
        <w:ind w:left="640"/>
        <w:spacing w:after="0"/>
        <w:rPr>
          <w:rFonts w:ascii="Arial" w:cs="Arial" w:eastAsia="Arial" w:hAnsi="Arial"/>
          <w:sz w:val="16"/>
          <w:szCs w:val="16"/>
          <w:color w:val="0000FF"/>
        </w:rPr>
      </w:pPr>
      <w:hyperlink r:id="rId204">
        <w:r>
          <w:rPr>
            <w:rFonts w:ascii="Arial" w:cs="Arial" w:eastAsia="Arial" w:hAnsi="Arial"/>
            <w:sz w:val="16"/>
            <w:szCs w:val="16"/>
            <w:u w:val="single" w:color="auto"/>
            <w:color w:val="0000FF"/>
          </w:rPr>
          <w:t>3.29</w:t>
        </w:r>
        <w:r>
          <w:rPr>
            <w:rFonts w:ascii="Arial" w:cs="Arial" w:eastAsia="Arial" w:hAnsi="Arial"/>
            <w:sz w:val="16"/>
            <w:szCs w:val="16"/>
            <w:color w:val="0000FF"/>
          </w:rPr>
          <w:t xml:space="preserve"> </w:t>
        </w:r>
      </w:hyperlink>
      <w:r>
        <w:rPr>
          <w:rFonts w:ascii="Arial" w:cs="Arial" w:eastAsia="Arial" w:hAnsi="Arial"/>
          <w:sz w:val="16"/>
          <w:szCs w:val="16"/>
          <w:color w:val="000000"/>
        </w:rPr>
        <w:t>Twenty-Sixth Amendment to the First Amended and Restated Agreement of Limited Partnership of the Operating Partnership, dated as of May</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2019, incorporated by reference to the Company's Form 8-K, dated as of May 3, 2019, filed with the SEC on May 3, 2019.</w:t>
      </w:r>
    </w:p>
    <w:p>
      <w:pPr>
        <w:spacing w:after="0" w:line="19" w:lineRule="exact"/>
        <w:rPr>
          <w:sz w:val="20"/>
          <w:szCs w:val="20"/>
          <w:color w:val="auto"/>
        </w:rPr>
      </w:pPr>
    </w:p>
    <w:p>
      <w:pPr>
        <w:ind w:left="980" w:hanging="345"/>
        <w:spacing w:after="0" w:line="269" w:lineRule="auto"/>
        <w:rPr>
          <w:rFonts w:ascii="Arial" w:cs="Arial" w:eastAsia="Arial" w:hAnsi="Arial"/>
          <w:sz w:val="16"/>
          <w:szCs w:val="16"/>
          <w:color w:val="0000FF"/>
        </w:rPr>
      </w:pPr>
      <w:hyperlink r:id="rId205">
        <w:r>
          <w:rPr>
            <w:rFonts w:ascii="Arial" w:cs="Arial" w:eastAsia="Arial" w:hAnsi="Arial"/>
            <w:sz w:val="16"/>
            <w:szCs w:val="16"/>
            <w:u w:val="single" w:color="auto"/>
            <w:color w:val="0000FF"/>
          </w:rPr>
          <w:t>3.30</w:t>
        </w:r>
        <w:r>
          <w:rPr>
            <w:rFonts w:ascii="Arial" w:cs="Arial" w:eastAsia="Arial" w:hAnsi="Arial"/>
            <w:sz w:val="16"/>
            <w:szCs w:val="16"/>
            <w:color w:val="0000FF"/>
          </w:rPr>
          <w:t xml:space="preserve"> </w:t>
        </w:r>
      </w:hyperlink>
      <w:r>
        <w:rPr>
          <w:rFonts w:ascii="Arial" w:cs="Arial" w:eastAsia="Arial" w:hAnsi="Arial"/>
          <w:sz w:val="16"/>
          <w:szCs w:val="16"/>
          <w:color w:val="000000"/>
        </w:rPr>
        <w:t>Twenty-Seventh Amendment to the First Amended and Restated Agreement of Limited Partnership of the Operating Partnership, dated as of</w:t>
      </w:r>
      <w:r>
        <w:rPr>
          <w:rFonts w:ascii="Arial" w:cs="Arial" w:eastAsia="Arial" w:hAnsi="Arial"/>
          <w:sz w:val="16"/>
          <w:szCs w:val="16"/>
          <w:color w:val="0000FF"/>
        </w:rPr>
        <w:t xml:space="preserve"> </w:t>
      </w:r>
      <w:r>
        <w:rPr>
          <w:rFonts w:ascii="Arial" w:cs="Arial" w:eastAsia="Arial" w:hAnsi="Arial"/>
          <w:sz w:val="16"/>
          <w:szCs w:val="16"/>
          <w:color w:val="000000"/>
        </w:rPr>
        <w:t>January 8, 2020, incorporated by reference to the Company's Form 8-K, dated as of January 14, 2020, filed with the SEC on January 14, 2020.</w:t>
      </w:r>
    </w:p>
    <w:p>
      <w:pPr>
        <w:jc w:val="right"/>
        <w:ind w:left="640"/>
        <w:spacing w:after="0" w:line="243" w:lineRule="auto"/>
        <w:rPr>
          <w:rFonts w:ascii="Arial" w:cs="Arial" w:eastAsia="Arial" w:hAnsi="Arial"/>
          <w:sz w:val="16"/>
          <w:szCs w:val="16"/>
          <w:color w:val="0000FF"/>
        </w:rPr>
      </w:pPr>
      <w:hyperlink r:id="rId206">
        <w:r>
          <w:rPr>
            <w:rFonts w:ascii="Arial" w:cs="Arial" w:eastAsia="Arial" w:hAnsi="Arial"/>
            <w:sz w:val="16"/>
            <w:szCs w:val="16"/>
            <w:u w:val="single" w:color="auto"/>
            <w:color w:val="0000FF"/>
          </w:rPr>
          <w:t>3.31</w:t>
        </w:r>
        <w:r>
          <w:rPr>
            <w:rFonts w:ascii="Arial" w:cs="Arial" w:eastAsia="Arial" w:hAnsi="Arial"/>
            <w:sz w:val="16"/>
            <w:szCs w:val="16"/>
            <w:color w:val="0000FF"/>
          </w:rPr>
          <w:t xml:space="preserve"> </w:t>
        </w:r>
      </w:hyperlink>
      <w:r>
        <w:rPr>
          <w:rFonts w:ascii="Arial" w:cs="Arial" w:eastAsia="Arial" w:hAnsi="Arial"/>
          <w:sz w:val="16"/>
          <w:szCs w:val="16"/>
          <w:color w:val="000000"/>
        </w:rPr>
        <w:t>Twenty-Eighth Amendment to the First Amended and Restated Agreement of Limited Partnership of the Operating Partnership, dated as of</w:t>
      </w:r>
      <w:r>
        <w:rPr>
          <w:rFonts w:ascii="Arial" w:cs="Arial" w:eastAsia="Arial" w:hAnsi="Arial"/>
          <w:sz w:val="16"/>
          <w:szCs w:val="16"/>
          <w:color w:val="0000FF"/>
        </w:rPr>
        <w:t xml:space="preserve"> </w:t>
      </w:r>
      <w:r>
        <w:rPr>
          <w:rFonts w:ascii="Arial" w:cs="Arial" w:eastAsia="Arial" w:hAnsi="Arial"/>
          <w:sz w:val="16"/>
          <w:szCs w:val="16"/>
          <w:color w:val="000000"/>
        </w:rPr>
        <w:t>December 20, 2021, incorporated by reference to the Company's Form 8-K, dated as of December 20, 2021, filed with the SEC on December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22, 2021.</w:t>
      </w:r>
    </w:p>
    <w:p>
      <w:pPr>
        <w:spacing w:after="0" w:line="5" w:lineRule="exact"/>
        <w:rPr>
          <w:sz w:val="20"/>
          <w:szCs w:val="20"/>
          <w:color w:val="auto"/>
        </w:rPr>
      </w:pPr>
    </w:p>
    <w:p>
      <w:pPr>
        <w:jc w:val="right"/>
        <w:ind w:left="640"/>
        <w:spacing w:after="0" w:line="229" w:lineRule="auto"/>
        <w:rPr>
          <w:rFonts w:ascii="Arial" w:cs="Arial" w:eastAsia="Arial" w:hAnsi="Arial"/>
          <w:sz w:val="17"/>
          <w:szCs w:val="17"/>
          <w:color w:val="0000FF"/>
        </w:rPr>
      </w:pPr>
      <w:hyperlink r:id="rId207">
        <w:r>
          <w:rPr>
            <w:rFonts w:ascii="Arial" w:cs="Arial" w:eastAsia="Arial" w:hAnsi="Arial"/>
            <w:sz w:val="17"/>
            <w:szCs w:val="17"/>
            <w:u w:val="single" w:color="auto"/>
            <w:color w:val="0000FF"/>
          </w:rPr>
          <w:t>3.32</w:t>
        </w:r>
        <w:r>
          <w:rPr>
            <w:rFonts w:ascii="Arial" w:cs="Arial" w:eastAsia="Arial" w:hAnsi="Arial"/>
            <w:sz w:val="17"/>
            <w:szCs w:val="17"/>
            <w:color w:val="0000FF"/>
          </w:rPr>
          <w:t xml:space="preserve"> </w:t>
        </w:r>
      </w:hyperlink>
      <w:r>
        <w:rPr>
          <w:rFonts w:ascii="Arial" w:cs="Arial" w:eastAsia="Arial" w:hAnsi="Arial"/>
          <w:sz w:val="17"/>
          <w:szCs w:val="17"/>
          <w:color w:val="000000"/>
        </w:rPr>
        <w:t>Twenty-Ninth Amendment to the First Amended and Restated Agreement of Limited Partnership of the Operating Partnership, dated as of</w:t>
      </w:r>
      <w:r>
        <w:rPr>
          <w:rFonts w:ascii="Arial" w:cs="Arial" w:eastAsia="Arial" w:hAnsi="Arial"/>
          <w:sz w:val="17"/>
          <w:szCs w:val="17"/>
          <w:color w:val="0000FF"/>
        </w:rPr>
        <w:t xml:space="preserve"> </w:t>
      </w:r>
      <w:r>
        <w:rPr>
          <w:rFonts w:ascii="Arial" w:cs="Arial" w:eastAsia="Arial" w:hAnsi="Arial"/>
          <w:sz w:val="17"/>
          <w:szCs w:val="17"/>
          <w:color w:val="000000"/>
        </w:rPr>
        <w:t>October 26, 2022, incorporated by reference to the Company's Form 8-K, dated as of October 26, 2022, filed with the SEC on October 28,</w:t>
      </w:r>
    </w:p>
    <w:p>
      <w:pPr>
        <w:ind w:left="980"/>
        <w:spacing w:after="0"/>
        <w:rPr>
          <w:sz w:val="20"/>
          <w:szCs w:val="20"/>
          <w:color w:val="auto"/>
        </w:rPr>
      </w:pPr>
      <w:r>
        <w:rPr>
          <w:rFonts w:ascii="Arial" w:cs="Arial" w:eastAsia="Arial" w:hAnsi="Arial"/>
          <w:sz w:val="18"/>
          <w:szCs w:val="18"/>
          <w:color w:val="auto"/>
        </w:rPr>
        <w:t>2022.</w:t>
      </w:r>
    </w:p>
    <w:p>
      <w:pPr>
        <w:spacing w:after="0" w:line="5" w:lineRule="exact"/>
        <w:rPr>
          <w:sz w:val="20"/>
          <w:szCs w:val="20"/>
          <w:color w:val="auto"/>
        </w:rPr>
      </w:pPr>
    </w:p>
    <w:p>
      <w:pPr>
        <w:ind w:left="980" w:right="20" w:hanging="256"/>
        <w:spacing w:after="0" w:line="230" w:lineRule="auto"/>
        <w:rPr>
          <w:rFonts w:ascii="Arial" w:cs="Arial" w:eastAsia="Arial" w:hAnsi="Arial"/>
          <w:sz w:val="18"/>
          <w:szCs w:val="18"/>
          <w:color w:val="0000FF"/>
        </w:rPr>
      </w:pPr>
      <w:hyperlink r:id="rId208">
        <w:r>
          <w:rPr>
            <w:rFonts w:ascii="Arial" w:cs="Arial" w:eastAsia="Arial" w:hAnsi="Arial"/>
            <w:sz w:val="18"/>
            <w:szCs w:val="18"/>
            <w:u w:val="single" w:color="auto"/>
            <w:color w:val="0000FF"/>
          </w:rPr>
          <w:t>4.1</w:t>
        </w:r>
        <w:r>
          <w:rPr>
            <w:rFonts w:ascii="Arial" w:cs="Arial" w:eastAsia="Arial" w:hAnsi="Arial"/>
            <w:sz w:val="18"/>
            <w:szCs w:val="18"/>
            <w:color w:val="0000FF"/>
          </w:rPr>
          <w:t xml:space="preserve"> </w:t>
        </w:r>
      </w:hyperlink>
      <w:r>
        <w:rPr>
          <w:rFonts w:ascii="Arial" w:cs="Arial" w:eastAsia="Arial" w:hAnsi="Arial"/>
          <w:sz w:val="18"/>
          <w:szCs w:val="18"/>
          <w:color w:val="000000"/>
        </w:rPr>
        <w:t>Specimen</w:t>
      </w:r>
      <w:r>
        <w:rPr>
          <w:rFonts w:ascii="Arial" w:cs="Arial" w:eastAsia="Arial" w:hAnsi="Arial"/>
          <w:sz w:val="18"/>
          <w:szCs w:val="18"/>
          <w:color w:val="0000FF"/>
        </w:rPr>
        <w:t xml:space="preserve"> </w:t>
      </w:r>
      <w:r>
        <w:rPr>
          <w:rFonts w:ascii="Arial" w:cs="Arial" w:eastAsia="Arial" w:hAnsi="Arial"/>
          <w:sz w:val="18"/>
          <w:szCs w:val="18"/>
          <w:color w:val="000000"/>
        </w:rPr>
        <w:t>Common Stock Certificate, incorporated by reference to the Company's Registration Statement on Form S-11 (No. 333-29329),</w:t>
      </w:r>
      <w:r>
        <w:rPr>
          <w:rFonts w:ascii="Arial" w:cs="Arial" w:eastAsia="Arial" w:hAnsi="Arial"/>
          <w:sz w:val="18"/>
          <w:szCs w:val="18"/>
          <w:color w:val="0000FF"/>
        </w:rPr>
        <w:t xml:space="preserve"> </w:t>
      </w:r>
      <w:r>
        <w:rPr>
          <w:rFonts w:ascii="Arial" w:cs="Arial" w:eastAsia="Arial" w:hAnsi="Arial"/>
          <w:sz w:val="18"/>
          <w:szCs w:val="18"/>
          <w:color w:val="000000"/>
        </w:rPr>
        <w:t>declared effective by the SEC on August 14, 1997.</w:t>
      </w:r>
    </w:p>
    <w:p>
      <w:pPr>
        <w:spacing w:after="0" w:line="16" w:lineRule="exact"/>
        <w:rPr>
          <w:sz w:val="20"/>
          <w:szCs w:val="20"/>
          <w:color w:val="auto"/>
        </w:rPr>
      </w:pPr>
    </w:p>
    <w:p>
      <w:pPr>
        <w:jc w:val="right"/>
        <w:ind w:left="720"/>
        <w:spacing w:after="0" w:line="243" w:lineRule="auto"/>
        <w:rPr>
          <w:rFonts w:ascii="Arial" w:cs="Arial" w:eastAsia="Arial" w:hAnsi="Arial"/>
          <w:sz w:val="16"/>
          <w:szCs w:val="16"/>
          <w:color w:val="0000FF"/>
        </w:rPr>
      </w:pPr>
      <w:hyperlink r:id="rId185">
        <w:r>
          <w:rPr>
            <w:rFonts w:ascii="Arial" w:cs="Arial" w:eastAsia="Arial" w:hAnsi="Arial"/>
            <w:sz w:val="16"/>
            <w:szCs w:val="16"/>
            <w:u w:val="single" w:color="auto"/>
            <w:color w:val="0000FF"/>
          </w:rPr>
          <w:t>4.2</w:t>
        </w:r>
        <w:r>
          <w:rPr>
            <w:rFonts w:ascii="Arial" w:cs="Arial" w:eastAsia="Arial" w:hAnsi="Arial"/>
            <w:sz w:val="16"/>
            <w:szCs w:val="16"/>
            <w:color w:val="0000FF"/>
          </w:rPr>
          <w:t xml:space="preserve"> </w:t>
        </w:r>
      </w:hyperlink>
      <w:r>
        <w:rPr>
          <w:rFonts w:ascii="Arial" w:cs="Arial" w:eastAsia="Arial" w:hAnsi="Arial"/>
          <w:sz w:val="16"/>
          <w:szCs w:val="16"/>
          <w:color w:val="000000"/>
        </w:rPr>
        <w:t>Form</w:t>
      </w:r>
      <w:r>
        <w:rPr>
          <w:rFonts w:ascii="Arial" w:cs="Arial" w:eastAsia="Arial" w:hAnsi="Arial"/>
          <w:sz w:val="16"/>
          <w:szCs w:val="16"/>
          <w:color w:val="0000FF"/>
        </w:rPr>
        <w:t xml:space="preserve"> </w:t>
      </w:r>
      <w:r>
        <w:rPr>
          <w:rFonts w:ascii="Arial" w:cs="Arial" w:eastAsia="Arial" w:hAnsi="Arial"/>
          <w:sz w:val="16"/>
          <w:szCs w:val="16"/>
          <w:color w:val="000000"/>
        </w:rPr>
        <w:t>of stock certificate evidencing the 6.50% Series I Cumulative Redeemable Preferred Stock of the Company, liquidation preference</w:t>
      </w:r>
      <w:r>
        <w:rPr>
          <w:rFonts w:ascii="Arial" w:cs="Arial" w:eastAsia="Arial" w:hAnsi="Arial"/>
          <w:sz w:val="16"/>
          <w:szCs w:val="16"/>
          <w:color w:val="0000FF"/>
        </w:rPr>
        <w:t xml:space="preserve"> </w:t>
      </w:r>
      <w:r>
        <w:rPr>
          <w:rFonts w:ascii="Arial" w:cs="Arial" w:eastAsia="Arial" w:hAnsi="Arial"/>
          <w:sz w:val="16"/>
          <w:szCs w:val="16"/>
          <w:color w:val="000000"/>
        </w:rPr>
        <w:t>$25.00 per share, par value $0.01 per share, incorporated by reference to the Company's Form 8-K, dated August 9, 2012, filed with the SEC</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August 10, 2012.</w:t>
      </w:r>
    </w:p>
    <w:p>
      <w:pPr>
        <w:spacing w:after="0" w:line="5" w:lineRule="exact"/>
        <w:rPr>
          <w:sz w:val="20"/>
          <w:szCs w:val="20"/>
          <w:color w:val="auto"/>
        </w:rPr>
      </w:pPr>
    </w:p>
    <w:p>
      <w:pPr>
        <w:ind w:left="980" w:right="20" w:hanging="256"/>
        <w:spacing w:after="0" w:line="269" w:lineRule="auto"/>
        <w:rPr>
          <w:rFonts w:ascii="Arial" w:cs="Arial" w:eastAsia="Arial" w:hAnsi="Arial"/>
          <w:sz w:val="16"/>
          <w:szCs w:val="16"/>
          <w:color w:val="0000FF"/>
        </w:rPr>
      </w:pPr>
      <w:hyperlink r:id="rId209">
        <w:r>
          <w:rPr>
            <w:rFonts w:ascii="Arial" w:cs="Arial" w:eastAsia="Arial" w:hAnsi="Arial"/>
            <w:sz w:val="16"/>
            <w:szCs w:val="16"/>
            <w:u w:val="single" w:color="auto"/>
            <w:color w:val="0000FF"/>
          </w:rPr>
          <w:t>4.3</w:t>
        </w:r>
        <w:r>
          <w:rPr>
            <w:rFonts w:ascii="Arial" w:cs="Arial" w:eastAsia="Arial" w:hAnsi="Arial"/>
            <w:sz w:val="16"/>
            <w:szCs w:val="16"/>
            <w:color w:val="0000FF"/>
          </w:rPr>
          <w:t xml:space="preserve"> </w:t>
        </w:r>
      </w:hyperlink>
      <w:r>
        <w:rPr>
          <w:rFonts w:ascii="Arial" w:cs="Arial" w:eastAsia="Arial" w:hAnsi="Arial"/>
          <w:sz w:val="16"/>
          <w:szCs w:val="16"/>
          <w:color w:val="000000"/>
        </w:rPr>
        <w:t>Indenture,</w:t>
      </w:r>
      <w:r>
        <w:rPr>
          <w:rFonts w:ascii="Arial" w:cs="Arial" w:eastAsia="Arial" w:hAnsi="Arial"/>
          <w:sz w:val="16"/>
          <w:szCs w:val="16"/>
          <w:color w:val="0000FF"/>
        </w:rPr>
        <w:t xml:space="preserve"> </w:t>
      </w:r>
      <w:r>
        <w:rPr>
          <w:rFonts w:ascii="Arial" w:cs="Arial" w:eastAsia="Arial" w:hAnsi="Arial"/>
          <w:sz w:val="16"/>
          <w:szCs w:val="16"/>
          <w:color w:val="000000"/>
        </w:rPr>
        <w:t>dated as of August 5, 2011, among the Company, the Operating Partnership and ROP, as Co-Obligors, and The Bank of New York</w:t>
      </w:r>
      <w:r>
        <w:rPr>
          <w:rFonts w:ascii="Arial" w:cs="Arial" w:eastAsia="Arial" w:hAnsi="Arial"/>
          <w:sz w:val="16"/>
          <w:szCs w:val="16"/>
          <w:color w:val="0000FF"/>
        </w:rPr>
        <w:t xml:space="preserve"> </w:t>
      </w:r>
      <w:r>
        <w:rPr>
          <w:rFonts w:ascii="Arial" w:cs="Arial" w:eastAsia="Arial" w:hAnsi="Arial"/>
          <w:sz w:val="16"/>
          <w:szCs w:val="16"/>
          <w:color w:val="000000"/>
        </w:rPr>
        <w:t>Mellon, as Trustee, incorporated by reference to the Company's Form 8-K, dated August 5, 2011, filed with the SEC on August 5, 2011.</w:t>
      </w:r>
    </w:p>
    <w:p>
      <w:pPr>
        <w:jc w:val="right"/>
        <w:ind w:left="720"/>
        <w:spacing w:after="0" w:line="243" w:lineRule="auto"/>
        <w:rPr>
          <w:rFonts w:ascii="Arial" w:cs="Arial" w:eastAsia="Arial" w:hAnsi="Arial"/>
          <w:sz w:val="16"/>
          <w:szCs w:val="16"/>
          <w:color w:val="0000FF"/>
        </w:rPr>
      </w:pPr>
      <w:hyperlink r:id="rId210">
        <w:r>
          <w:rPr>
            <w:rFonts w:ascii="Arial" w:cs="Arial" w:eastAsia="Arial" w:hAnsi="Arial"/>
            <w:sz w:val="16"/>
            <w:szCs w:val="16"/>
            <w:u w:val="single" w:color="auto"/>
            <w:color w:val="0000FF"/>
          </w:rPr>
          <w:t>4.4</w:t>
        </w:r>
        <w:r>
          <w:rPr>
            <w:rFonts w:ascii="Arial" w:cs="Arial" w:eastAsia="Arial" w:hAnsi="Arial"/>
            <w:sz w:val="16"/>
            <w:szCs w:val="16"/>
            <w:color w:val="0000FF"/>
          </w:rPr>
          <w:t xml:space="preserve"> </w:t>
        </w:r>
      </w:hyperlink>
      <w:r>
        <w:rPr>
          <w:rFonts w:ascii="Arial" w:cs="Arial" w:eastAsia="Arial" w:hAnsi="Arial"/>
          <w:sz w:val="16"/>
          <w:szCs w:val="16"/>
          <w:color w:val="000000"/>
        </w:rPr>
        <w:t>Second</w:t>
      </w:r>
      <w:r>
        <w:rPr>
          <w:rFonts w:ascii="Arial" w:cs="Arial" w:eastAsia="Arial" w:hAnsi="Arial"/>
          <w:sz w:val="16"/>
          <w:szCs w:val="16"/>
          <w:color w:val="0000FF"/>
        </w:rPr>
        <w:t xml:space="preserve"> </w:t>
      </w:r>
      <w:r>
        <w:rPr>
          <w:rFonts w:ascii="Arial" w:cs="Arial" w:eastAsia="Arial" w:hAnsi="Arial"/>
          <w:sz w:val="16"/>
          <w:szCs w:val="16"/>
          <w:color w:val="000000"/>
        </w:rPr>
        <w:t>Supplemental Indenture, dated as of November 15, 2012, among the Company, the Operating Partnership and ROP, as Co-Obligors,</w:t>
      </w:r>
      <w:r>
        <w:rPr>
          <w:rFonts w:ascii="Arial" w:cs="Arial" w:eastAsia="Arial" w:hAnsi="Arial"/>
          <w:sz w:val="16"/>
          <w:szCs w:val="16"/>
          <w:color w:val="0000FF"/>
        </w:rPr>
        <w:t xml:space="preserve"> </w:t>
      </w:r>
      <w:r>
        <w:rPr>
          <w:rFonts w:ascii="Arial" w:cs="Arial" w:eastAsia="Arial" w:hAnsi="Arial"/>
          <w:sz w:val="16"/>
          <w:szCs w:val="16"/>
          <w:color w:val="000000"/>
        </w:rPr>
        <w:t>and The Bank of New York Mellon, as Trustee, incorporated by reference to the Company's Form 8-K, dated November 9, 2012, filed with the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 on November 15, 2012.</w:t>
      </w:r>
    </w:p>
    <w:p>
      <w:pPr>
        <w:spacing w:after="0" w:line="5" w:lineRule="exact"/>
        <w:rPr>
          <w:sz w:val="20"/>
          <w:szCs w:val="20"/>
          <w:color w:val="auto"/>
        </w:rPr>
      </w:pPr>
    </w:p>
    <w:p>
      <w:pPr>
        <w:ind w:left="980" w:hanging="256"/>
        <w:spacing w:after="0" w:line="230" w:lineRule="auto"/>
        <w:rPr>
          <w:rFonts w:ascii="Arial" w:cs="Arial" w:eastAsia="Arial" w:hAnsi="Arial"/>
          <w:sz w:val="18"/>
          <w:szCs w:val="18"/>
          <w:color w:val="0000FF"/>
        </w:rPr>
      </w:pPr>
      <w:hyperlink r:id="rId210">
        <w:r>
          <w:rPr>
            <w:rFonts w:ascii="Arial" w:cs="Arial" w:eastAsia="Arial" w:hAnsi="Arial"/>
            <w:sz w:val="18"/>
            <w:szCs w:val="18"/>
            <w:u w:val="single" w:color="auto"/>
            <w:color w:val="0000FF"/>
          </w:rPr>
          <w:t>4.5</w:t>
        </w:r>
        <w:r>
          <w:rPr>
            <w:rFonts w:ascii="Arial" w:cs="Arial" w:eastAsia="Arial" w:hAnsi="Arial"/>
            <w:sz w:val="18"/>
            <w:szCs w:val="18"/>
            <w:color w:val="0000FF"/>
          </w:rPr>
          <w:t xml:space="preserve"> </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4.50% Senior Note due 2022 of the Company, the Operating Partnership and ROP, as Co-Obligors, incorporated by reference to the</w:t>
      </w:r>
      <w:r>
        <w:rPr>
          <w:rFonts w:ascii="Arial" w:cs="Arial" w:eastAsia="Arial" w:hAnsi="Arial"/>
          <w:sz w:val="18"/>
          <w:szCs w:val="18"/>
          <w:color w:val="0000FF"/>
        </w:rPr>
        <w:t xml:space="preserve"> </w:t>
      </w:r>
      <w:r>
        <w:rPr>
          <w:rFonts w:ascii="Arial" w:cs="Arial" w:eastAsia="Arial" w:hAnsi="Arial"/>
          <w:sz w:val="18"/>
          <w:szCs w:val="18"/>
          <w:color w:val="000000"/>
        </w:rPr>
        <w:t>Company's Form 8-K, dated November 9, 2012, filed with the SEC on November 15, 2012.</w:t>
      </w:r>
    </w:p>
    <w:p>
      <w:pPr>
        <w:spacing w:after="0" w:line="16" w:lineRule="exact"/>
        <w:rPr>
          <w:sz w:val="20"/>
          <w:szCs w:val="20"/>
          <w:color w:val="auto"/>
        </w:rPr>
      </w:pPr>
    </w:p>
    <w:p>
      <w:pPr>
        <w:jc w:val="right"/>
        <w:ind w:left="720"/>
        <w:spacing w:after="0" w:line="243" w:lineRule="auto"/>
        <w:rPr>
          <w:rFonts w:ascii="Arial" w:cs="Arial" w:eastAsia="Arial" w:hAnsi="Arial"/>
          <w:sz w:val="16"/>
          <w:szCs w:val="16"/>
          <w:color w:val="0000FF"/>
        </w:rPr>
      </w:pPr>
      <w:hyperlink r:id="rId211">
        <w:r>
          <w:rPr>
            <w:rFonts w:ascii="Arial" w:cs="Arial" w:eastAsia="Arial" w:hAnsi="Arial"/>
            <w:sz w:val="16"/>
            <w:szCs w:val="16"/>
            <w:u w:val="single" w:color="auto"/>
            <w:color w:val="0000FF"/>
          </w:rPr>
          <w:t>4.6</w:t>
        </w:r>
        <w:r>
          <w:rPr>
            <w:rFonts w:ascii="Arial" w:cs="Arial" w:eastAsia="Arial" w:hAnsi="Arial"/>
            <w:sz w:val="16"/>
            <w:szCs w:val="16"/>
            <w:color w:val="0000FF"/>
          </w:rPr>
          <w:t xml:space="preserve"> </w:t>
        </w:r>
      </w:hyperlink>
      <w:r>
        <w:rPr>
          <w:rFonts w:ascii="Arial" w:cs="Arial" w:eastAsia="Arial" w:hAnsi="Arial"/>
          <w:sz w:val="16"/>
          <w:szCs w:val="16"/>
          <w:color w:val="000000"/>
        </w:rPr>
        <w:t>Third</w:t>
      </w:r>
      <w:r>
        <w:rPr>
          <w:rFonts w:ascii="Arial" w:cs="Arial" w:eastAsia="Arial" w:hAnsi="Arial"/>
          <w:sz w:val="16"/>
          <w:szCs w:val="16"/>
          <w:color w:val="0000FF"/>
        </w:rPr>
        <w:t xml:space="preserve"> </w:t>
      </w:r>
      <w:r>
        <w:rPr>
          <w:rFonts w:ascii="Arial" w:cs="Arial" w:eastAsia="Arial" w:hAnsi="Arial"/>
          <w:sz w:val="16"/>
          <w:szCs w:val="16"/>
          <w:color w:val="000000"/>
        </w:rPr>
        <w:t>Supplemental Indenture, dated as of December 28, 2018, among SL Green Realty Corp., SL Green Operating Partnership, L.P. and The</w:t>
      </w:r>
      <w:r>
        <w:rPr>
          <w:rFonts w:ascii="Arial" w:cs="Arial" w:eastAsia="Arial" w:hAnsi="Arial"/>
          <w:sz w:val="16"/>
          <w:szCs w:val="16"/>
          <w:color w:val="0000FF"/>
        </w:rPr>
        <w:t xml:space="preserve"> </w:t>
      </w:r>
      <w:r>
        <w:rPr>
          <w:rFonts w:ascii="Arial" w:cs="Arial" w:eastAsia="Arial" w:hAnsi="Arial"/>
          <w:sz w:val="16"/>
          <w:szCs w:val="16"/>
          <w:color w:val="000000"/>
        </w:rPr>
        <w:t>Bank of New York Mellon, as Trustee, to the Indenture, dated as of August 5, 2011, among SL Green Realty Corp., SL Green Operating</w:t>
      </w:r>
    </w:p>
    <w:p>
      <w:pPr>
        <w:spacing w:after="0" w:line="1" w:lineRule="exact"/>
        <w:rPr>
          <w:sz w:val="20"/>
          <w:szCs w:val="20"/>
          <w:color w:val="auto"/>
        </w:rPr>
      </w:pPr>
    </w:p>
    <w:p>
      <w:pPr>
        <w:ind w:left="980" w:right="20"/>
        <w:spacing w:after="0" w:line="222" w:lineRule="auto"/>
        <w:rPr>
          <w:sz w:val="20"/>
          <w:szCs w:val="20"/>
          <w:color w:val="auto"/>
        </w:rPr>
      </w:pPr>
      <w:r>
        <w:rPr>
          <w:rFonts w:ascii="Arial" w:cs="Arial" w:eastAsia="Arial" w:hAnsi="Arial"/>
          <w:sz w:val="18"/>
          <w:szCs w:val="18"/>
          <w:color w:val="auto"/>
        </w:rPr>
        <w:t>Partnership, L.P., Reckson Operating Partnership, L.P. and The Bank of New York Mellon, as Trustee, incorporated by reference to the Company's Form 8-K, dated December 28, 2018, filed with the SEC on January 2, 2019.</w:t>
      </w:r>
    </w:p>
    <w:p>
      <w:pPr>
        <w:spacing w:after="0" w:line="2" w:lineRule="exact"/>
        <w:rPr>
          <w:sz w:val="20"/>
          <w:szCs w:val="20"/>
          <w:color w:val="auto"/>
        </w:rPr>
      </w:pPr>
    </w:p>
    <w:p>
      <w:pPr>
        <w:jc w:val="right"/>
        <w:ind w:left="720"/>
        <w:spacing w:after="0" w:line="278" w:lineRule="auto"/>
        <w:rPr>
          <w:rFonts w:ascii="Arial" w:cs="Arial" w:eastAsia="Arial" w:hAnsi="Arial"/>
          <w:sz w:val="14"/>
          <w:szCs w:val="14"/>
          <w:color w:val="0000FF"/>
        </w:rPr>
      </w:pPr>
      <w:hyperlink r:id="rId212">
        <w:r>
          <w:rPr>
            <w:rFonts w:ascii="Arial" w:cs="Arial" w:eastAsia="Arial" w:hAnsi="Arial"/>
            <w:sz w:val="14"/>
            <w:szCs w:val="14"/>
            <w:u w:val="single" w:color="auto"/>
            <w:color w:val="0000FF"/>
          </w:rPr>
          <w:t>4.7</w:t>
        </w:r>
        <w:r>
          <w:rPr>
            <w:rFonts w:ascii="Arial" w:cs="Arial" w:eastAsia="Arial" w:hAnsi="Arial"/>
            <w:sz w:val="14"/>
            <w:szCs w:val="14"/>
            <w:color w:val="0000FF"/>
          </w:rPr>
          <w:t xml:space="preserve"> </w:t>
        </w:r>
      </w:hyperlink>
      <w:r>
        <w:rPr>
          <w:rFonts w:ascii="Arial" w:cs="Arial" w:eastAsia="Arial" w:hAnsi="Arial"/>
          <w:sz w:val="14"/>
          <w:szCs w:val="14"/>
          <w:color w:val="000000"/>
        </w:rPr>
        <w:t>Junior</w:t>
      </w:r>
      <w:r>
        <w:rPr>
          <w:rFonts w:ascii="Arial" w:cs="Arial" w:eastAsia="Arial" w:hAnsi="Arial"/>
          <w:sz w:val="14"/>
          <w:szCs w:val="14"/>
          <w:color w:val="0000FF"/>
        </w:rPr>
        <w:t xml:space="preserve"> </w:t>
      </w:r>
      <w:r>
        <w:rPr>
          <w:rFonts w:ascii="Arial" w:cs="Arial" w:eastAsia="Arial" w:hAnsi="Arial"/>
          <w:sz w:val="14"/>
          <w:szCs w:val="14"/>
          <w:color w:val="000000"/>
        </w:rPr>
        <w:t>Subordinated Indenture, dated as of June 30, 2005, between the Operating Partnership and JPMorgan Chase Bank, National Association,</w:t>
      </w:r>
      <w:r>
        <w:rPr>
          <w:rFonts w:ascii="Arial" w:cs="Arial" w:eastAsia="Arial" w:hAnsi="Arial"/>
          <w:sz w:val="14"/>
          <w:szCs w:val="14"/>
          <w:color w:val="0000FF"/>
        </w:rPr>
        <w:t xml:space="preserve"> </w:t>
      </w:r>
      <w:r>
        <w:rPr>
          <w:rFonts w:ascii="Arial" w:cs="Arial" w:eastAsia="Arial" w:hAnsi="Arial"/>
          <w:sz w:val="14"/>
          <w:szCs w:val="14"/>
          <w:color w:val="000000"/>
        </w:rPr>
        <w:t>as Trustee, incorporated by reference to the Company's Quarterly Report on Form 10-Q for the quarter ended June 30, 2005, filed with the SEC</w:t>
      </w:r>
    </w:p>
    <w:p>
      <w:pPr>
        <w:ind w:left="980"/>
        <w:spacing w:after="0"/>
        <w:rPr>
          <w:sz w:val="20"/>
          <w:szCs w:val="20"/>
          <w:color w:val="auto"/>
        </w:rPr>
      </w:pPr>
      <w:r>
        <w:rPr>
          <w:rFonts w:ascii="Arial" w:cs="Arial" w:eastAsia="Arial" w:hAnsi="Arial"/>
          <w:sz w:val="18"/>
          <w:szCs w:val="18"/>
          <w:color w:val="auto"/>
        </w:rPr>
        <w:t>on August 9, 2005.</w:t>
      </w:r>
    </w:p>
    <w:p>
      <w:pPr>
        <w:spacing w:after="0" w:line="5" w:lineRule="exact"/>
        <w:rPr>
          <w:sz w:val="20"/>
          <w:szCs w:val="20"/>
          <w:color w:val="auto"/>
        </w:rPr>
      </w:pPr>
    </w:p>
    <w:p>
      <w:pPr>
        <w:jc w:val="right"/>
        <w:ind w:left="720"/>
        <w:spacing w:after="0" w:line="278" w:lineRule="auto"/>
        <w:rPr>
          <w:rFonts w:ascii="Arial" w:cs="Arial" w:eastAsia="Arial" w:hAnsi="Arial"/>
          <w:sz w:val="14"/>
          <w:szCs w:val="14"/>
          <w:color w:val="0000FF"/>
        </w:rPr>
      </w:pPr>
      <w:hyperlink r:id="rId213">
        <w:r>
          <w:rPr>
            <w:rFonts w:ascii="Arial" w:cs="Arial" w:eastAsia="Arial" w:hAnsi="Arial"/>
            <w:sz w:val="14"/>
            <w:szCs w:val="14"/>
            <w:u w:val="single" w:color="auto"/>
            <w:color w:val="0000FF"/>
          </w:rPr>
          <w:t>4.8</w:t>
        </w:r>
        <w:r>
          <w:rPr>
            <w:rFonts w:ascii="Arial" w:cs="Arial" w:eastAsia="Arial" w:hAnsi="Arial"/>
            <w:sz w:val="14"/>
            <w:szCs w:val="14"/>
            <w:color w:val="0000FF"/>
          </w:rPr>
          <w:t xml:space="preserve"> </w:t>
        </w:r>
      </w:hyperlink>
      <w:r>
        <w:rPr>
          <w:rFonts w:ascii="Arial" w:cs="Arial" w:eastAsia="Arial" w:hAnsi="Arial"/>
          <w:sz w:val="14"/>
          <w:szCs w:val="14"/>
          <w:color w:val="000000"/>
        </w:rPr>
        <w:t>Indenture,</w:t>
      </w:r>
      <w:r>
        <w:rPr>
          <w:rFonts w:ascii="Arial" w:cs="Arial" w:eastAsia="Arial" w:hAnsi="Arial"/>
          <w:sz w:val="14"/>
          <w:szCs w:val="14"/>
          <w:color w:val="0000FF"/>
        </w:rPr>
        <w:t xml:space="preserve"> </w:t>
      </w:r>
      <w:r>
        <w:rPr>
          <w:rFonts w:ascii="Arial" w:cs="Arial" w:eastAsia="Arial" w:hAnsi="Arial"/>
          <w:sz w:val="14"/>
          <w:szCs w:val="14"/>
          <w:color w:val="000000"/>
        </w:rPr>
        <w:t>dated as of October 5, 2017, among the Company, the Operating Partnership, ROP and Wells Fargo Securities, LLC and J.P. Morgan</w:t>
      </w:r>
      <w:r>
        <w:rPr>
          <w:rFonts w:ascii="Arial" w:cs="Arial" w:eastAsia="Arial" w:hAnsi="Arial"/>
          <w:sz w:val="14"/>
          <w:szCs w:val="14"/>
          <w:color w:val="0000FF"/>
        </w:rPr>
        <w:t xml:space="preserve"> </w:t>
      </w:r>
      <w:r>
        <w:rPr>
          <w:rFonts w:ascii="Arial" w:cs="Arial" w:eastAsia="Arial" w:hAnsi="Arial"/>
          <w:sz w:val="14"/>
          <w:szCs w:val="14"/>
          <w:color w:val="000000"/>
        </w:rPr>
        <w:t>Securities LLC, as representatives of the several underwriters, incorporated by reference to the Company’s Form 8-K, dated October 5, 2017,</w:t>
      </w:r>
    </w:p>
    <w:p>
      <w:pPr>
        <w:ind w:left="980"/>
        <w:spacing w:after="0"/>
        <w:rPr>
          <w:sz w:val="20"/>
          <w:szCs w:val="20"/>
          <w:color w:val="auto"/>
        </w:rPr>
      </w:pPr>
      <w:r>
        <w:rPr>
          <w:rFonts w:ascii="Arial" w:cs="Arial" w:eastAsia="Arial" w:hAnsi="Arial"/>
          <w:sz w:val="18"/>
          <w:szCs w:val="18"/>
          <w:color w:val="auto"/>
        </w:rPr>
        <w:t>filed with the SEC on October 5, 2017.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right"/>
        <w:ind w:left="720"/>
        <w:spacing w:after="0" w:line="243" w:lineRule="auto"/>
        <w:rPr>
          <w:rFonts w:ascii="Arial" w:cs="Arial" w:eastAsia="Arial" w:hAnsi="Arial"/>
          <w:sz w:val="16"/>
          <w:szCs w:val="16"/>
          <w:color w:val="0000FF"/>
        </w:rPr>
      </w:pPr>
      <w:hyperlink r:id="rId215">
        <w:r>
          <w:rPr>
            <w:rFonts w:ascii="Arial" w:cs="Arial" w:eastAsia="Arial" w:hAnsi="Arial"/>
            <w:sz w:val="16"/>
            <w:szCs w:val="16"/>
            <w:u w:val="single" w:color="auto"/>
            <w:color w:val="0000FF"/>
          </w:rPr>
          <w:t>4.9</w:t>
        </w:r>
        <w:r>
          <w:rPr>
            <w:rFonts w:ascii="Arial" w:cs="Arial" w:eastAsia="Arial" w:hAnsi="Arial"/>
            <w:sz w:val="16"/>
            <w:szCs w:val="16"/>
            <w:color w:val="0000FF"/>
          </w:rPr>
          <w:t xml:space="preserve"> </w:t>
        </w:r>
      </w:hyperlink>
      <w:r>
        <w:rPr>
          <w:rFonts w:ascii="Arial" w:cs="Arial" w:eastAsia="Arial" w:hAnsi="Arial"/>
          <w:sz w:val="16"/>
          <w:szCs w:val="16"/>
          <w:color w:val="000000"/>
        </w:rPr>
        <w:t>First</w:t>
      </w:r>
      <w:r>
        <w:rPr>
          <w:rFonts w:ascii="Arial" w:cs="Arial" w:eastAsia="Arial" w:hAnsi="Arial"/>
          <w:sz w:val="16"/>
          <w:szCs w:val="16"/>
          <w:color w:val="0000FF"/>
        </w:rPr>
        <w:t xml:space="preserve"> </w:t>
      </w:r>
      <w:r>
        <w:rPr>
          <w:rFonts w:ascii="Arial" w:cs="Arial" w:eastAsia="Arial" w:hAnsi="Arial"/>
          <w:sz w:val="16"/>
          <w:szCs w:val="16"/>
          <w:color w:val="000000"/>
        </w:rPr>
        <w:t>Supplemental Indenture, dated as of October 5, 2017, among the Operating Partnership, as Issuer, the Company and ROP, as Guarantors,</w:t>
      </w:r>
      <w:r>
        <w:rPr>
          <w:rFonts w:ascii="Arial" w:cs="Arial" w:eastAsia="Arial" w:hAnsi="Arial"/>
          <w:sz w:val="16"/>
          <w:szCs w:val="16"/>
          <w:color w:val="0000FF"/>
        </w:rPr>
        <w:t xml:space="preserve"> </w:t>
      </w:r>
      <w:r>
        <w:rPr>
          <w:rFonts w:ascii="Arial" w:cs="Arial" w:eastAsia="Arial" w:hAnsi="Arial"/>
          <w:sz w:val="16"/>
          <w:szCs w:val="16"/>
          <w:color w:val="000000"/>
        </w:rPr>
        <w:t>and The Bank of New York Mellon, as Trustee, incorporated by reference to the Company’s Form 8-K, dated October 5, 2017, filed with the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 on October 5, 2017.</w:t>
      </w:r>
    </w:p>
    <w:p>
      <w:pPr>
        <w:spacing w:after="0" w:line="5" w:lineRule="exact"/>
        <w:rPr>
          <w:sz w:val="20"/>
          <w:szCs w:val="20"/>
          <w:color w:val="auto"/>
        </w:rPr>
      </w:pPr>
    </w:p>
    <w:p>
      <w:pPr>
        <w:ind w:left="640"/>
        <w:spacing w:after="0"/>
        <w:rPr>
          <w:rFonts w:ascii="Arial" w:cs="Arial" w:eastAsia="Arial" w:hAnsi="Arial"/>
          <w:sz w:val="16"/>
          <w:szCs w:val="16"/>
          <w:color w:val="0000FF"/>
        </w:rPr>
      </w:pPr>
      <w:hyperlink r:id="rId213">
        <w:r>
          <w:rPr>
            <w:rFonts w:ascii="Arial" w:cs="Arial" w:eastAsia="Arial" w:hAnsi="Arial"/>
            <w:sz w:val="16"/>
            <w:szCs w:val="16"/>
            <w:u w:val="single" w:color="auto"/>
            <w:color w:val="0000FF"/>
          </w:rPr>
          <w:t>4.10</w:t>
        </w:r>
        <w:r>
          <w:rPr>
            <w:rFonts w:ascii="Arial" w:cs="Arial" w:eastAsia="Arial" w:hAnsi="Arial"/>
            <w:sz w:val="16"/>
            <w:szCs w:val="16"/>
            <w:color w:val="0000FF"/>
          </w:rPr>
          <w:t xml:space="preserve"> </w:t>
        </w:r>
      </w:hyperlink>
      <w:r>
        <w:rPr>
          <w:rFonts w:ascii="Arial" w:cs="Arial" w:eastAsia="Arial" w:hAnsi="Arial"/>
          <w:sz w:val="16"/>
          <w:szCs w:val="16"/>
          <w:color w:val="000000"/>
        </w:rPr>
        <w:t>Form</w:t>
      </w:r>
      <w:r>
        <w:rPr>
          <w:rFonts w:ascii="Arial" w:cs="Arial" w:eastAsia="Arial" w:hAnsi="Arial"/>
          <w:sz w:val="16"/>
          <w:szCs w:val="16"/>
          <w:color w:val="0000FF"/>
        </w:rPr>
        <w:t xml:space="preserve"> </w:t>
      </w:r>
      <w:r>
        <w:rPr>
          <w:rFonts w:ascii="Arial" w:cs="Arial" w:eastAsia="Arial" w:hAnsi="Arial"/>
          <w:sz w:val="16"/>
          <w:szCs w:val="16"/>
          <w:color w:val="000000"/>
        </w:rPr>
        <w:t>of 3.250% Senior Note due 2022 of the Operating Partnership, incorporated by reference to the Company’s Form 8-K, dated October 5,</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2017, filed with the SEC on October 5, 2017.</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4.11</w:t>
      </w:r>
      <w:r>
        <w:rPr>
          <w:rFonts w:ascii="Arial" w:cs="Arial" w:eastAsia="Arial" w:hAnsi="Arial"/>
          <w:sz w:val="17"/>
          <w:szCs w:val="17"/>
          <w:color w:val="0000FF"/>
        </w:rPr>
        <w:t xml:space="preserve"> </w:t>
      </w:r>
      <w:r>
        <w:rPr>
          <w:rFonts w:ascii="Arial" w:cs="Arial" w:eastAsia="Arial" w:hAnsi="Arial"/>
          <w:sz w:val="17"/>
          <w:szCs w:val="17"/>
          <w:color w:val="000000"/>
        </w:rPr>
        <w:t>Description of the registrant's securities registered pursuant to section 12 of the Securities and Exchange Act of 1934, filed herewith</w:t>
      </w:r>
    </w:p>
    <w:p>
      <w:pPr>
        <w:spacing w:after="0" w:line="31" w:lineRule="exact"/>
        <w:rPr>
          <w:sz w:val="20"/>
          <w:szCs w:val="20"/>
          <w:color w:val="auto"/>
        </w:rPr>
      </w:pPr>
    </w:p>
    <w:p>
      <w:pPr>
        <w:ind w:left="980" w:hanging="345"/>
        <w:spacing w:after="0" w:line="230" w:lineRule="auto"/>
        <w:rPr>
          <w:rFonts w:ascii="Arial" w:cs="Arial" w:eastAsia="Arial" w:hAnsi="Arial"/>
          <w:sz w:val="18"/>
          <w:szCs w:val="18"/>
          <w:color w:val="0000FF"/>
        </w:rPr>
      </w:pPr>
      <w:hyperlink r:id="rId216">
        <w:r>
          <w:rPr>
            <w:rFonts w:ascii="Arial" w:cs="Arial" w:eastAsia="Arial" w:hAnsi="Arial"/>
            <w:sz w:val="18"/>
            <w:szCs w:val="18"/>
            <w:u w:val="single" w:color="auto"/>
            <w:color w:val="0000FF"/>
          </w:rPr>
          <w:t>10.1</w:t>
        </w:r>
        <w:r>
          <w:rPr>
            <w:rFonts w:ascii="Arial" w:cs="Arial" w:eastAsia="Arial" w:hAnsi="Arial"/>
            <w:sz w:val="18"/>
            <w:szCs w:val="18"/>
            <w:color w:val="0000FF"/>
          </w:rPr>
          <w:t xml:space="preserve"> </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Agreement of Limited Partnership of ROP, dated December 6, 1995, incorporated by reference to the Company's</w:t>
      </w:r>
      <w:r>
        <w:rPr>
          <w:rFonts w:ascii="Arial" w:cs="Arial" w:eastAsia="Arial" w:hAnsi="Arial"/>
          <w:sz w:val="18"/>
          <w:szCs w:val="18"/>
          <w:color w:val="0000FF"/>
        </w:rPr>
        <w:t xml:space="preserve"> </w:t>
      </w:r>
      <w:r>
        <w:rPr>
          <w:rFonts w:ascii="Arial" w:cs="Arial" w:eastAsia="Arial" w:hAnsi="Arial"/>
          <w:sz w:val="18"/>
          <w:szCs w:val="18"/>
          <w:color w:val="000000"/>
        </w:rPr>
        <w:t>Annual Report on Form 10-K for the year ended December 31, 2017, filed with the SEC on February 23, 2018.</w:t>
      </w:r>
    </w:p>
    <w:p>
      <w:pPr>
        <w:spacing w:after="0" w:line="16" w:lineRule="exact"/>
        <w:rPr>
          <w:sz w:val="20"/>
          <w:szCs w:val="20"/>
          <w:color w:val="auto"/>
        </w:rPr>
      </w:pPr>
    </w:p>
    <w:p>
      <w:pPr>
        <w:jc w:val="right"/>
        <w:ind w:left="640"/>
        <w:spacing w:after="0" w:line="243" w:lineRule="auto"/>
        <w:rPr>
          <w:rFonts w:ascii="Arial" w:cs="Arial" w:eastAsia="Arial" w:hAnsi="Arial"/>
          <w:sz w:val="16"/>
          <w:szCs w:val="16"/>
          <w:color w:val="0000FF"/>
        </w:rPr>
      </w:pPr>
      <w:hyperlink r:id="rId217">
        <w:r>
          <w:rPr>
            <w:rFonts w:ascii="Arial" w:cs="Arial" w:eastAsia="Arial" w:hAnsi="Arial"/>
            <w:sz w:val="16"/>
            <w:szCs w:val="16"/>
            <w:u w:val="single" w:color="auto"/>
            <w:color w:val="0000FF"/>
          </w:rPr>
          <w:t>10.2</w:t>
        </w:r>
        <w:r>
          <w:rPr>
            <w:rFonts w:ascii="Arial" w:cs="Arial" w:eastAsia="Arial" w:hAnsi="Arial"/>
            <w:sz w:val="16"/>
            <w:szCs w:val="16"/>
            <w:color w:val="0000FF"/>
          </w:rPr>
          <w:t xml:space="preserve"> </w:t>
        </w:r>
      </w:hyperlink>
      <w:r>
        <w:rPr>
          <w:rFonts w:ascii="Arial" w:cs="Arial" w:eastAsia="Arial" w:hAnsi="Arial"/>
          <w:sz w:val="16"/>
          <w:szCs w:val="16"/>
          <w:color w:val="000000"/>
        </w:rPr>
        <w:t>Supplement</w:t>
      </w:r>
      <w:r>
        <w:rPr>
          <w:rFonts w:ascii="Arial" w:cs="Arial" w:eastAsia="Arial" w:hAnsi="Arial"/>
          <w:sz w:val="16"/>
          <w:szCs w:val="16"/>
          <w:color w:val="0000FF"/>
        </w:rPr>
        <w:t xml:space="preserve"> </w:t>
      </w:r>
      <w:r>
        <w:rPr>
          <w:rFonts w:ascii="Arial" w:cs="Arial" w:eastAsia="Arial" w:hAnsi="Arial"/>
          <w:sz w:val="16"/>
          <w:szCs w:val="16"/>
          <w:color w:val="000000"/>
        </w:rPr>
        <w:t>to the Amended and Restated Agreement of Limited Partnership of ROP relating to the succession as a general partner of</w:t>
      </w:r>
      <w:r>
        <w:rPr>
          <w:rFonts w:ascii="Arial" w:cs="Arial" w:eastAsia="Arial" w:hAnsi="Arial"/>
          <w:sz w:val="16"/>
          <w:szCs w:val="16"/>
          <w:color w:val="0000FF"/>
        </w:rPr>
        <w:t xml:space="preserve"> </w:t>
      </w:r>
      <w:r>
        <w:rPr>
          <w:rFonts w:ascii="Arial" w:cs="Arial" w:eastAsia="Arial" w:hAnsi="Arial"/>
          <w:sz w:val="16"/>
          <w:szCs w:val="16"/>
          <w:color w:val="000000"/>
        </w:rPr>
        <w:t>Wyoming Acquisition GP LLC, incorporated by reference to ROP's Annual Report on Form 10-K for the year ended December 31, 2007, filed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the SEC on March 31, 2008.</w:t>
      </w:r>
    </w:p>
    <w:p>
      <w:pPr>
        <w:spacing w:after="0" w:line="5" w:lineRule="exact"/>
        <w:rPr>
          <w:sz w:val="20"/>
          <w:szCs w:val="20"/>
          <w:color w:val="auto"/>
        </w:rPr>
      </w:pPr>
    </w:p>
    <w:p>
      <w:pPr>
        <w:ind w:left="980" w:hanging="345"/>
        <w:spacing w:after="0" w:line="230" w:lineRule="auto"/>
        <w:rPr>
          <w:rFonts w:ascii="Arial" w:cs="Arial" w:eastAsia="Arial" w:hAnsi="Arial"/>
          <w:sz w:val="18"/>
          <w:szCs w:val="18"/>
          <w:color w:val="0000FF"/>
        </w:rPr>
      </w:pPr>
      <w:hyperlink r:id="rId208">
        <w:r>
          <w:rPr>
            <w:rFonts w:ascii="Arial" w:cs="Arial" w:eastAsia="Arial" w:hAnsi="Arial"/>
            <w:sz w:val="18"/>
            <w:szCs w:val="18"/>
            <w:u w:val="single" w:color="auto"/>
            <w:color w:val="0000FF"/>
          </w:rPr>
          <w:t>10.3</w:t>
        </w:r>
        <w:r>
          <w:rPr>
            <w:rFonts w:ascii="Arial" w:cs="Arial" w:eastAsia="Arial" w:hAnsi="Arial"/>
            <w:sz w:val="18"/>
            <w:szCs w:val="18"/>
            <w:color w:val="0000FF"/>
          </w:rPr>
          <w:t xml:space="preserve"> </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Articles of Incorporation and Bylaws of S.L. Green Management Corp., incorporated by reference to the Company's Registration</w:t>
      </w:r>
      <w:r>
        <w:rPr>
          <w:rFonts w:ascii="Arial" w:cs="Arial" w:eastAsia="Arial" w:hAnsi="Arial"/>
          <w:sz w:val="18"/>
          <w:szCs w:val="18"/>
          <w:color w:val="0000FF"/>
        </w:rPr>
        <w:t xml:space="preserve"> </w:t>
      </w:r>
      <w:r>
        <w:rPr>
          <w:rFonts w:ascii="Arial" w:cs="Arial" w:eastAsia="Arial" w:hAnsi="Arial"/>
          <w:sz w:val="18"/>
          <w:szCs w:val="18"/>
          <w:color w:val="000000"/>
        </w:rPr>
        <w:t>Statement on Form S-11 (No. 333-29329), declared effective by the SEC on August 14, 1997.</w:t>
      </w:r>
    </w:p>
    <w:p>
      <w:pPr>
        <w:spacing w:after="0" w:line="16" w:lineRule="exact"/>
        <w:rPr>
          <w:sz w:val="20"/>
          <w:szCs w:val="20"/>
          <w:color w:val="auto"/>
        </w:rPr>
      </w:pPr>
    </w:p>
    <w:p>
      <w:pPr>
        <w:ind w:left="980" w:hanging="345"/>
        <w:spacing w:after="0" w:line="230" w:lineRule="auto"/>
        <w:rPr>
          <w:rFonts w:ascii="Arial" w:cs="Arial" w:eastAsia="Arial" w:hAnsi="Arial"/>
          <w:sz w:val="18"/>
          <w:szCs w:val="18"/>
          <w:color w:val="0000FF"/>
        </w:rPr>
      </w:pPr>
      <w:hyperlink r:id="rId218">
        <w:r>
          <w:rPr>
            <w:rFonts w:ascii="Arial" w:cs="Arial" w:eastAsia="Arial" w:hAnsi="Arial"/>
            <w:sz w:val="18"/>
            <w:szCs w:val="18"/>
            <w:u w:val="single" w:color="auto"/>
            <w:color w:val="0000FF"/>
          </w:rPr>
          <w:t>10.4</w:t>
        </w:r>
        <w:r>
          <w:rPr>
            <w:rFonts w:ascii="Arial" w:cs="Arial" w:eastAsia="Arial" w:hAnsi="Arial"/>
            <w:sz w:val="18"/>
            <w:szCs w:val="18"/>
            <w:color w:val="0000FF"/>
          </w:rPr>
          <w:t xml:space="preserve"> </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Registration Rights Agreement between the Company and the persons named therein, incorporated by reference to the Company's</w:t>
      </w:r>
      <w:r>
        <w:rPr>
          <w:rFonts w:ascii="Arial" w:cs="Arial" w:eastAsia="Arial" w:hAnsi="Arial"/>
          <w:sz w:val="18"/>
          <w:szCs w:val="18"/>
          <w:color w:val="0000FF"/>
        </w:rPr>
        <w:t xml:space="preserve"> </w:t>
      </w:r>
      <w:r>
        <w:rPr>
          <w:rFonts w:ascii="Arial" w:cs="Arial" w:eastAsia="Arial" w:hAnsi="Arial"/>
          <w:sz w:val="18"/>
          <w:szCs w:val="18"/>
          <w:color w:val="000000"/>
        </w:rPr>
        <w:t>Registration Statement on Form S-11 (No. 333-29329), declared effective by the SEC on August 14, 1997.</w:t>
      </w:r>
    </w:p>
    <w:p>
      <w:pPr>
        <w:spacing w:after="0" w:line="16" w:lineRule="exact"/>
        <w:rPr>
          <w:sz w:val="20"/>
          <w:szCs w:val="20"/>
          <w:color w:val="auto"/>
        </w:rPr>
      </w:pPr>
    </w:p>
    <w:p>
      <w:pPr>
        <w:jc w:val="right"/>
        <w:ind w:left="640"/>
        <w:spacing w:after="0" w:line="243" w:lineRule="auto"/>
        <w:rPr>
          <w:rFonts w:ascii="Arial" w:cs="Arial" w:eastAsia="Arial" w:hAnsi="Arial"/>
          <w:sz w:val="16"/>
          <w:szCs w:val="16"/>
          <w:color w:val="0000FF"/>
        </w:rPr>
      </w:pPr>
      <w:hyperlink r:id="rId219">
        <w:r>
          <w:rPr>
            <w:rFonts w:ascii="Arial" w:cs="Arial" w:eastAsia="Arial" w:hAnsi="Arial"/>
            <w:sz w:val="16"/>
            <w:szCs w:val="16"/>
            <w:u w:val="single" w:color="auto"/>
            <w:color w:val="0000FF"/>
          </w:rPr>
          <w:t>10.5</w:t>
        </w:r>
        <w:r>
          <w:rPr>
            <w:rFonts w:ascii="Arial" w:cs="Arial" w:eastAsia="Arial" w:hAnsi="Arial"/>
            <w:sz w:val="16"/>
            <w:szCs w:val="16"/>
            <w:color w:val="0000FF"/>
          </w:rPr>
          <w:t xml:space="preserve"> </w:t>
        </w:r>
      </w:hyperlink>
      <w:r>
        <w:rPr>
          <w:rFonts w:ascii="Arial" w:cs="Arial" w:eastAsia="Arial" w:hAnsi="Arial"/>
          <w:sz w:val="16"/>
          <w:szCs w:val="16"/>
          <w:color w:val="000000"/>
        </w:rPr>
        <w:t>Amended</w:t>
      </w:r>
      <w:r>
        <w:rPr>
          <w:rFonts w:ascii="Arial" w:cs="Arial" w:eastAsia="Arial" w:hAnsi="Arial"/>
          <w:sz w:val="16"/>
          <w:szCs w:val="16"/>
          <w:color w:val="0000FF"/>
        </w:rPr>
        <w:t xml:space="preserve"> </w:t>
      </w:r>
      <w:r>
        <w:rPr>
          <w:rFonts w:ascii="Arial" w:cs="Arial" w:eastAsia="Arial" w:hAnsi="Arial"/>
          <w:sz w:val="16"/>
          <w:szCs w:val="16"/>
          <w:color w:val="000000"/>
        </w:rPr>
        <w:t>and Restated Trust Agreement among the Operating Partnership, as depositor, JPMorgan Chase Bank, National Association, as</w:t>
      </w:r>
      <w:r>
        <w:rPr>
          <w:rFonts w:ascii="Arial" w:cs="Arial" w:eastAsia="Arial" w:hAnsi="Arial"/>
          <w:sz w:val="16"/>
          <w:szCs w:val="16"/>
          <w:color w:val="0000FF"/>
        </w:rPr>
        <w:t xml:space="preserve"> </w:t>
      </w:r>
      <w:r>
        <w:rPr>
          <w:rFonts w:ascii="Arial" w:cs="Arial" w:eastAsia="Arial" w:hAnsi="Arial"/>
          <w:sz w:val="16"/>
          <w:szCs w:val="16"/>
          <w:color w:val="000000"/>
        </w:rPr>
        <w:t>property trustee, Chase Bank USA, National Association, as Delaware trustee, and the administrative trustees named therein, dated June 30,</w:t>
      </w:r>
    </w:p>
    <w:p>
      <w:pPr>
        <w:spacing w:after="0" w:line="1" w:lineRule="exact"/>
        <w:rPr>
          <w:sz w:val="20"/>
          <w:szCs w:val="20"/>
          <w:color w:val="auto"/>
        </w:rPr>
      </w:pPr>
    </w:p>
    <w:p>
      <w:pPr>
        <w:ind w:left="980" w:right="20"/>
        <w:spacing w:after="0" w:line="222" w:lineRule="auto"/>
        <w:rPr>
          <w:sz w:val="20"/>
          <w:szCs w:val="20"/>
          <w:color w:val="auto"/>
        </w:rPr>
      </w:pPr>
      <w:r>
        <w:rPr>
          <w:rFonts w:ascii="Arial" w:cs="Arial" w:eastAsia="Arial" w:hAnsi="Arial"/>
          <w:sz w:val="18"/>
          <w:szCs w:val="18"/>
          <w:color w:val="auto"/>
        </w:rPr>
        <w:t>2005, incorporated by reference to the Company's Quarterly Report on Form 10-Q for the quarter ended June 30, 2005, filed with the SEC on August 9, 2005.</w:t>
      </w:r>
    </w:p>
    <w:p>
      <w:pPr>
        <w:spacing w:after="0" w:line="2" w:lineRule="exact"/>
        <w:rPr>
          <w:sz w:val="20"/>
          <w:szCs w:val="20"/>
          <w:color w:val="auto"/>
        </w:rPr>
      </w:pPr>
    </w:p>
    <w:p>
      <w:pPr>
        <w:ind w:left="980" w:hanging="345"/>
        <w:spacing w:after="0" w:line="230" w:lineRule="auto"/>
        <w:rPr>
          <w:rFonts w:ascii="Arial" w:cs="Arial" w:eastAsia="Arial" w:hAnsi="Arial"/>
          <w:sz w:val="18"/>
          <w:szCs w:val="18"/>
          <w:color w:val="0000FF"/>
        </w:rPr>
      </w:pPr>
      <w:hyperlink r:id="rId220">
        <w:r>
          <w:rPr>
            <w:rFonts w:ascii="Arial" w:cs="Arial" w:eastAsia="Arial" w:hAnsi="Arial"/>
            <w:sz w:val="18"/>
            <w:szCs w:val="18"/>
            <w:u w:val="single" w:color="auto"/>
            <w:color w:val="0000FF"/>
          </w:rPr>
          <w:t>10.6</w:t>
        </w:r>
        <w:r>
          <w:rPr>
            <w:rFonts w:ascii="Arial" w:cs="Arial" w:eastAsia="Arial" w:hAnsi="Arial"/>
            <w:sz w:val="18"/>
            <w:szCs w:val="18"/>
            <w:color w:val="0000FF"/>
          </w:rPr>
          <w:t xml:space="preserve"> </w:t>
        </w:r>
      </w:hyperlink>
      <w:r>
        <w:rPr>
          <w:rFonts w:ascii="Arial" w:cs="Arial" w:eastAsia="Arial" w:hAnsi="Arial"/>
          <w:sz w:val="18"/>
          <w:szCs w:val="18"/>
          <w:color w:val="000000"/>
        </w:rPr>
        <w:t>SL</w:t>
      </w:r>
      <w:r>
        <w:rPr>
          <w:rFonts w:ascii="Arial" w:cs="Arial" w:eastAsia="Arial" w:hAnsi="Arial"/>
          <w:sz w:val="18"/>
          <w:szCs w:val="18"/>
          <w:color w:val="0000FF"/>
        </w:rPr>
        <w:t xml:space="preserve"> </w:t>
      </w:r>
      <w:r>
        <w:rPr>
          <w:rFonts w:ascii="Arial" w:cs="Arial" w:eastAsia="Arial" w:hAnsi="Arial"/>
          <w:sz w:val="18"/>
          <w:szCs w:val="18"/>
          <w:color w:val="000000"/>
        </w:rPr>
        <w:t>Green Realty Corp. Fifth Amended and Restated 2005 Stock Option and Incentive Plan, incorporated by reference to Appendix A to the</w:t>
      </w:r>
      <w:r>
        <w:rPr>
          <w:rFonts w:ascii="Arial" w:cs="Arial" w:eastAsia="Arial" w:hAnsi="Arial"/>
          <w:sz w:val="18"/>
          <w:szCs w:val="18"/>
          <w:color w:val="0000FF"/>
        </w:rPr>
        <w:t xml:space="preserve"> </w:t>
      </w:r>
      <w:r>
        <w:rPr>
          <w:rFonts w:ascii="Arial" w:cs="Arial" w:eastAsia="Arial" w:hAnsi="Arial"/>
          <w:sz w:val="18"/>
          <w:szCs w:val="18"/>
          <w:color w:val="000000"/>
        </w:rPr>
        <w:t>Company's definitive Proxy Statement on Schedule 14A filed on April 21, 2022</w:t>
      </w:r>
    </w:p>
    <w:p>
      <w:pPr>
        <w:spacing w:after="0" w:line="16" w:lineRule="exact"/>
        <w:rPr>
          <w:sz w:val="20"/>
          <w:szCs w:val="20"/>
          <w:color w:val="auto"/>
        </w:rPr>
      </w:pPr>
    </w:p>
    <w:p>
      <w:pPr>
        <w:ind w:left="980" w:hanging="345"/>
        <w:spacing w:after="0" w:line="230" w:lineRule="auto"/>
        <w:rPr>
          <w:rFonts w:ascii="Arial" w:cs="Arial" w:eastAsia="Arial" w:hAnsi="Arial"/>
          <w:sz w:val="18"/>
          <w:szCs w:val="18"/>
          <w:color w:val="0000FF"/>
        </w:rPr>
      </w:pPr>
      <w:hyperlink r:id="rId221">
        <w:r>
          <w:rPr>
            <w:rFonts w:ascii="Arial" w:cs="Arial" w:eastAsia="Arial" w:hAnsi="Arial"/>
            <w:sz w:val="18"/>
            <w:szCs w:val="18"/>
            <w:u w:val="single" w:color="auto"/>
            <w:color w:val="0000FF"/>
          </w:rPr>
          <w:t>10.7</w:t>
        </w:r>
        <w:r>
          <w:rPr>
            <w:rFonts w:ascii="Arial" w:cs="Arial" w:eastAsia="Arial" w:hAnsi="Arial"/>
            <w:sz w:val="18"/>
            <w:szCs w:val="18"/>
            <w:color w:val="0000FF"/>
          </w:rPr>
          <w:t xml:space="preserve"> </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Non-Employee Directors' Deferral Program, dated December 13, 2017, incorporated by reference to the Company's</w:t>
      </w:r>
      <w:r>
        <w:rPr>
          <w:rFonts w:ascii="Arial" w:cs="Arial" w:eastAsia="Arial" w:hAnsi="Arial"/>
          <w:sz w:val="18"/>
          <w:szCs w:val="18"/>
          <w:color w:val="0000FF"/>
        </w:rPr>
        <w:t xml:space="preserve"> </w:t>
      </w:r>
      <w:r>
        <w:rPr>
          <w:rFonts w:ascii="Arial" w:cs="Arial" w:eastAsia="Arial" w:hAnsi="Arial"/>
          <w:sz w:val="18"/>
          <w:szCs w:val="18"/>
          <w:color w:val="000000"/>
        </w:rPr>
        <w:t>Annual Report on Form 10-K for the year ended December 31, 2017, filed with the SEC on February 23, 2018.</w:t>
      </w:r>
    </w:p>
    <w:p>
      <w:pPr>
        <w:spacing w:after="0" w:line="16" w:lineRule="exact"/>
        <w:rPr>
          <w:sz w:val="20"/>
          <w:szCs w:val="20"/>
          <w:color w:val="auto"/>
        </w:rPr>
      </w:pPr>
    </w:p>
    <w:p>
      <w:pPr>
        <w:ind w:left="980" w:right="20" w:hanging="345"/>
        <w:spacing w:after="0" w:line="247" w:lineRule="auto"/>
        <w:rPr>
          <w:rFonts w:ascii="Arial" w:cs="Arial" w:eastAsia="Arial" w:hAnsi="Arial"/>
          <w:sz w:val="17"/>
          <w:szCs w:val="17"/>
          <w:color w:val="0000FF"/>
        </w:rPr>
      </w:pPr>
      <w:hyperlink r:id="rId222">
        <w:r>
          <w:rPr>
            <w:rFonts w:ascii="Arial" w:cs="Arial" w:eastAsia="Arial" w:hAnsi="Arial"/>
            <w:sz w:val="17"/>
            <w:szCs w:val="17"/>
            <w:u w:val="single" w:color="auto"/>
            <w:color w:val="0000FF"/>
          </w:rPr>
          <w:t>10.8</w:t>
        </w:r>
        <w:r>
          <w:rPr>
            <w:rFonts w:ascii="Arial" w:cs="Arial" w:eastAsia="Arial" w:hAnsi="Arial"/>
            <w:sz w:val="17"/>
            <w:szCs w:val="17"/>
            <w:color w:val="0000FF"/>
          </w:rPr>
          <w:t xml:space="preserve"> </w:t>
        </w:r>
      </w:hyperlink>
      <w:r>
        <w:rPr>
          <w:rFonts w:ascii="Arial" w:cs="Arial" w:eastAsia="Arial" w:hAnsi="Arial"/>
          <w:sz w:val="17"/>
          <w:szCs w:val="17"/>
          <w:color w:val="000000"/>
        </w:rPr>
        <w:t>Amended</w:t>
      </w:r>
      <w:r>
        <w:rPr>
          <w:rFonts w:ascii="Arial" w:cs="Arial" w:eastAsia="Arial" w:hAnsi="Arial"/>
          <w:sz w:val="17"/>
          <w:szCs w:val="17"/>
          <w:color w:val="0000FF"/>
        </w:rPr>
        <w:t xml:space="preserve"> </w:t>
      </w:r>
      <w:r>
        <w:rPr>
          <w:rFonts w:ascii="Arial" w:cs="Arial" w:eastAsia="Arial" w:hAnsi="Arial"/>
          <w:sz w:val="17"/>
          <w:szCs w:val="17"/>
          <w:color w:val="000000"/>
        </w:rPr>
        <w:t>and Restated Employment and Non-competition Agreement, dated December 24, 2010, between Stephen L. Green and the Company,</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the Company's Form 8-K, dated December 23, 2010, filed with the SEC on December 29, 2010.</w:t>
      </w:r>
    </w:p>
    <w:p>
      <w:pPr>
        <w:spacing w:after="0" w:line="10" w:lineRule="exact"/>
        <w:rPr>
          <w:sz w:val="20"/>
          <w:szCs w:val="20"/>
          <w:color w:val="auto"/>
        </w:rPr>
      </w:pPr>
    </w:p>
    <w:p>
      <w:pPr>
        <w:ind w:left="980" w:hanging="345"/>
        <w:spacing w:after="0" w:line="230" w:lineRule="auto"/>
        <w:rPr>
          <w:rFonts w:ascii="Arial" w:cs="Arial" w:eastAsia="Arial" w:hAnsi="Arial"/>
          <w:sz w:val="18"/>
          <w:szCs w:val="18"/>
          <w:color w:val="0000FF"/>
        </w:rPr>
      </w:pPr>
      <w:hyperlink r:id="rId223">
        <w:r>
          <w:rPr>
            <w:rFonts w:ascii="Arial" w:cs="Arial" w:eastAsia="Arial" w:hAnsi="Arial"/>
            <w:sz w:val="18"/>
            <w:szCs w:val="18"/>
            <w:u w:val="single" w:color="auto"/>
            <w:color w:val="0000FF"/>
          </w:rPr>
          <w:t>10.9</w:t>
        </w:r>
        <w:r>
          <w:rPr>
            <w:rFonts w:ascii="Arial" w:cs="Arial" w:eastAsia="Arial" w:hAnsi="Arial"/>
            <w:sz w:val="18"/>
            <w:szCs w:val="18"/>
            <w:color w:val="0000FF"/>
          </w:rPr>
          <w:t xml:space="preserve"> </w:t>
        </w:r>
      </w:hyperlink>
      <w:r>
        <w:rPr>
          <w:rFonts w:ascii="Arial" w:cs="Arial" w:eastAsia="Arial" w:hAnsi="Arial"/>
          <w:sz w:val="18"/>
          <w:szCs w:val="18"/>
          <w:color w:val="000000"/>
        </w:rPr>
        <w:t>Deferred</w:t>
      </w:r>
      <w:r>
        <w:rPr>
          <w:rFonts w:ascii="Arial" w:cs="Arial" w:eastAsia="Arial" w:hAnsi="Arial"/>
          <w:sz w:val="18"/>
          <w:szCs w:val="18"/>
          <w:color w:val="0000FF"/>
        </w:rPr>
        <w:t xml:space="preserve"> </w:t>
      </w:r>
      <w:r>
        <w:rPr>
          <w:rFonts w:ascii="Arial" w:cs="Arial" w:eastAsia="Arial" w:hAnsi="Arial"/>
          <w:sz w:val="18"/>
          <w:szCs w:val="18"/>
          <w:color w:val="000000"/>
        </w:rPr>
        <w:t>Compensation Agreement, dated December 18, 2009, between the Company and Stephen L. Green, incorporated by reference to the</w:t>
      </w:r>
      <w:r>
        <w:rPr>
          <w:rFonts w:ascii="Arial" w:cs="Arial" w:eastAsia="Arial" w:hAnsi="Arial"/>
          <w:sz w:val="18"/>
          <w:szCs w:val="18"/>
          <w:color w:val="0000FF"/>
        </w:rPr>
        <w:t xml:space="preserve"> </w:t>
      </w:r>
      <w:r>
        <w:rPr>
          <w:rFonts w:ascii="Arial" w:cs="Arial" w:eastAsia="Arial" w:hAnsi="Arial"/>
          <w:sz w:val="18"/>
          <w:szCs w:val="18"/>
          <w:color w:val="000000"/>
        </w:rPr>
        <w:t>Company's Form 8-K, dated December 18, 2009, filed with the SEC on December 24, 2009.</w:t>
      </w:r>
    </w:p>
    <w:p>
      <w:pPr>
        <w:spacing w:after="0" w:line="16" w:lineRule="exact"/>
        <w:rPr>
          <w:sz w:val="20"/>
          <w:szCs w:val="20"/>
          <w:color w:val="auto"/>
        </w:rPr>
      </w:pPr>
    </w:p>
    <w:p>
      <w:pPr>
        <w:ind w:left="980" w:hanging="433"/>
        <w:spacing w:after="0" w:line="230" w:lineRule="auto"/>
        <w:rPr>
          <w:rFonts w:ascii="Arial" w:cs="Arial" w:eastAsia="Arial" w:hAnsi="Arial"/>
          <w:sz w:val="18"/>
          <w:szCs w:val="18"/>
          <w:color w:val="0000FF"/>
        </w:rPr>
      </w:pPr>
      <w:hyperlink r:id="rId224">
        <w:r>
          <w:rPr>
            <w:rFonts w:ascii="Arial" w:cs="Arial" w:eastAsia="Arial" w:hAnsi="Arial"/>
            <w:sz w:val="18"/>
            <w:szCs w:val="18"/>
            <w:u w:val="single" w:color="auto"/>
            <w:color w:val="0000FF"/>
          </w:rPr>
          <w:t>10.10</w:t>
        </w:r>
        <w:r>
          <w:rPr>
            <w:rFonts w:ascii="Arial" w:cs="Arial" w:eastAsia="Arial" w:hAnsi="Arial"/>
            <w:sz w:val="18"/>
            <w:szCs w:val="18"/>
            <w:color w:val="0000FF"/>
          </w:rPr>
          <w:t xml:space="preserve"> </w:t>
        </w:r>
      </w:hyperlink>
      <w:r>
        <w:rPr>
          <w:rFonts w:ascii="Arial" w:cs="Arial" w:eastAsia="Arial" w:hAnsi="Arial"/>
          <w:sz w:val="18"/>
          <w:szCs w:val="18"/>
          <w:color w:val="000000"/>
        </w:rPr>
        <w:t>Deferred</w:t>
      </w:r>
      <w:r>
        <w:rPr>
          <w:rFonts w:ascii="Arial" w:cs="Arial" w:eastAsia="Arial" w:hAnsi="Arial"/>
          <w:sz w:val="18"/>
          <w:szCs w:val="18"/>
          <w:color w:val="0000FF"/>
        </w:rPr>
        <w:t xml:space="preserve"> </w:t>
      </w:r>
      <w:r>
        <w:rPr>
          <w:rFonts w:ascii="Arial" w:cs="Arial" w:eastAsia="Arial" w:hAnsi="Arial"/>
          <w:sz w:val="18"/>
          <w:szCs w:val="18"/>
          <w:color w:val="000000"/>
        </w:rPr>
        <w:t>Compensation Agreement, dated December 24, 2010, between the Company and Stephen L. Green, incorporated by reference to the</w:t>
      </w:r>
      <w:r>
        <w:rPr>
          <w:rFonts w:ascii="Arial" w:cs="Arial" w:eastAsia="Arial" w:hAnsi="Arial"/>
          <w:sz w:val="18"/>
          <w:szCs w:val="18"/>
          <w:color w:val="0000FF"/>
        </w:rPr>
        <w:t xml:space="preserve"> </w:t>
      </w:r>
      <w:r>
        <w:rPr>
          <w:rFonts w:ascii="Arial" w:cs="Arial" w:eastAsia="Arial" w:hAnsi="Arial"/>
          <w:sz w:val="18"/>
          <w:szCs w:val="18"/>
          <w:color w:val="000000"/>
        </w:rPr>
        <w:t>Company's Form 8-K, dated December 23, 2010, filed with the SEC on December 29, 2010.</w:t>
      </w:r>
    </w:p>
    <w:p>
      <w:pPr>
        <w:spacing w:after="0" w:line="16" w:lineRule="exact"/>
        <w:rPr>
          <w:sz w:val="20"/>
          <w:szCs w:val="20"/>
          <w:color w:val="auto"/>
        </w:rPr>
      </w:pPr>
    </w:p>
    <w:p>
      <w:pPr>
        <w:ind w:left="980" w:right="20" w:hanging="427"/>
        <w:spacing w:after="0" w:line="230" w:lineRule="auto"/>
        <w:rPr>
          <w:rFonts w:ascii="Arial" w:cs="Arial" w:eastAsia="Arial" w:hAnsi="Arial"/>
          <w:sz w:val="18"/>
          <w:szCs w:val="18"/>
          <w:color w:val="0000FF"/>
        </w:rPr>
      </w:pPr>
      <w:hyperlink r:id="rId225">
        <w:r>
          <w:rPr>
            <w:rFonts w:ascii="Arial" w:cs="Arial" w:eastAsia="Arial" w:hAnsi="Arial"/>
            <w:sz w:val="18"/>
            <w:szCs w:val="18"/>
            <w:u w:val="single" w:color="auto"/>
            <w:color w:val="0000FF"/>
          </w:rPr>
          <w:t>10.11</w:t>
        </w:r>
        <w:r>
          <w:rPr>
            <w:rFonts w:ascii="Arial" w:cs="Arial" w:eastAsia="Arial" w:hAnsi="Arial"/>
            <w:sz w:val="18"/>
            <w:szCs w:val="18"/>
            <w:color w:val="0000FF"/>
          </w:rPr>
          <w:t xml:space="preserve"> </w:t>
        </w:r>
      </w:hyperlink>
      <w:r>
        <w:rPr>
          <w:rFonts w:ascii="Arial" w:cs="Arial" w:eastAsia="Arial" w:hAnsi="Arial"/>
          <w:sz w:val="18"/>
          <w:szCs w:val="18"/>
          <w:color w:val="000000"/>
        </w:rPr>
        <w:t>Deferred</w:t>
      </w:r>
      <w:r>
        <w:rPr>
          <w:rFonts w:ascii="Arial" w:cs="Arial" w:eastAsia="Arial" w:hAnsi="Arial"/>
          <w:sz w:val="18"/>
          <w:szCs w:val="18"/>
          <w:color w:val="0000FF"/>
        </w:rPr>
        <w:t xml:space="preserve"> </w:t>
      </w:r>
      <w:r>
        <w:rPr>
          <w:rFonts w:ascii="Arial" w:cs="Arial" w:eastAsia="Arial" w:hAnsi="Arial"/>
          <w:sz w:val="18"/>
          <w:szCs w:val="18"/>
          <w:color w:val="000000"/>
        </w:rPr>
        <w:t>Compensation Agreement (2013), dated as of September 12, 2013, by and between the Company and Marc Holliday, incorporated by</w:t>
      </w:r>
      <w:r>
        <w:rPr>
          <w:rFonts w:ascii="Arial" w:cs="Arial" w:eastAsia="Arial" w:hAnsi="Arial"/>
          <w:sz w:val="18"/>
          <w:szCs w:val="18"/>
          <w:color w:val="0000FF"/>
        </w:rPr>
        <w:t xml:space="preserve"> </w:t>
      </w:r>
      <w:r>
        <w:rPr>
          <w:rFonts w:ascii="Arial" w:cs="Arial" w:eastAsia="Arial" w:hAnsi="Arial"/>
          <w:sz w:val="18"/>
          <w:szCs w:val="18"/>
          <w:color w:val="000000"/>
        </w:rPr>
        <w:t>reference to the Company’s Form 8-K, dated September 12, 2013, filed with the SEC on September 13, 2013.</w:t>
      </w:r>
    </w:p>
    <w:p>
      <w:pPr>
        <w:spacing w:after="0" w:line="16" w:lineRule="exact"/>
        <w:rPr>
          <w:sz w:val="20"/>
          <w:szCs w:val="20"/>
          <w:color w:val="auto"/>
        </w:rPr>
      </w:pPr>
    </w:p>
    <w:p>
      <w:pPr>
        <w:ind w:left="980" w:right="20" w:hanging="433"/>
        <w:spacing w:after="0" w:line="247" w:lineRule="auto"/>
        <w:rPr>
          <w:rFonts w:ascii="Arial" w:cs="Arial" w:eastAsia="Arial" w:hAnsi="Arial"/>
          <w:sz w:val="17"/>
          <w:szCs w:val="17"/>
          <w:color w:val="0000FF"/>
        </w:rPr>
      </w:pPr>
      <w:hyperlink r:id="rId226">
        <w:r>
          <w:rPr>
            <w:rFonts w:ascii="Arial" w:cs="Arial" w:eastAsia="Arial" w:hAnsi="Arial"/>
            <w:sz w:val="17"/>
            <w:szCs w:val="17"/>
            <w:u w:val="single" w:color="auto"/>
            <w:color w:val="0000FF"/>
          </w:rPr>
          <w:t>10.12</w:t>
        </w:r>
        <w:r>
          <w:rPr>
            <w:rFonts w:ascii="Arial" w:cs="Arial" w:eastAsia="Arial" w:hAnsi="Arial"/>
            <w:sz w:val="17"/>
            <w:szCs w:val="17"/>
            <w:color w:val="0000FF"/>
          </w:rPr>
          <w:t xml:space="preserve"> </w:t>
        </w:r>
      </w:hyperlink>
      <w:r>
        <w:rPr>
          <w:rFonts w:ascii="Arial" w:cs="Arial" w:eastAsia="Arial" w:hAnsi="Arial"/>
          <w:sz w:val="17"/>
          <w:szCs w:val="17"/>
          <w:color w:val="000000"/>
        </w:rPr>
        <w:t>Deferred</w:t>
      </w:r>
      <w:r>
        <w:rPr>
          <w:rFonts w:ascii="Arial" w:cs="Arial" w:eastAsia="Arial" w:hAnsi="Arial"/>
          <w:sz w:val="17"/>
          <w:szCs w:val="17"/>
          <w:color w:val="0000FF"/>
        </w:rPr>
        <w:t xml:space="preserve"> </w:t>
      </w:r>
      <w:r>
        <w:rPr>
          <w:rFonts w:ascii="Arial" w:cs="Arial" w:eastAsia="Arial" w:hAnsi="Arial"/>
          <w:sz w:val="17"/>
          <w:szCs w:val="17"/>
          <w:color w:val="000000"/>
        </w:rPr>
        <w:t>Compensation Agreement, dated as of February 10, 2016, by and between SL Green Realty Corp. and Marc Holliday, incorporated by</w:t>
      </w:r>
      <w:r>
        <w:rPr>
          <w:rFonts w:ascii="Arial" w:cs="Arial" w:eastAsia="Arial" w:hAnsi="Arial"/>
          <w:sz w:val="17"/>
          <w:szCs w:val="17"/>
          <w:color w:val="0000FF"/>
        </w:rPr>
        <w:t xml:space="preserve"> </w:t>
      </w:r>
      <w:r>
        <w:rPr>
          <w:rFonts w:ascii="Arial" w:cs="Arial" w:eastAsia="Arial" w:hAnsi="Arial"/>
          <w:sz w:val="17"/>
          <w:szCs w:val="17"/>
          <w:color w:val="000000"/>
        </w:rPr>
        <w:t>reference to the Company's Form 8-K, dated February 10, 2016, filed with the SEC on February 12, 2016.</w:t>
      </w:r>
    </w:p>
    <w:p>
      <w:pPr>
        <w:spacing w:after="0" w:line="10" w:lineRule="exact"/>
        <w:rPr>
          <w:sz w:val="20"/>
          <w:szCs w:val="20"/>
          <w:color w:val="auto"/>
        </w:rPr>
      </w:pPr>
    </w:p>
    <w:p>
      <w:pPr>
        <w:ind w:left="980" w:hanging="433"/>
        <w:spacing w:after="0" w:line="230" w:lineRule="auto"/>
        <w:rPr>
          <w:rFonts w:ascii="Arial" w:cs="Arial" w:eastAsia="Arial" w:hAnsi="Arial"/>
          <w:sz w:val="18"/>
          <w:szCs w:val="18"/>
          <w:color w:val="0000FF"/>
        </w:rPr>
      </w:pPr>
      <w:hyperlink r:id="rId227">
        <w:r>
          <w:rPr>
            <w:rFonts w:ascii="Arial" w:cs="Arial" w:eastAsia="Arial" w:hAnsi="Arial"/>
            <w:sz w:val="18"/>
            <w:szCs w:val="18"/>
            <w:u w:val="single" w:color="auto"/>
            <w:color w:val="0000FF"/>
          </w:rPr>
          <w:t>10.13</w:t>
        </w:r>
        <w:r>
          <w:rPr>
            <w:rFonts w:ascii="Arial" w:cs="Arial" w:eastAsia="Arial" w:hAnsi="Arial"/>
            <w:sz w:val="18"/>
            <w:szCs w:val="18"/>
            <w:color w:val="0000FF"/>
          </w:rPr>
          <w:t xml:space="preserve"> </w:t>
        </w:r>
      </w:hyperlink>
      <w:r>
        <w:rPr>
          <w:rFonts w:ascii="Arial" w:cs="Arial" w:eastAsia="Arial" w:hAnsi="Arial"/>
          <w:sz w:val="18"/>
          <w:szCs w:val="18"/>
          <w:color w:val="000000"/>
        </w:rPr>
        <w:t>Deferred</w:t>
      </w:r>
      <w:r>
        <w:rPr>
          <w:rFonts w:ascii="Arial" w:cs="Arial" w:eastAsia="Arial" w:hAnsi="Arial"/>
          <w:sz w:val="18"/>
          <w:szCs w:val="18"/>
          <w:color w:val="0000FF"/>
        </w:rPr>
        <w:t xml:space="preserve"> </w:t>
      </w:r>
      <w:r>
        <w:rPr>
          <w:rFonts w:ascii="Arial" w:cs="Arial" w:eastAsia="Arial" w:hAnsi="Arial"/>
          <w:sz w:val="18"/>
          <w:szCs w:val="18"/>
          <w:color w:val="000000"/>
        </w:rPr>
        <w:t>Compensation Agreement (2014), dated as of November 8, 2013, between the Company and Andrew Mathias, incorporated by</w:t>
      </w:r>
      <w:r>
        <w:rPr>
          <w:rFonts w:ascii="Arial" w:cs="Arial" w:eastAsia="Arial" w:hAnsi="Arial"/>
          <w:sz w:val="18"/>
          <w:szCs w:val="18"/>
          <w:color w:val="0000FF"/>
        </w:rPr>
        <w:t xml:space="preserve"> </w:t>
      </w:r>
      <w:r>
        <w:rPr>
          <w:rFonts w:ascii="Arial" w:cs="Arial" w:eastAsia="Arial" w:hAnsi="Arial"/>
          <w:sz w:val="18"/>
          <w:szCs w:val="18"/>
          <w:color w:val="000000"/>
        </w:rPr>
        <w:t>reference to the Company’s Form 8-K, dated November 8, 2013, filed with the SEC on November 8, 2013.</w:t>
      </w:r>
    </w:p>
    <w:p>
      <w:pPr>
        <w:spacing w:after="0" w:line="16" w:lineRule="exact"/>
        <w:rPr>
          <w:sz w:val="20"/>
          <w:szCs w:val="20"/>
          <w:color w:val="auto"/>
        </w:rPr>
      </w:pPr>
    </w:p>
    <w:p>
      <w:pPr>
        <w:ind w:left="980" w:right="20" w:hanging="433"/>
        <w:spacing w:after="0" w:line="269" w:lineRule="auto"/>
        <w:rPr>
          <w:rFonts w:ascii="Arial" w:cs="Arial" w:eastAsia="Arial" w:hAnsi="Arial"/>
          <w:sz w:val="16"/>
          <w:szCs w:val="16"/>
          <w:color w:val="0000FF"/>
        </w:rPr>
      </w:pPr>
      <w:hyperlink r:id="rId228">
        <w:r>
          <w:rPr>
            <w:rFonts w:ascii="Arial" w:cs="Arial" w:eastAsia="Arial" w:hAnsi="Arial"/>
            <w:sz w:val="16"/>
            <w:szCs w:val="16"/>
            <w:u w:val="single" w:color="auto"/>
            <w:color w:val="0000FF"/>
          </w:rPr>
          <w:t>10.14</w:t>
        </w:r>
        <w:r>
          <w:rPr>
            <w:rFonts w:ascii="Arial" w:cs="Arial" w:eastAsia="Arial" w:hAnsi="Arial"/>
            <w:sz w:val="16"/>
            <w:szCs w:val="16"/>
            <w:color w:val="0000FF"/>
          </w:rPr>
          <w:t xml:space="preserve"> </w:t>
        </w:r>
      </w:hyperlink>
      <w:r>
        <w:rPr>
          <w:rFonts w:ascii="Arial" w:cs="Arial" w:eastAsia="Arial" w:hAnsi="Arial"/>
          <w:sz w:val="16"/>
          <w:szCs w:val="16"/>
          <w:color w:val="000000"/>
        </w:rPr>
        <w:t>Amended</w:t>
      </w:r>
      <w:r>
        <w:rPr>
          <w:rFonts w:ascii="Arial" w:cs="Arial" w:eastAsia="Arial" w:hAnsi="Arial"/>
          <w:sz w:val="16"/>
          <w:szCs w:val="16"/>
          <w:color w:val="0000FF"/>
        </w:rPr>
        <w:t xml:space="preserve"> </w:t>
      </w:r>
      <w:r>
        <w:rPr>
          <w:rFonts w:ascii="Arial" w:cs="Arial" w:eastAsia="Arial" w:hAnsi="Arial"/>
          <w:sz w:val="16"/>
          <w:szCs w:val="16"/>
          <w:color w:val="000000"/>
        </w:rPr>
        <w:t>and Restated Employment and Noncompetition Agreement, dated as of February 4, 2021, by and between the Company and</w:t>
      </w:r>
      <w:r>
        <w:rPr>
          <w:rFonts w:ascii="Arial" w:cs="Arial" w:eastAsia="Arial" w:hAnsi="Arial"/>
          <w:sz w:val="16"/>
          <w:szCs w:val="16"/>
          <w:color w:val="0000FF"/>
        </w:rPr>
        <w:t xml:space="preserve"> </w:t>
      </w:r>
      <w:r>
        <w:rPr>
          <w:rFonts w:ascii="Arial" w:cs="Arial" w:eastAsia="Arial" w:hAnsi="Arial"/>
          <w:sz w:val="16"/>
          <w:szCs w:val="16"/>
          <w:color w:val="000000"/>
        </w:rPr>
        <w:t>Matthew DiLiberto, incorporated by reference to the Company’s Form 8-K, dated February 4, 2021, filed with the SEC on February 5, 2021.</w:t>
      </w:r>
    </w:p>
    <w:p>
      <w:pPr>
        <w:jc w:val="right"/>
        <w:spacing w:after="0"/>
        <w:rPr>
          <w:rFonts w:ascii="Arial" w:cs="Arial" w:eastAsia="Arial" w:hAnsi="Arial"/>
          <w:sz w:val="16"/>
          <w:szCs w:val="16"/>
          <w:color w:val="0000FF"/>
        </w:rPr>
      </w:pPr>
      <w:hyperlink r:id="rId229">
        <w:r>
          <w:rPr>
            <w:rFonts w:ascii="Arial" w:cs="Arial" w:eastAsia="Arial" w:hAnsi="Arial"/>
            <w:sz w:val="16"/>
            <w:szCs w:val="16"/>
            <w:u w:val="single" w:color="auto"/>
            <w:color w:val="0000FF"/>
          </w:rPr>
          <w:t>10.15</w:t>
        </w:r>
        <w:r>
          <w:rPr>
            <w:rFonts w:ascii="Arial" w:cs="Arial" w:eastAsia="Arial" w:hAnsi="Arial"/>
            <w:sz w:val="16"/>
            <w:szCs w:val="16"/>
            <w:color w:val="0000FF"/>
          </w:rPr>
          <w:t xml:space="preserve"> </w:t>
        </w:r>
      </w:hyperlink>
      <w:r>
        <w:rPr>
          <w:rFonts w:ascii="Arial" w:cs="Arial" w:eastAsia="Arial" w:hAnsi="Arial"/>
          <w:sz w:val="16"/>
          <w:szCs w:val="16"/>
          <w:color w:val="000000"/>
        </w:rPr>
        <w:t>Amended</w:t>
      </w:r>
      <w:r>
        <w:rPr>
          <w:rFonts w:ascii="Arial" w:cs="Arial" w:eastAsia="Arial" w:hAnsi="Arial"/>
          <w:sz w:val="16"/>
          <w:szCs w:val="16"/>
          <w:color w:val="0000FF"/>
        </w:rPr>
        <w:t xml:space="preserve"> </w:t>
      </w:r>
      <w:r>
        <w:rPr>
          <w:rFonts w:ascii="Arial" w:cs="Arial" w:eastAsia="Arial" w:hAnsi="Arial"/>
          <w:sz w:val="16"/>
          <w:szCs w:val="16"/>
          <w:color w:val="000000"/>
        </w:rPr>
        <w:t>and Restated Employment and Noncompetition Agreement, dated as of December 31, 2021, by and between SL Green Realty Corp.</w:t>
      </w:r>
    </w:p>
    <w:p>
      <w:pPr>
        <w:spacing w:after="0" w:line="3"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and Marc Holliday, incorporated by reference to the Company's Form 8-K/A, dated December 31, 2021, filed with the SEC on January 6, 2022.</w:t>
      </w:r>
    </w:p>
    <w:p>
      <w:pPr>
        <w:spacing w:after="0" w:line="30" w:lineRule="exact"/>
        <w:rPr>
          <w:sz w:val="20"/>
          <w:szCs w:val="20"/>
          <w:color w:val="auto"/>
        </w:rPr>
      </w:pPr>
    </w:p>
    <w:p>
      <w:pPr>
        <w:ind w:left="980" w:right="20" w:hanging="433"/>
        <w:spacing w:after="0" w:line="230" w:lineRule="auto"/>
        <w:rPr>
          <w:rFonts w:ascii="Arial" w:cs="Arial" w:eastAsia="Arial" w:hAnsi="Arial"/>
          <w:sz w:val="18"/>
          <w:szCs w:val="18"/>
          <w:color w:val="0000FF"/>
        </w:rPr>
      </w:pPr>
      <w:hyperlink r:id="rId230">
        <w:r>
          <w:rPr>
            <w:rFonts w:ascii="Arial" w:cs="Arial" w:eastAsia="Arial" w:hAnsi="Arial"/>
            <w:sz w:val="18"/>
            <w:szCs w:val="18"/>
            <w:u w:val="single" w:color="auto"/>
            <w:color w:val="0000FF"/>
          </w:rPr>
          <w:t>10.16</w:t>
        </w:r>
        <w:r>
          <w:rPr>
            <w:rFonts w:ascii="Arial" w:cs="Arial" w:eastAsia="Arial" w:hAnsi="Arial"/>
            <w:sz w:val="18"/>
            <w:szCs w:val="18"/>
            <w:color w:val="0000FF"/>
          </w:rPr>
          <w:t xml:space="preserve"> </w:t>
        </w:r>
      </w:hyperlink>
      <w:r>
        <w:rPr>
          <w:rFonts w:ascii="Arial" w:cs="Arial" w:eastAsia="Arial" w:hAnsi="Arial"/>
          <w:sz w:val="18"/>
          <w:szCs w:val="18"/>
          <w:color w:val="000000"/>
        </w:rPr>
        <w:t>Letter</w:t>
      </w:r>
      <w:r>
        <w:rPr>
          <w:rFonts w:ascii="Arial" w:cs="Arial" w:eastAsia="Arial" w:hAnsi="Arial"/>
          <w:sz w:val="18"/>
          <w:szCs w:val="18"/>
          <w:color w:val="0000FF"/>
        </w:rPr>
        <w:t xml:space="preserve"> </w:t>
      </w:r>
      <w:r>
        <w:rPr>
          <w:rFonts w:ascii="Arial" w:cs="Arial" w:eastAsia="Arial" w:hAnsi="Arial"/>
          <w:sz w:val="18"/>
          <w:szCs w:val="18"/>
          <w:color w:val="000000"/>
        </w:rPr>
        <w:t>Agreement, dated as of April 30, 2018, by and between SL Green Realty Corp. and Marc Holliday, incorporated by reference to the</w:t>
      </w:r>
      <w:r>
        <w:rPr>
          <w:rFonts w:ascii="Arial" w:cs="Arial" w:eastAsia="Arial" w:hAnsi="Arial"/>
          <w:sz w:val="18"/>
          <w:szCs w:val="18"/>
          <w:color w:val="0000FF"/>
        </w:rPr>
        <w:t xml:space="preserve"> </w:t>
      </w:r>
      <w:r>
        <w:rPr>
          <w:rFonts w:ascii="Arial" w:cs="Arial" w:eastAsia="Arial" w:hAnsi="Arial"/>
          <w:sz w:val="18"/>
          <w:szCs w:val="18"/>
          <w:color w:val="000000"/>
        </w:rPr>
        <w:t>Company's Form 8-K, dated April 27, 2018, filed with the SEC on May 3, 2018.</w:t>
      </w:r>
    </w:p>
    <w:p>
      <w:pPr>
        <w:spacing w:after="0" w:line="16" w:lineRule="exact"/>
        <w:rPr>
          <w:sz w:val="20"/>
          <w:szCs w:val="20"/>
          <w:color w:val="auto"/>
        </w:rPr>
      </w:pPr>
    </w:p>
    <w:p>
      <w:pPr>
        <w:jc w:val="right"/>
        <w:ind w:left="540"/>
        <w:spacing w:after="0" w:line="243" w:lineRule="auto"/>
        <w:rPr>
          <w:rFonts w:ascii="Arial" w:cs="Arial" w:eastAsia="Arial" w:hAnsi="Arial"/>
          <w:sz w:val="16"/>
          <w:szCs w:val="16"/>
          <w:color w:val="0000FF"/>
        </w:rPr>
      </w:pPr>
      <w:hyperlink r:id="rId231">
        <w:r>
          <w:rPr>
            <w:rFonts w:ascii="Arial" w:cs="Arial" w:eastAsia="Arial" w:hAnsi="Arial"/>
            <w:sz w:val="16"/>
            <w:szCs w:val="16"/>
            <w:u w:val="single" w:color="auto"/>
            <w:color w:val="0000FF"/>
          </w:rPr>
          <w:t>10.17</w:t>
        </w:r>
        <w:r>
          <w:rPr>
            <w:rFonts w:ascii="Arial" w:cs="Arial" w:eastAsia="Arial" w:hAnsi="Arial"/>
            <w:sz w:val="16"/>
            <w:szCs w:val="16"/>
            <w:color w:val="0000FF"/>
          </w:rPr>
          <w:t xml:space="preserve"> </w:t>
        </w:r>
      </w:hyperlink>
      <w:r>
        <w:rPr>
          <w:rFonts w:ascii="Arial" w:cs="Arial" w:eastAsia="Arial" w:hAnsi="Arial"/>
          <w:sz w:val="16"/>
          <w:szCs w:val="16"/>
          <w:color w:val="000000"/>
        </w:rPr>
        <w:t>Amended</w:t>
      </w:r>
      <w:r>
        <w:rPr>
          <w:rFonts w:ascii="Arial" w:cs="Arial" w:eastAsia="Arial" w:hAnsi="Arial"/>
          <w:sz w:val="16"/>
          <w:szCs w:val="16"/>
          <w:color w:val="0000FF"/>
        </w:rPr>
        <w:t xml:space="preserve"> </w:t>
      </w:r>
      <w:r>
        <w:rPr>
          <w:rFonts w:ascii="Arial" w:cs="Arial" w:eastAsia="Arial" w:hAnsi="Arial"/>
          <w:sz w:val="16"/>
          <w:szCs w:val="16"/>
          <w:color w:val="000000"/>
        </w:rPr>
        <w:t>and Restated Employment and Noncompetition Agreement, dated as of December 31, 2021, by and between SL Green Realty Corp.</w:t>
      </w:r>
      <w:r>
        <w:rPr>
          <w:rFonts w:ascii="Arial" w:cs="Arial" w:eastAsia="Arial" w:hAnsi="Arial"/>
          <w:sz w:val="16"/>
          <w:szCs w:val="16"/>
          <w:color w:val="0000FF"/>
        </w:rPr>
        <w:t xml:space="preserve"> </w:t>
      </w:r>
      <w:r>
        <w:rPr>
          <w:rFonts w:ascii="Arial" w:cs="Arial" w:eastAsia="Arial" w:hAnsi="Arial"/>
          <w:sz w:val="16"/>
          <w:szCs w:val="16"/>
          <w:color w:val="000000"/>
        </w:rPr>
        <w:t>and Andrew Mathias, incorporated by reference to the Company's Form 8-K/A, dated December 31, 2021, filed with the SEC on January 6,</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right"/>
        <w:ind w:left="540"/>
        <w:spacing w:after="0" w:line="243" w:lineRule="auto"/>
        <w:rPr>
          <w:rFonts w:ascii="Arial" w:cs="Arial" w:eastAsia="Arial" w:hAnsi="Arial"/>
          <w:sz w:val="16"/>
          <w:szCs w:val="16"/>
          <w:color w:val="0000FF"/>
        </w:rPr>
      </w:pPr>
      <w:hyperlink r:id="rId233">
        <w:r>
          <w:rPr>
            <w:rFonts w:ascii="Arial" w:cs="Arial" w:eastAsia="Arial" w:hAnsi="Arial"/>
            <w:sz w:val="16"/>
            <w:szCs w:val="16"/>
            <w:u w:val="single" w:color="auto"/>
            <w:color w:val="0000FF"/>
          </w:rPr>
          <w:t>10.18</w:t>
        </w:r>
        <w:r>
          <w:rPr>
            <w:rFonts w:ascii="Arial" w:cs="Arial" w:eastAsia="Arial" w:hAnsi="Arial"/>
            <w:sz w:val="16"/>
            <w:szCs w:val="16"/>
            <w:color w:val="0000FF"/>
          </w:rPr>
          <w:t xml:space="preserve"> </w:t>
        </w:r>
      </w:hyperlink>
      <w:r>
        <w:rPr>
          <w:rFonts w:ascii="Arial" w:cs="Arial" w:eastAsia="Arial" w:hAnsi="Arial"/>
          <w:sz w:val="16"/>
          <w:szCs w:val="16"/>
          <w:color w:val="000000"/>
        </w:rPr>
        <w:t>Amended</w:t>
      </w:r>
      <w:r>
        <w:rPr>
          <w:rFonts w:ascii="Arial" w:cs="Arial" w:eastAsia="Arial" w:hAnsi="Arial"/>
          <w:sz w:val="16"/>
          <w:szCs w:val="16"/>
          <w:color w:val="0000FF"/>
        </w:rPr>
        <w:t xml:space="preserve"> </w:t>
      </w:r>
      <w:r>
        <w:rPr>
          <w:rFonts w:ascii="Arial" w:cs="Arial" w:eastAsia="Arial" w:hAnsi="Arial"/>
          <w:sz w:val="16"/>
          <w:szCs w:val="16"/>
          <w:color w:val="000000"/>
        </w:rPr>
        <w:t>and Restated Employment and Noncompetition Agreement, dated as of December 31, 2021, by and between SL Green Realty Corp.</w:t>
      </w:r>
      <w:r>
        <w:rPr>
          <w:rFonts w:ascii="Arial" w:cs="Arial" w:eastAsia="Arial" w:hAnsi="Arial"/>
          <w:sz w:val="16"/>
          <w:szCs w:val="16"/>
          <w:color w:val="0000FF"/>
        </w:rPr>
        <w:t xml:space="preserve"> </w:t>
      </w:r>
      <w:r>
        <w:rPr>
          <w:rFonts w:ascii="Arial" w:cs="Arial" w:eastAsia="Arial" w:hAnsi="Arial"/>
          <w:sz w:val="16"/>
          <w:szCs w:val="16"/>
          <w:color w:val="000000"/>
        </w:rPr>
        <w:t>and Andrew Levine, incorporated by reference to the Company's Form 8-K/A, dated December 31, 2021, filed with the SEC on January 6,</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2022.</w:t>
      </w:r>
    </w:p>
    <w:p>
      <w:pPr>
        <w:spacing w:after="0" w:line="5" w:lineRule="exact"/>
        <w:rPr>
          <w:sz w:val="20"/>
          <w:szCs w:val="20"/>
          <w:color w:val="auto"/>
        </w:rPr>
      </w:pPr>
    </w:p>
    <w:p>
      <w:pPr>
        <w:ind w:left="980" w:right="20" w:hanging="433"/>
        <w:spacing w:after="0" w:line="247" w:lineRule="auto"/>
        <w:rPr>
          <w:rFonts w:ascii="Arial" w:cs="Arial" w:eastAsia="Arial" w:hAnsi="Arial"/>
          <w:sz w:val="17"/>
          <w:szCs w:val="17"/>
          <w:color w:val="0000FF"/>
        </w:rPr>
      </w:pPr>
      <w:hyperlink r:id="rId234">
        <w:r>
          <w:rPr>
            <w:rFonts w:ascii="Arial" w:cs="Arial" w:eastAsia="Arial" w:hAnsi="Arial"/>
            <w:sz w:val="17"/>
            <w:szCs w:val="17"/>
            <w:u w:val="single" w:color="auto"/>
            <w:color w:val="0000FF"/>
          </w:rPr>
          <w:t>10.19</w:t>
        </w:r>
        <w:r>
          <w:rPr>
            <w:rFonts w:ascii="Arial" w:cs="Arial" w:eastAsia="Arial" w:hAnsi="Arial"/>
            <w:sz w:val="17"/>
            <w:szCs w:val="17"/>
            <w:color w:val="0000FF"/>
          </w:rPr>
          <w:t xml:space="preserve"> </w:t>
        </w:r>
      </w:hyperlink>
      <w:r>
        <w:rPr>
          <w:rFonts w:ascii="Arial" w:cs="Arial" w:eastAsia="Arial" w:hAnsi="Arial"/>
          <w:sz w:val="17"/>
          <w:szCs w:val="17"/>
          <w:color w:val="000000"/>
        </w:rPr>
        <w:t>Chairman</w:t>
      </w:r>
      <w:r>
        <w:rPr>
          <w:rFonts w:ascii="Arial" w:cs="Arial" w:eastAsia="Arial" w:hAnsi="Arial"/>
          <w:sz w:val="17"/>
          <w:szCs w:val="17"/>
          <w:color w:val="0000FF"/>
        </w:rPr>
        <w:t xml:space="preserve"> </w:t>
      </w:r>
      <w:r>
        <w:rPr>
          <w:rFonts w:ascii="Arial" w:cs="Arial" w:eastAsia="Arial" w:hAnsi="Arial"/>
          <w:sz w:val="17"/>
          <w:szCs w:val="17"/>
          <w:color w:val="000000"/>
        </w:rPr>
        <w:t>Emeritus Agreement, dated as of December 21, 2018, by and between SL Green Realty Corp. and Stephen L. Green, incorporated by</w:t>
      </w:r>
      <w:r>
        <w:rPr>
          <w:rFonts w:ascii="Arial" w:cs="Arial" w:eastAsia="Arial" w:hAnsi="Arial"/>
          <w:sz w:val="17"/>
          <w:szCs w:val="17"/>
          <w:color w:val="0000FF"/>
        </w:rPr>
        <w:t xml:space="preserve"> </w:t>
      </w:r>
      <w:r>
        <w:rPr>
          <w:rFonts w:ascii="Arial" w:cs="Arial" w:eastAsia="Arial" w:hAnsi="Arial"/>
          <w:sz w:val="17"/>
          <w:szCs w:val="17"/>
          <w:color w:val="000000"/>
        </w:rPr>
        <w:t>reference to the Company's Form 8-K, dated December 21, 2018, filed with the SEC on December 28, 2018.</w:t>
      </w:r>
    </w:p>
    <w:p>
      <w:pPr>
        <w:spacing w:after="0" w:line="10" w:lineRule="exact"/>
        <w:rPr>
          <w:sz w:val="20"/>
          <w:szCs w:val="20"/>
          <w:color w:val="auto"/>
        </w:rPr>
      </w:pPr>
    </w:p>
    <w:p>
      <w:pPr>
        <w:jc w:val="right"/>
        <w:ind w:left="540"/>
        <w:spacing w:after="0" w:line="243" w:lineRule="auto"/>
        <w:rPr>
          <w:rFonts w:ascii="Arial" w:cs="Arial" w:eastAsia="Arial" w:hAnsi="Arial"/>
          <w:sz w:val="16"/>
          <w:szCs w:val="16"/>
          <w:color w:val="0000FF"/>
        </w:rPr>
      </w:pPr>
      <w:hyperlink r:id="rId235">
        <w:r>
          <w:rPr>
            <w:rFonts w:ascii="Arial" w:cs="Arial" w:eastAsia="Arial" w:hAnsi="Arial"/>
            <w:sz w:val="16"/>
            <w:szCs w:val="16"/>
            <w:u w:val="single" w:color="auto"/>
            <w:color w:val="0000FF"/>
          </w:rPr>
          <w:t>10.20</w:t>
        </w:r>
        <w:r>
          <w:rPr>
            <w:rFonts w:ascii="Arial" w:cs="Arial" w:eastAsia="Arial" w:hAnsi="Arial"/>
            <w:sz w:val="16"/>
            <w:szCs w:val="16"/>
            <w:color w:val="0000FF"/>
          </w:rPr>
          <w:t xml:space="preserve"> </w:t>
        </w:r>
      </w:hyperlink>
      <w:r>
        <w:rPr>
          <w:rFonts w:ascii="Arial" w:cs="Arial" w:eastAsia="Arial" w:hAnsi="Arial"/>
          <w:sz w:val="16"/>
          <w:szCs w:val="16"/>
          <w:color w:val="000000"/>
        </w:rPr>
        <w:t>Third</w:t>
      </w:r>
      <w:r>
        <w:rPr>
          <w:rFonts w:ascii="Arial" w:cs="Arial" w:eastAsia="Arial" w:hAnsi="Arial"/>
          <w:sz w:val="16"/>
          <w:szCs w:val="16"/>
          <w:color w:val="0000FF"/>
        </w:rPr>
        <w:t xml:space="preserve"> </w:t>
      </w:r>
      <w:r>
        <w:rPr>
          <w:rFonts w:ascii="Arial" w:cs="Arial" w:eastAsia="Arial" w:hAnsi="Arial"/>
          <w:sz w:val="16"/>
          <w:szCs w:val="16"/>
          <w:color w:val="000000"/>
        </w:rPr>
        <w:t>Amended and Restated Credit Agreement, dated as of December 6, 2021, by and among SL Green Realty Corp. and SL Green Operating</w:t>
      </w:r>
      <w:r>
        <w:rPr>
          <w:rFonts w:ascii="Arial" w:cs="Arial" w:eastAsia="Arial" w:hAnsi="Arial"/>
          <w:sz w:val="16"/>
          <w:szCs w:val="16"/>
          <w:color w:val="0000FF"/>
        </w:rPr>
        <w:t xml:space="preserve"> </w:t>
      </w:r>
      <w:r>
        <w:rPr>
          <w:rFonts w:ascii="Arial" w:cs="Arial" w:eastAsia="Arial" w:hAnsi="Arial"/>
          <w:sz w:val="16"/>
          <w:szCs w:val="16"/>
          <w:color w:val="000000"/>
        </w:rPr>
        <w:t>Partnership, L.P., as Borrowers, each of the Lenders party thereto, Wells Fargo Bank, National Association, as Administrative Agent, Wells</w:t>
      </w:r>
    </w:p>
    <w:p>
      <w:pPr>
        <w:spacing w:after="0" w:line="1" w:lineRule="exact"/>
        <w:rPr>
          <w:sz w:val="20"/>
          <w:szCs w:val="20"/>
          <w:color w:val="auto"/>
        </w:rPr>
      </w:pPr>
    </w:p>
    <w:p>
      <w:pPr>
        <w:jc w:val="both"/>
        <w:ind w:left="980"/>
        <w:spacing w:after="0" w:line="217" w:lineRule="auto"/>
        <w:rPr>
          <w:sz w:val="20"/>
          <w:szCs w:val="20"/>
          <w:color w:val="auto"/>
        </w:rPr>
      </w:pPr>
      <w:r>
        <w:rPr>
          <w:rFonts w:ascii="Arial" w:cs="Arial" w:eastAsia="Arial" w:hAnsi="Arial"/>
          <w:sz w:val="17"/>
          <w:szCs w:val="17"/>
          <w:color w:val="auto"/>
        </w:rPr>
        <w:t>Fargo Securities, LLC, JPMorgan Chase Bank, N.A., Deutsche Bank Securities Inc. and TD Bank, N.A., as joint lead arrangers and joint bookrunners for the Revolving Credit Facility and Term Loan A Facility, BofA Securities, Inc. BMO Capital Markets Corp. and The Bank of New York Mellon, as joint lead arrangers for the Revolving Credit Facility and Term Loan A Facility, JPMorgan Chase Bank, N.A., as</w:t>
      </w:r>
    </w:p>
    <w:p>
      <w:pPr>
        <w:spacing w:after="0" w:line="2" w:lineRule="exact"/>
        <w:rPr>
          <w:sz w:val="20"/>
          <w:szCs w:val="20"/>
          <w:color w:val="auto"/>
        </w:rPr>
      </w:pPr>
    </w:p>
    <w:p>
      <w:pPr>
        <w:jc w:val="both"/>
        <w:ind w:left="980"/>
        <w:spacing w:after="0" w:line="231" w:lineRule="auto"/>
        <w:rPr>
          <w:sz w:val="20"/>
          <w:szCs w:val="20"/>
          <w:color w:val="auto"/>
        </w:rPr>
      </w:pPr>
      <w:r>
        <w:rPr>
          <w:rFonts w:ascii="Arial" w:cs="Arial" w:eastAsia="Arial" w:hAnsi="Arial"/>
          <w:sz w:val="16"/>
          <w:szCs w:val="16"/>
          <w:color w:val="auto"/>
        </w:rPr>
        <w:t>syndication agent for the Revolving Credit Facility and Term Loan A Facility, Deutsche Bank Securities Inc., TD Bank N.A., Bank of America, N.A., Bank of Montreal and The Bank of New York Mellon, as documentation agents for the Revolving Credit Facility and Term Loan A Facility, Wells Fargo Securities, LLC and U.S. Bank National Association, as joint lead arrangers and joint bookrunners for the Term Loan B</w:t>
      </w:r>
    </w:p>
    <w:p>
      <w:pPr>
        <w:spacing w:after="0" w:line="1" w:lineRule="exact"/>
        <w:rPr>
          <w:sz w:val="20"/>
          <w:szCs w:val="20"/>
          <w:color w:val="auto"/>
        </w:rPr>
      </w:pPr>
    </w:p>
    <w:p>
      <w:pPr>
        <w:jc w:val="both"/>
        <w:ind w:left="980" w:right="20"/>
        <w:spacing w:after="0" w:line="214" w:lineRule="auto"/>
        <w:rPr>
          <w:sz w:val="20"/>
          <w:szCs w:val="20"/>
          <w:color w:val="auto"/>
        </w:rPr>
      </w:pPr>
      <w:r>
        <w:rPr>
          <w:rFonts w:ascii="Arial" w:cs="Arial" w:eastAsia="Arial" w:hAnsi="Arial"/>
          <w:sz w:val="18"/>
          <w:szCs w:val="18"/>
          <w:color w:val="auto"/>
        </w:rPr>
        <w:t>Facility, U.S. Bank National Association, as syndication agent for the Term Loan B Facility, Wells Fargo Bank, National Association, as sustainability agent, and the other lenders and agents a party thereto, incorporated by reference to the Company's Form 8-K, dated December 6, 2021, filed with the SEC on December 8, 2021.</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0000FF"/>
        </w:rPr>
        <w:t>21.1</w:t>
      </w:r>
      <w:r>
        <w:rPr>
          <w:rFonts w:ascii="Arial" w:cs="Arial" w:eastAsia="Arial" w:hAnsi="Arial"/>
          <w:sz w:val="18"/>
          <w:szCs w:val="18"/>
          <w:color w:val="0000FF"/>
        </w:rPr>
        <w:t xml:space="preserve"> </w:t>
      </w:r>
      <w:r>
        <w:rPr>
          <w:rFonts w:ascii="Arial" w:cs="Arial" w:eastAsia="Arial" w:hAnsi="Arial"/>
          <w:sz w:val="18"/>
          <w:szCs w:val="18"/>
          <w:color w:val="000000"/>
        </w:rPr>
        <w:t>Subsidiaries of SL Green Realty Corp., filed herewith.</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0000FF"/>
        </w:rPr>
        <w:t>21.2</w:t>
      </w:r>
      <w:r>
        <w:rPr>
          <w:rFonts w:ascii="Arial" w:cs="Arial" w:eastAsia="Arial" w:hAnsi="Arial"/>
          <w:sz w:val="18"/>
          <w:szCs w:val="18"/>
          <w:color w:val="0000FF"/>
        </w:rPr>
        <w:t xml:space="preserve"> </w:t>
      </w:r>
      <w:r>
        <w:rPr>
          <w:rFonts w:ascii="Arial" w:cs="Arial" w:eastAsia="Arial" w:hAnsi="Arial"/>
          <w:sz w:val="18"/>
          <w:szCs w:val="18"/>
          <w:color w:val="000000"/>
        </w:rPr>
        <w:t>Subsidiaries of SL Green Operating Partnership L.P., filed herewith.</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0000FF"/>
        </w:rPr>
        <w:t>23.1</w:t>
      </w:r>
      <w:r>
        <w:rPr>
          <w:rFonts w:ascii="Arial" w:cs="Arial" w:eastAsia="Arial" w:hAnsi="Arial"/>
          <w:sz w:val="18"/>
          <w:szCs w:val="18"/>
          <w:color w:val="0000FF"/>
        </w:rPr>
        <w:t xml:space="preserve"> </w:t>
      </w:r>
      <w:r>
        <w:rPr>
          <w:rFonts w:ascii="Arial" w:cs="Arial" w:eastAsia="Arial" w:hAnsi="Arial"/>
          <w:sz w:val="18"/>
          <w:szCs w:val="18"/>
          <w:color w:val="000000"/>
        </w:rPr>
        <w:t>Consent of Ernst &amp; Young LLP for SL Green Realty Corp., filed herewith.</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0000FF"/>
        </w:rPr>
        <w:t>23.2</w:t>
      </w:r>
      <w:r>
        <w:rPr>
          <w:rFonts w:ascii="Arial" w:cs="Arial" w:eastAsia="Arial" w:hAnsi="Arial"/>
          <w:sz w:val="18"/>
          <w:szCs w:val="18"/>
          <w:color w:val="0000FF"/>
        </w:rPr>
        <w:t xml:space="preserve"> </w:t>
      </w:r>
      <w:r>
        <w:rPr>
          <w:rFonts w:ascii="Arial" w:cs="Arial" w:eastAsia="Arial" w:hAnsi="Arial"/>
          <w:sz w:val="18"/>
          <w:szCs w:val="18"/>
          <w:color w:val="000000"/>
        </w:rPr>
        <w:t>Consent of Ernst &amp; Young LLP for SL Green Operating Partnership, L.P., filed herewith.</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0000FF"/>
        </w:rPr>
        <w:t>24.1</w:t>
      </w:r>
      <w:r>
        <w:rPr>
          <w:rFonts w:ascii="Arial" w:cs="Arial" w:eastAsia="Arial" w:hAnsi="Arial"/>
          <w:sz w:val="18"/>
          <w:szCs w:val="18"/>
          <w:color w:val="0000FF"/>
        </w:rPr>
        <w:t xml:space="preserve"> </w:t>
      </w:r>
      <w:r>
        <w:rPr>
          <w:rFonts w:ascii="Arial" w:cs="Arial" w:eastAsia="Arial" w:hAnsi="Arial"/>
          <w:sz w:val="18"/>
          <w:szCs w:val="18"/>
          <w:color w:val="000000"/>
        </w:rPr>
        <w:t>Power of Attorney for SL Green Realty Corp., included on the signature page of this Form 10-K.</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0000FF"/>
        </w:rPr>
        <w:t>24.2</w:t>
      </w:r>
      <w:r>
        <w:rPr>
          <w:rFonts w:ascii="Arial" w:cs="Arial" w:eastAsia="Arial" w:hAnsi="Arial"/>
          <w:sz w:val="18"/>
          <w:szCs w:val="18"/>
          <w:color w:val="0000FF"/>
        </w:rPr>
        <w:t xml:space="preserve"> </w:t>
      </w:r>
      <w:r>
        <w:rPr>
          <w:rFonts w:ascii="Arial" w:cs="Arial" w:eastAsia="Arial" w:hAnsi="Arial"/>
          <w:sz w:val="18"/>
          <w:szCs w:val="18"/>
          <w:color w:val="000000"/>
        </w:rPr>
        <w:t>Power of Attorney for SL Green Operating Partnership, L.P., included on the signature page of this Form 10-K.</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31.1</w:t>
      </w:r>
      <w:r>
        <w:rPr>
          <w:rFonts w:ascii="Arial" w:cs="Arial" w:eastAsia="Arial" w:hAnsi="Arial"/>
          <w:sz w:val="17"/>
          <w:szCs w:val="17"/>
          <w:color w:val="0000FF"/>
        </w:rPr>
        <w:t xml:space="preserve"> </w:t>
      </w:r>
      <w:r>
        <w:rPr>
          <w:rFonts w:ascii="Arial" w:cs="Arial" w:eastAsia="Arial" w:hAnsi="Arial"/>
          <w:sz w:val="17"/>
          <w:szCs w:val="17"/>
          <w:color w:val="000000"/>
        </w:rPr>
        <w:t>Certification by the Chief Executive Officer of the Company pursuant to Section 302 of the Sarbanes-Oxley Act of 2002, filed herewith.</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31.2</w:t>
      </w:r>
      <w:r>
        <w:rPr>
          <w:rFonts w:ascii="Arial" w:cs="Arial" w:eastAsia="Arial" w:hAnsi="Arial"/>
          <w:sz w:val="17"/>
          <w:szCs w:val="17"/>
          <w:color w:val="0000FF"/>
        </w:rPr>
        <w:t xml:space="preserve"> </w:t>
      </w:r>
      <w:r>
        <w:rPr>
          <w:rFonts w:ascii="Arial" w:cs="Arial" w:eastAsia="Arial" w:hAnsi="Arial"/>
          <w:sz w:val="17"/>
          <w:szCs w:val="17"/>
          <w:color w:val="000000"/>
        </w:rPr>
        <w:t>Certification by the Chief Financial Officer of the Company pursuant to Section 302 of the Sarbanes-Oxley Act of 2002, filed herewith.</w:t>
      </w:r>
    </w:p>
    <w:p>
      <w:pPr>
        <w:spacing w:after="0" w:line="31" w:lineRule="exact"/>
        <w:rPr>
          <w:sz w:val="20"/>
          <w:szCs w:val="20"/>
          <w:color w:val="auto"/>
        </w:rPr>
      </w:pPr>
    </w:p>
    <w:p>
      <w:pPr>
        <w:ind w:left="980" w:hanging="345"/>
        <w:spacing w:after="0" w:line="230" w:lineRule="auto"/>
        <w:rPr>
          <w:sz w:val="20"/>
          <w:szCs w:val="20"/>
          <w:color w:val="auto"/>
        </w:rPr>
      </w:pPr>
      <w:r>
        <w:rPr>
          <w:rFonts w:ascii="Arial" w:cs="Arial" w:eastAsia="Arial" w:hAnsi="Arial"/>
          <w:sz w:val="18"/>
          <w:szCs w:val="18"/>
          <w:u w:val="single" w:color="auto"/>
          <w:color w:val="0000FF"/>
        </w:rPr>
        <w:t>31.3</w:t>
      </w:r>
      <w:r>
        <w:rPr>
          <w:rFonts w:ascii="Arial" w:cs="Arial" w:eastAsia="Arial" w:hAnsi="Arial"/>
          <w:sz w:val="18"/>
          <w:szCs w:val="18"/>
          <w:color w:val="0000FF"/>
        </w:rPr>
        <w:t xml:space="preserve"> </w:t>
      </w:r>
      <w:r>
        <w:rPr>
          <w:rFonts w:ascii="Arial" w:cs="Arial" w:eastAsia="Arial" w:hAnsi="Arial"/>
          <w:sz w:val="18"/>
          <w:szCs w:val="18"/>
          <w:color w:val="000000"/>
        </w:rPr>
        <w:t>Certification by the Chief Executive Officer of the Company, the sole general partner of the Operating Partnership pursuant to Section 302 of</w:t>
      </w:r>
      <w:r>
        <w:rPr>
          <w:rFonts w:ascii="Arial" w:cs="Arial" w:eastAsia="Arial" w:hAnsi="Arial"/>
          <w:sz w:val="18"/>
          <w:szCs w:val="18"/>
          <w:color w:val="0000FF"/>
        </w:rPr>
        <w:t xml:space="preserve"> </w:t>
      </w:r>
      <w:r>
        <w:rPr>
          <w:rFonts w:ascii="Arial" w:cs="Arial" w:eastAsia="Arial" w:hAnsi="Arial"/>
          <w:sz w:val="18"/>
          <w:szCs w:val="18"/>
          <w:color w:val="000000"/>
        </w:rPr>
        <w:t>the Sarbanes-Oxley Act of 2002, filed herewith.</w:t>
      </w:r>
    </w:p>
    <w:p>
      <w:pPr>
        <w:spacing w:after="0" w:line="16" w:lineRule="exact"/>
        <w:rPr>
          <w:sz w:val="20"/>
          <w:szCs w:val="20"/>
          <w:color w:val="auto"/>
        </w:rPr>
      </w:pPr>
    </w:p>
    <w:p>
      <w:pPr>
        <w:ind w:left="980" w:right="20" w:hanging="345"/>
        <w:spacing w:after="0" w:line="230" w:lineRule="auto"/>
        <w:rPr>
          <w:sz w:val="20"/>
          <w:szCs w:val="20"/>
          <w:color w:val="auto"/>
        </w:rPr>
      </w:pPr>
      <w:r>
        <w:rPr>
          <w:rFonts w:ascii="Arial" w:cs="Arial" w:eastAsia="Arial" w:hAnsi="Arial"/>
          <w:sz w:val="18"/>
          <w:szCs w:val="18"/>
          <w:u w:val="single" w:color="auto"/>
          <w:color w:val="0000FF"/>
        </w:rPr>
        <w:t>31.4</w:t>
      </w:r>
      <w:r>
        <w:rPr>
          <w:rFonts w:ascii="Arial" w:cs="Arial" w:eastAsia="Arial" w:hAnsi="Arial"/>
          <w:sz w:val="18"/>
          <w:szCs w:val="18"/>
          <w:color w:val="0000FF"/>
        </w:rPr>
        <w:t xml:space="preserve"> </w:t>
      </w:r>
      <w:r>
        <w:rPr>
          <w:rFonts w:ascii="Arial" w:cs="Arial" w:eastAsia="Arial" w:hAnsi="Arial"/>
          <w:sz w:val="18"/>
          <w:szCs w:val="18"/>
          <w:color w:val="000000"/>
        </w:rPr>
        <w:t>Certification by the Chief Financial Officer of the Company, the sole general partner of the Operating Partnership pursuant to Section 302 of</w:t>
      </w:r>
      <w:r>
        <w:rPr>
          <w:rFonts w:ascii="Arial" w:cs="Arial" w:eastAsia="Arial" w:hAnsi="Arial"/>
          <w:sz w:val="18"/>
          <w:szCs w:val="18"/>
          <w:color w:val="0000FF"/>
        </w:rPr>
        <w:t xml:space="preserve"> </w:t>
      </w:r>
      <w:r>
        <w:rPr>
          <w:rFonts w:ascii="Arial" w:cs="Arial" w:eastAsia="Arial" w:hAnsi="Arial"/>
          <w:sz w:val="18"/>
          <w:szCs w:val="18"/>
          <w:color w:val="000000"/>
        </w:rPr>
        <w:t>the Sarbanes-Oxley Act of 2002, filed herewith.</w:t>
      </w:r>
    </w:p>
    <w:p>
      <w:pPr>
        <w:spacing w:after="0" w:line="16" w:lineRule="exact"/>
        <w:rPr>
          <w:sz w:val="20"/>
          <w:szCs w:val="20"/>
          <w:color w:val="auto"/>
        </w:rPr>
      </w:pPr>
    </w:p>
    <w:p>
      <w:pPr>
        <w:ind w:left="980" w:right="20" w:hanging="345"/>
        <w:spacing w:after="0" w:line="230" w:lineRule="auto"/>
        <w:rPr>
          <w:sz w:val="20"/>
          <w:szCs w:val="20"/>
          <w:color w:val="auto"/>
        </w:rPr>
      </w:pPr>
      <w:r>
        <w:rPr>
          <w:rFonts w:ascii="Arial" w:cs="Arial" w:eastAsia="Arial" w:hAnsi="Arial"/>
          <w:sz w:val="18"/>
          <w:szCs w:val="18"/>
          <w:u w:val="single" w:color="auto"/>
          <w:color w:val="0000FF"/>
        </w:rPr>
        <w:t>32.1</w:t>
      </w:r>
      <w:r>
        <w:rPr>
          <w:rFonts w:ascii="Arial" w:cs="Arial" w:eastAsia="Arial" w:hAnsi="Arial"/>
          <w:sz w:val="18"/>
          <w:szCs w:val="18"/>
          <w:color w:val="0000FF"/>
        </w:rPr>
        <w:t xml:space="preserve"> </w:t>
      </w:r>
      <w:r>
        <w:rPr>
          <w:rFonts w:ascii="Arial" w:cs="Arial" w:eastAsia="Arial" w:hAnsi="Arial"/>
          <w:sz w:val="18"/>
          <w:szCs w:val="18"/>
          <w:color w:val="000000"/>
        </w:rPr>
        <w:t>Certification by the Chief Executive Officer pursuant to 18 U.S.C. section 1350, as adopted pursuant to Section 906 of the Sarbanes-Oxley Act</w:t>
      </w:r>
      <w:r>
        <w:rPr>
          <w:rFonts w:ascii="Arial" w:cs="Arial" w:eastAsia="Arial" w:hAnsi="Arial"/>
          <w:sz w:val="18"/>
          <w:szCs w:val="18"/>
          <w:color w:val="0000FF"/>
        </w:rPr>
        <w:t xml:space="preserve"> </w:t>
      </w:r>
      <w:r>
        <w:rPr>
          <w:rFonts w:ascii="Arial" w:cs="Arial" w:eastAsia="Arial" w:hAnsi="Arial"/>
          <w:sz w:val="18"/>
          <w:szCs w:val="18"/>
          <w:color w:val="000000"/>
        </w:rPr>
        <w:t>of 2002, filed herewith.</w:t>
      </w:r>
    </w:p>
    <w:p>
      <w:pPr>
        <w:spacing w:after="0" w:line="16" w:lineRule="exact"/>
        <w:rPr>
          <w:sz w:val="20"/>
          <w:szCs w:val="20"/>
          <w:color w:val="auto"/>
        </w:rPr>
      </w:pPr>
    </w:p>
    <w:p>
      <w:pPr>
        <w:ind w:left="980" w:hanging="345"/>
        <w:spacing w:after="0" w:line="230" w:lineRule="auto"/>
        <w:rPr>
          <w:sz w:val="20"/>
          <w:szCs w:val="20"/>
          <w:color w:val="auto"/>
        </w:rPr>
      </w:pPr>
      <w:r>
        <w:rPr>
          <w:rFonts w:ascii="Arial" w:cs="Arial" w:eastAsia="Arial" w:hAnsi="Arial"/>
          <w:sz w:val="18"/>
          <w:szCs w:val="18"/>
          <w:u w:val="single" w:color="auto"/>
          <w:color w:val="0000FF"/>
        </w:rPr>
        <w:t>32.2</w:t>
      </w:r>
      <w:r>
        <w:rPr>
          <w:rFonts w:ascii="Arial" w:cs="Arial" w:eastAsia="Arial" w:hAnsi="Arial"/>
          <w:sz w:val="18"/>
          <w:szCs w:val="18"/>
          <w:color w:val="0000FF"/>
        </w:rPr>
        <w:t xml:space="preserve"> </w:t>
      </w:r>
      <w:r>
        <w:rPr>
          <w:rFonts w:ascii="Arial" w:cs="Arial" w:eastAsia="Arial" w:hAnsi="Arial"/>
          <w:sz w:val="18"/>
          <w:szCs w:val="18"/>
          <w:color w:val="000000"/>
        </w:rPr>
        <w:t>Certification by the Chief Financial Officer pursuant to 18 U.S.C. section 1350, as adopted pursuant to Section 906 of the Sarbanes-Oxley Act</w:t>
      </w:r>
      <w:r>
        <w:rPr>
          <w:rFonts w:ascii="Arial" w:cs="Arial" w:eastAsia="Arial" w:hAnsi="Arial"/>
          <w:sz w:val="18"/>
          <w:szCs w:val="18"/>
          <w:color w:val="0000FF"/>
        </w:rPr>
        <w:t xml:space="preserve"> </w:t>
      </w:r>
      <w:r>
        <w:rPr>
          <w:rFonts w:ascii="Arial" w:cs="Arial" w:eastAsia="Arial" w:hAnsi="Arial"/>
          <w:sz w:val="18"/>
          <w:szCs w:val="18"/>
          <w:color w:val="000000"/>
        </w:rPr>
        <w:t>of 2002, filed herewith.</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0000FF"/>
        </w:rPr>
        <w:t>32.3</w:t>
      </w:r>
      <w:r>
        <w:rPr>
          <w:rFonts w:ascii="Arial" w:cs="Arial" w:eastAsia="Arial" w:hAnsi="Arial"/>
          <w:sz w:val="16"/>
          <w:szCs w:val="16"/>
          <w:color w:val="0000FF"/>
        </w:rPr>
        <w:t xml:space="preserve"> </w:t>
      </w:r>
      <w:r>
        <w:rPr>
          <w:rFonts w:ascii="Arial" w:cs="Arial" w:eastAsia="Arial" w:hAnsi="Arial"/>
          <w:sz w:val="16"/>
          <w:szCs w:val="16"/>
          <w:color w:val="000000"/>
        </w:rPr>
        <w:t>Certification by the Chief Executive Officer of the Company, the sole general partner of the Operating Partnership pursuant to 18 U.S.C.</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1350, as adopted pursuant to Section 906 of the Sarbanes-Oxley Act of 2002, filed herewith.</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32.4</w:t>
      </w:r>
      <w:r>
        <w:rPr>
          <w:rFonts w:ascii="Arial" w:cs="Arial" w:eastAsia="Arial" w:hAnsi="Arial"/>
          <w:sz w:val="17"/>
          <w:szCs w:val="17"/>
          <w:color w:val="0000FF"/>
        </w:rPr>
        <w:t xml:space="preserve"> </w:t>
      </w:r>
      <w:r>
        <w:rPr>
          <w:rFonts w:ascii="Arial" w:cs="Arial" w:eastAsia="Arial" w:hAnsi="Arial"/>
          <w:sz w:val="17"/>
          <w:szCs w:val="17"/>
          <w:color w:val="000000"/>
        </w:rPr>
        <w:t>Certification by the Chief Financial Officer of the Company, the sole general partner of the Operating Partnership pursuant to 18 U.S.C.</w:t>
      </w:r>
    </w:p>
    <w:p>
      <w:pPr>
        <w:ind w:left="980"/>
        <w:spacing w:after="0"/>
        <w:rPr>
          <w:sz w:val="20"/>
          <w:szCs w:val="20"/>
          <w:color w:val="auto"/>
        </w:rPr>
      </w:pPr>
      <w:r>
        <w:rPr>
          <w:rFonts w:ascii="Arial" w:cs="Arial" w:eastAsia="Arial" w:hAnsi="Arial"/>
          <w:sz w:val="18"/>
          <w:szCs w:val="18"/>
          <w:color w:val="auto"/>
        </w:rPr>
        <w:t>section 1350, as adopted pursuant to Section 906 of the Sarbanes-Oxley Act of 2002, filed herewith.</w:t>
      </w:r>
    </w:p>
    <w:p>
      <w:pPr>
        <w:spacing w:after="0" w:line="19" w:lineRule="exact"/>
        <w:rPr>
          <w:sz w:val="20"/>
          <w:szCs w:val="20"/>
          <w:color w:val="auto"/>
        </w:rPr>
      </w:pPr>
    </w:p>
    <w:p>
      <w:pPr>
        <w:jc w:val="right"/>
        <w:ind w:left="680"/>
        <w:spacing w:after="0" w:line="243" w:lineRule="auto"/>
        <w:rPr>
          <w:sz w:val="20"/>
          <w:szCs w:val="20"/>
          <w:color w:val="auto"/>
        </w:rPr>
      </w:pPr>
      <w:r>
        <w:rPr>
          <w:rFonts w:ascii="Arial" w:cs="Arial" w:eastAsia="Arial" w:hAnsi="Arial"/>
          <w:sz w:val="16"/>
          <w:szCs w:val="16"/>
          <w:color w:val="auto"/>
        </w:rPr>
        <w:t>101 The following financial statements from SL Green Realty Corp. and SL Green Operating Partnership L.P.’s Annual Report on Form 10-K for the year ended December 31, 2021, formatted in Inline XBRL: (i) Consolidated Balance Sheets, (ii) Consolidated Statements of Operations,</w:t>
      </w:r>
    </w:p>
    <w:p>
      <w:pPr>
        <w:spacing w:after="0" w:line="1" w:lineRule="exact"/>
        <w:rPr>
          <w:sz w:val="20"/>
          <w:szCs w:val="20"/>
          <w:color w:val="auto"/>
        </w:rPr>
      </w:pPr>
    </w:p>
    <w:p>
      <w:pPr>
        <w:ind w:left="980" w:firstLine="3"/>
        <w:spacing w:after="0" w:line="251" w:lineRule="auto"/>
        <w:tabs>
          <w:tab w:leader="none" w:pos="1301"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Consolidated Statements of Comprehensive Income, (iv) Consolidated Statements of Equity, (v) Consolidated Statements of Capital, (vi) Consolidated Statements of Cash Flows, and (vii) Notes to Consolidated Financial Statements, detail tagged and filed herewith.</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104 Cover Page Interactive Data File (formatted in Inline XBRL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2"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7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460" w:type="dxa"/>
            <w:vAlign w:val="bottom"/>
            <w:gridSpan w:val="2"/>
          </w:tcPr>
          <w:p>
            <w:pPr>
              <w:ind w:left="5140"/>
              <w:spacing w:after="0"/>
              <w:rPr>
                <w:sz w:val="20"/>
                <w:szCs w:val="20"/>
                <w:color w:val="auto"/>
              </w:rPr>
            </w:pPr>
            <w:r>
              <w:rPr>
                <w:rFonts w:ascii="Arial" w:cs="Arial" w:eastAsia="Arial" w:hAnsi="Arial"/>
                <w:sz w:val="18"/>
                <w:szCs w:val="18"/>
                <w:b w:val="1"/>
                <w:bCs w:val="1"/>
                <w:color w:val="auto"/>
                <w:w w:val="99"/>
              </w:rPr>
              <w:t>SL GREEN REALTY CORP.</w:t>
            </w:r>
          </w:p>
        </w:tc>
        <w:tc>
          <w:tcPr>
            <w:tcW w:w="3200" w:type="dxa"/>
            <w:vAlign w:val="bottom"/>
          </w:tcPr>
          <w:p>
            <w:pPr>
              <w:spacing w:after="0"/>
              <w:rPr>
                <w:sz w:val="20"/>
                <w:szCs w:val="20"/>
                <w:color w:val="auto"/>
              </w:rPr>
            </w:pPr>
          </w:p>
        </w:tc>
      </w:tr>
      <w:tr>
        <w:trPr>
          <w:trHeight w:val="440"/>
        </w:trPr>
        <w:tc>
          <w:tcPr>
            <w:tcW w:w="7460" w:type="dxa"/>
            <w:vAlign w:val="bottom"/>
            <w:gridSpan w:val="2"/>
          </w:tcPr>
          <w:p>
            <w:pPr>
              <w:ind w:left="5140"/>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1211"/>
              <w:spacing w:after="0"/>
              <w:rPr>
                <w:sz w:val="20"/>
                <w:szCs w:val="20"/>
                <w:color w:val="auto"/>
              </w:rPr>
            </w:pPr>
            <w:r>
              <w:rPr>
                <w:rFonts w:ascii="Arial" w:cs="Arial" w:eastAsia="Arial" w:hAnsi="Arial"/>
                <w:sz w:val="18"/>
                <w:szCs w:val="18"/>
                <w:color w:val="auto"/>
                <w:w w:val="92"/>
              </w:rPr>
              <w:t>/s/ Matthew J. DiLiberto</w:t>
            </w:r>
          </w:p>
        </w:tc>
      </w:tr>
      <w:tr>
        <w:trPr>
          <w:trHeight w:val="168"/>
        </w:trPr>
        <w:tc>
          <w:tcPr>
            <w:tcW w:w="614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200" w:type="dxa"/>
            <w:vAlign w:val="bottom"/>
            <w:tcBorders>
              <w:top w:val="single" w:sz="8" w:color="auto"/>
            </w:tcBorders>
          </w:tcPr>
          <w:p>
            <w:pPr>
              <w:jc w:val="center"/>
              <w:ind w:right="1211"/>
              <w:spacing w:after="0" w:line="168" w:lineRule="exact"/>
              <w:rPr>
                <w:sz w:val="20"/>
                <w:szCs w:val="20"/>
                <w:color w:val="auto"/>
              </w:rPr>
            </w:pPr>
            <w:r>
              <w:rPr>
                <w:rFonts w:ascii="Arial" w:cs="Arial" w:eastAsia="Arial" w:hAnsi="Arial"/>
                <w:sz w:val="18"/>
                <w:szCs w:val="18"/>
                <w:color w:val="auto"/>
                <w:w w:val="93"/>
              </w:rPr>
              <w:t>Matthew J. DiLiberto</w:t>
            </w:r>
          </w:p>
        </w:tc>
      </w:tr>
      <w:tr>
        <w:trPr>
          <w:trHeight w:val="237"/>
        </w:trPr>
        <w:tc>
          <w:tcPr>
            <w:tcW w:w="7460" w:type="dxa"/>
            <w:vAlign w:val="bottom"/>
            <w:gridSpan w:val="2"/>
          </w:tcPr>
          <w:p>
            <w:pPr>
              <w:spacing w:after="0"/>
              <w:rPr>
                <w:sz w:val="20"/>
                <w:szCs w:val="20"/>
                <w:color w:val="auto"/>
              </w:rPr>
            </w:pPr>
            <w:r>
              <w:rPr>
                <w:rFonts w:ascii="Arial" w:cs="Arial" w:eastAsia="Arial" w:hAnsi="Arial"/>
                <w:sz w:val="18"/>
                <w:szCs w:val="18"/>
                <w:color w:val="auto"/>
              </w:rPr>
              <w:t>Dated: February 16, 2023</w:t>
            </w:r>
          </w:p>
        </w:tc>
        <w:tc>
          <w:tcPr>
            <w:tcW w:w="3200" w:type="dxa"/>
            <w:vAlign w:val="bottom"/>
          </w:tcPr>
          <w:p>
            <w:pPr>
              <w:jc w:val="center"/>
              <w:ind w:right="1171"/>
              <w:spacing w:after="0"/>
              <w:rPr>
                <w:sz w:val="20"/>
                <w:szCs w:val="20"/>
                <w:color w:val="auto"/>
              </w:rPr>
            </w:pPr>
            <w:r>
              <w:rPr>
                <w:rFonts w:ascii="Arial" w:cs="Arial" w:eastAsia="Arial" w:hAnsi="Arial"/>
                <w:sz w:val="18"/>
                <w:szCs w:val="18"/>
                <w:i w:val="1"/>
                <w:iCs w:val="1"/>
                <w:color w:val="auto"/>
                <w:w w:val="93"/>
              </w:rPr>
              <w:t>Chief Financial Officer</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65"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KNOW ALL MEN BY THESE PRESENTS, that we, the undersigned officers and directors of SL Green Realty Corp. hereby severally constitute Marc Holliday and Matthew J. DiLiberto, and each of them singly, our true and lawful attorneys and with full power to them, and each of them singly, to sign for us and in our names in the capacities indicated below, the Annual Report on Form 10-K filed herewith and any and all amendments to said Annual Report on Form 10-K, and generally to do all such things in our names and in our capacities as officers and directors to enable SL Green Realty Corp. to comply with the provisions of the Securities Exchange Act of 1934, as amended, and all requirements of the Securities and Exchange Commission, hereby ratifying and confirming our signatures as they may be signed by our said attorneys, or any of them, to said Annual Report on Form 10-K and any and all amendments thereto.</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5962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439"/>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ind w:left="1860"/>
        <w:spacing w:after="0"/>
        <w:tabs>
          <w:tab w:leader="none" w:pos="6140" w:val="left"/>
          <w:tab w:leader="none" w:pos="974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240"/>
          </w:cols>
          <w:pgMar w:left="320" w:top="127" w:right="339" w:bottom="1440" w:gutter="0" w:footer="0" w:header="0"/>
        </w:sectPr>
      </w:pPr>
    </w:p>
    <w:p>
      <w:pPr>
        <w:spacing w:after="0" w:line="302"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Marc Holliday</w:t>
      </w:r>
    </w:p>
    <w:p>
      <w:pPr>
        <w:spacing w:after="0" w:line="272" w:lineRule="exact"/>
        <w:rPr>
          <w:sz w:val="20"/>
          <w:szCs w:val="20"/>
          <w:color w:val="auto"/>
        </w:rPr>
      </w:pPr>
    </w:p>
    <w:p>
      <w:pPr>
        <w:jc w:val="center"/>
        <w:ind w:left="1140"/>
        <w:spacing w:after="0"/>
        <w:rPr>
          <w:sz w:val="20"/>
          <w:szCs w:val="20"/>
          <w:color w:val="auto"/>
        </w:rPr>
      </w:pPr>
      <w:r>
        <w:rPr>
          <w:rFonts w:ascii="Arial" w:cs="Arial" w:eastAsia="Arial" w:hAnsi="Arial"/>
          <w:sz w:val="17"/>
          <w:szCs w:val="17"/>
          <w:color w:val="auto"/>
        </w:rPr>
        <w:t>/s/ Andrew 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19050</wp:posOffset>
            </wp:positionV>
            <wp:extent cx="21977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9">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51"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Andrew W. Mathias</w:t>
      </w:r>
    </w:p>
    <w:p>
      <w:pPr>
        <w:spacing w:after="0" w:line="27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26035</wp:posOffset>
            </wp:positionV>
            <wp:extent cx="21977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0">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62"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Matthew J. DiLiberto</w:t>
      </w:r>
    </w:p>
    <w:p>
      <w:pPr>
        <w:spacing w:after="0" w:line="272"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/s/ 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1">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Stephen L. Green</w:t>
      </w:r>
    </w:p>
    <w:p>
      <w:pPr>
        <w:spacing w:after="0" w:line="325"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/s/ John H. Alschuler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26035</wp:posOffset>
            </wp:positionV>
            <wp:extent cx="21977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2">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62"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John H. Alschuler, Jr.</w:t>
      </w:r>
    </w:p>
    <w:p>
      <w:pPr>
        <w:spacing w:after="0" w:line="272" w:lineRule="exact"/>
        <w:rPr>
          <w:sz w:val="20"/>
          <w:szCs w:val="20"/>
          <w:color w:val="auto"/>
        </w:rPr>
      </w:pPr>
    </w:p>
    <w:p>
      <w:pPr>
        <w:jc w:val="center"/>
        <w:ind w:left="1140"/>
        <w:spacing w:after="0"/>
        <w:rPr>
          <w:sz w:val="20"/>
          <w:szCs w:val="20"/>
          <w:color w:val="auto"/>
        </w:rPr>
      </w:pPr>
      <w:r>
        <w:rPr>
          <w:rFonts w:ascii="Arial" w:cs="Arial" w:eastAsia="Arial" w:hAnsi="Arial"/>
          <w:sz w:val="17"/>
          <w:szCs w:val="17"/>
          <w:color w:val="auto"/>
        </w:rPr>
        <w:t>/s/ Edwin T. 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19050</wp:posOffset>
            </wp:positionV>
            <wp:extent cx="21977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3">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51"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Edwin T. Burton, III</w:t>
      </w:r>
    </w:p>
    <w:p>
      <w:pPr>
        <w:spacing w:after="0" w:line="272"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/s/ John S.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4">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John S. Levy</w:t>
      </w:r>
    </w:p>
    <w:p>
      <w:pPr>
        <w:spacing w:after="0" w:line="272"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/s/ Craig M. 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5">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Craig M. Hatkoff</w:t>
      </w:r>
    </w:p>
    <w:p>
      <w:pPr>
        <w:spacing w:after="0" w:line="325"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/s/ Betsy S.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6">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Betsy S. Atkins</w:t>
      </w:r>
    </w:p>
    <w:p>
      <w:pPr>
        <w:spacing w:after="0" w:line="325"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/s/ Lauren B.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7">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Lauren B. Dillard</w:t>
      </w:r>
    </w:p>
    <w:p>
      <w:pPr>
        <w:spacing w:after="0" w:line="325"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/s/ Carol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8">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Carol Brown</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20"/>
                <w:szCs w:val="20"/>
                <w:color w:val="auto"/>
              </w:rPr>
            </w:pPr>
            <w:r>
              <w:rPr>
                <w:rFonts w:ascii="Arial" w:cs="Arial" w:eastAsia="Arial" w:hAnsi="Arial"/>
                <w:sz w:val="18"/>
                <w:szCs w:val="18"/>
                <w:color w:val="auto"/>
                <w:w w:val="98"/>
              </w:rPr>
              <w:t>Chairman of the Board of Directors and Chief Executive Officer</w:t>
            </w:r>
          </w:p>
        </w:tc>
        <w:tc>
          <w:tcPr>
            <w:tcW w:w="1680" w:type="dxa"/>
            <w:vAlign w:val="bottom"/>
            <w:vMerge w:val="restart"/>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144"/>
        </w:trPr>
        <w:tc>
          <w:tcPr>
            <w:tcW w:w="496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96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6"/>
        </w:trPr>
        <w:tc>
          <w:tcPr>
            <w:tcW w:w="4960" w:type="dxa"/>
            <w:vAlign w:val="bottom"/>
          </w:tcPr>
          <w:p>
            <w:pPr>
              <w:spacing w:after="0"/>
              <w:rPr>
                <w:sz w:val="20"/>
                <w:szCs w:val="20"/>
                <w:color w:val="auto"/>
              </w:rPr>
            </w:pPr>
            <w:r>
              <w:rPr>
                <w:rFonts w:ascii="Arial" w:cs="Arial" w:eastAsia="Arial" w:hAnsi="Arial"/>
                <w:sz w:val="18"/>
                <w:szCs w:val="18"/>
                <w:color w:val="auto"/>
              </w:rPr>
              <w:t>President and Director</w:t>
            </w:r>
          </w:p>
        </w:tc>
        <w:tc>
          <w:tcPr>
            <w:tcW w:w="1680" w:type="dxa"/>
            <w:vAlign w:val="bottom"/>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601"/>
        </w:trPr>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vMerge w:val="restart"/>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144"/>
        </w:trPr>
        <w:tc>
          <w:tcPr>
            <w:tcW w:w="4960" w:type="dxa"/>
            <w:vAlign w:val="bottom"/>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96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6"/>
        </w:trPr>
        <w:tc>
          <w:tcPr>
            <w:tcW w:w="4960" w:type="dxa"/>
            <w:vAlign w:val="bottom"/>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799"/>
        </w:trPr>
        <w:tc>
          <w:tcPr>
            <w:tcW w:w="4960" w:type="dxa"/>
            <w:vAlign w:val="bottom"/>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745"/>
        </w:trPr>
        <w:tc>
          <w:tcPr>
            <w:tcW w:w="4960" w:type="dxa"/>
            <w:vAlign w:val="bottom"/>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745"/>
        </w:trPr>
        <w:tc>
          <w:tcPr>
            <w:tcW w:w="4960" w:type="dxa"/>
            <w:vAlign w:val="bottom"/>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745"/>
        </w:trPr>
        <w:tc>
          <w:tcPr>
            <w:tcW w:w="4960" w:type="dxa"/>
            <w:vAlign w:val="bottom"/>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799"/>
        </w:trPr>
        <w:tc>
          <w:tcPr>
            <w:tcW w:w="4960" w:type="dxa"/>
            <w:vAlign w:val="bottom"/>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799"/>
        </w:trPr>
        <w:tc>
          <w:tcPr>
            <w:tcW w:w="4960" w:type="dxa"/>
            <w:vAlign w:val="bottom"/>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r>
        <w:trPr>
          <w:trHeight w:val="799"/>
        </w:trPr>
        <w:tc>
          <w:tcPr>
            <w:tcW w:w="4960" w:type="dxa"/>
            <w:vAlign w:val="bottom"/>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380"/>
              <w:spacing w:after="0"/>
              <w:rPr>
                <w:sz w:val="20"/>
                <w:szCs w:val="20"/>
                <w:color w:val="auto"/>
              </w:rPr>
            </w:pPr>
            <w:r>
              <w:rPr>
                <w:rFonts w:ascii="Arial" w:cs="Arial" w:eastAsia="Arial" w:hAnsi="Arial"/>
                <w:sz w:val="18"/>
                <w:szCs w:val="18"/>
                <w:color w:val="auto"/>
                <w:w w:val="86"/>
              </w:rPr>
              <w:t>February 16, 2023</w:t>
            </w:r>
          </w:p>
        </w:tc>
        <w:tc>
          <w:tcPr>
            <w:tcW w:w="0" w:type="dxa"/>
            <w:vAlign w:val="bottom"/>
          </w:tcPr>
          <w:p>
            <w:pPr>
              <w:spacing w:after="0"/>
              <w:rPr>
                <w:sz w:val="1"/>
                <w:szCs w:val="1"/>
                <w:color w:val="auto"/>
              </w:rPr>
            </w:pPr>
          </w:p>
        </w:tc>
      </w:tr>
    </w:tbl>
    <w:p>
      <w:pPr>
        <w:spacing w:after="0" w:line="342" w:lineRule="exact"/>
        <w:rPr>
          <w:sz w:val="20"/>
          <w:szCs w:val="20"/>
          <w:color w:val="auto"/>
        </w:rPr>
      </w:pPr>
    </w:p>
    <w:p>
      <w:pPr>
        <w:sectPr>
          <w:pgSz w:w="11900" w:h="16838" w:orient="portrait"/>
          <w:cols w:equalWidth="0" w:num="2">
            <w:col w:w="3200" w:space="720"/>
            <w:col w:w="7320"/>
          </w:cols>
          <w:pgMar w:left="320" w:top="127"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5962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2"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7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SL GREEN OPERATING PARTNERSHIP, L.P.</w:t>
      </w:r>
    </w:p>
    <w:p>
      <w:pPr>
        <w:spacing w:after="0" w:line="25" w:lineRule="exact"/>
        <w:rPr>
          <w:sz w:val="20"/>
          <w:szCs w:val="20"/>
          <w:color w:val="auto"/>
        </w:rPr>
      </w:pPr>
    </w:p>
    <w:tbl>
      <w:tblPr>
        <w:tblLayout w:type="fixed"/>
        <w:tblInd w:w="460" w:type="dxa"/>
        <w:tblCellMar>
          <w:top w:w="0" w:type="dxa"/>
          <w:left w:w="0" w:type="dxa"/>
          <w:bottom w:w="0" w:type="dxa"/>
          <w:right w:w="0" w:type="dxa"/>
        </w:tblCellMar>
      </w:tblPr>
      <w:tr>
        <w:trPr>
          <w:trHeight w:val="224"/>
        </w:trPr>
        <w:tc>
          <w:tcPr>
            <w:tcW w:w="6140" w:type="dxa"/>
            <w:vAlign w:val="bottom"/>
          </w:tcPr>
          <w:p>
            <w:pPr>
              <w:ind w:left="5140"/>
              <w:spacing w:after="0"/>
              <w:rPr>
                <w:sz w:val="20"/>
                <w:szCs w:val="20"/>
                <w:color w:val="auto"/>
              </w:rPr>
            </w:pPr>
            <w:r>
              <w:rPr>
                <w:rFonts w:ascii="Arial" w:cs="Arial" w:eastAsia="Arial" w:hAnsi="Arial"/>
                <w:sz w:val="18"/>
                <w:szCs w:val="18"/>
                <w:color w:val="auto"/>
              </w:rPr>
              <w:t>By:</w:t>
            </w:r>
          </w:p>
        </w:tc>
        <w:tc>
          <w:tcPr>
            <w:tcW w:w="4520" w:type="dxa"/>
            <w:vAlign w:val="bottom"/>
          </w:tcPr>
          <w:p>
            <w:pPr>
              <w:ind w:left="80"/>
              <w:spacing w:after="0"/>
              <w:rPr>
                <w:sz w:val="20"/>
                <w:szCs w:val="20"/>
                <w:color w:val="auto"/>
              </w:rPr>
            </w:pPr>
            <w:r>
              <w:rPr>
                <w:rFonts w:ascii="Arial" w:cs="Arial" w:eastAsia="Arial" w:hAnsi="Arial"/>
                <w:sz w:val="18"/>
                <w:szCs w:val="18"/>
                <w:color w:val="auto"/>
              </w:rPr>
              <w:t>SL Green Realty Corp.</w:t>
            </w:r>
          </w:p>
        </w:tc>
      </w:tr>
      <w:tr>
        <w:trPr>
          <w:trHeight w:val="439"/>
        </w:trPr>
        <w:tc>
          <w:tcPr>
            <w:tcW w:w="6140" w:type="dxa"/>
            <w:vAlign w:val="bottom"/>
          </w:tcPr>
          <w:p>
            <w:pPr>
              <w:spacing w:after="0"/>
              <w:rPr>
                <w:sz w:val="24"/>
                <w:szCs w:val="24"/>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Matthew J. DiLiberto</w:t>
            </w:r>
          </w:p>
        </w:tc>
      </w:tr>
      <w:tr>
        <w:trPr>
          <w:trHeight w:val="169"/>
        </w:trPr>
        <w:tc>
          <w:tcPr>
            <w:tcW w:w="6140" w:type="dxa"/>
            <w:vAlign w:val="bottom"/>
          </w:tcPr>
          <w:p>
            <w:pPr>
              <w:ind w:left="5140"/>
              <w:spacing w:after="0" w:line="169" w:lineRule="exact"/>
              <w:rPr>
                <w:sz w:val="20"/>
                <w:szCs w:val="20"/>
                <w:color w:val="auto"/>
              </w:rPr>
            </w:pPr>
            <w:r>
              <w:rPr>
                <w:rFonts w:ascii="Arial" w:cs="Arial" w:eastAsia="Arial" w:hAnsi="Arial"/>
                <w:sz w:val="18"/>
                <w:szCs w:val="18"/>
                <w:color w:val="auto"/>
              </w:rPr>
              <w:t>By:</w:t>
            </w:r>
          </w:p>
        </w:tc>
        <w:tc>
          <w:tcPr>
            <w:tcW w:w="4520" w:type="dxa"/>
            <w:vAlign w:val="bottom"/>
          </w:tcPr>
          <w:p>
            <w:pPr>
              <w:jc w:val="center"/>
              <w:spacing w:after="0" w:line="169" w:lineRule="exact"/>
              <w:rPr>
                <w:sz w:val="20"/>
                <w:szCs w:val="20"/>
                <w:color w:val="auto"/>
              </w:rPr>
            </w:pPr>
            <w:r>
              <w:rPr>
                <w:rFonts w:ascii="Arial" w:cs="Arial" w:eastAsia="Arial" w:hAnsi="Arial"/>
                <w:sz w:val="18"/>
                <w:szCs w:val="18"/>
                <w:color w:val="auto"/>
                <w:w w:val="93"/>
              </w:rPr>
              <w:t>Matthew J. DiLiberto</w:t>
            </w: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Dated: February 16, 2023</w:t>
            </w:r>
          </w:p>
        </w:tc>
        <w:tc>
          <w:tcPr>
            <w:tcW w:w="452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65"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KNOW ALL MEN BY THESE PRESENTS, that we, the undersigned officers and directors of SL Green Realty Corp., the sole general partner of SL Green Operating Partnership, L.P., hereby severally constitute Marc Holliday and Matthew J. DiLiberto, and each of them singly, our true and lawful attorneys and with full power to them, and each of them singly, to sign for us and in our names in the capacities indicated below, the Annual Report on Form 10-K filed herewith and any and all amendments to said Annual Report on Form 10-K, and generally to do all such things in our names and in our capacities as officers and directors to enable SL Green Operating Partnership, L.P. to comply with the provisions of the Securities Exchange Act of 1934, as amended, and all requirements of the Securities and Exchange Commission, hereby ratifying and confirming our signatures as they may be signed by our said attorneys, or any of them, to said Annual Report on Form 10-K and any and all amendments thereto.</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5962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57" w:lineRule="exact"/>
        <w:rPr>
          <w:sz w:val="20"/>
          <w:szCs w:val="20"/>
          <w:color w:val="auto"/>
        </w:rPr>
      </w:pPr>
    </w:p>
    <w:p>
      <w:pPr>
        <w:ind w:left="1860"/>
        <w:spacing w:after="0"/>
        <w:tabs>
          <w:tab w:leader="none" w:pos="6140" w:val="left"/>
          <w:tab w:leader="none" w:pos="974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240"/>
          </w:cols>
          <w:pgMar w:left="320" w:top="127" w:right="339" w:bottom="1440" w:gutter="0" w:footer="0" w:header="0"/>
        </w:sectPr>
      </w:pPr>
    </w:p>
    <w:p>
      <w:pPr>
        <w:spacing w:after="0" w:line="395"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1">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146"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Marc Holliday</w:t>
      </w:r>
    </w:p>
    <w:p>
      <w:pPr>
        <w:spacing w:after="0" w:line="259" w:lineRule="exact"/>
        <w:rPr>
          <w:sz w:val="20"/>
          <w:szCs w:val="20"/>
          <w:color w:val="auto"/>
        </w:rPr>
      </w:pPr>
    </w:p>
    <w:p>
      <w:pPr>
        <w:jc w:val="center"/>
        <w:ind w:left="1120"/>
        <w:spacing w:after="0"/>
        <w:rPr>
          <w:sz w:val="20"/>
          <w:szCs w:val="20"/>
          <w:color w:val="auto"/>
        </w:rPr>
      </w:pPr>
      <w:r>
        <w:rPr>
          <w:rFonts w:ascii="Arial" w:cs="Arial" w:eastAsia="Arial" w:hAnsi="Arial"/>
          <w:sz w:val="17"/>
          <w:szCs w:val="17"/>
          <w:color w:val="auto"/>
        </w:rPr>
        <w:t>/s/ Andrew 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19050</wp:posOffset>
            </wp:positionV>
            <wp:extent cx="21977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2">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51"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Andrew W. Mathias</w:t>
      </w:r>
    </w:p>
    <w:p>
      <w:pPr>
        <w:spacing w:after="0" w:line="200" w:lineRule="exact"/>
        <w:rPr>
          <w:sz w:val="20"/>
          <w:szCs w:val="20"/>
          <w:color w:val="auto"/>
        </w:rPr>
      </w:pPr>
    </w:p>
    <w:p>
      <w:pPr>
        <w:spacing w:after="0" w:line="219" w:lineRule="exact"/>
        <w:rPr>
          <w:sz w:val="20"/>
          <w:szCs w:val="20"/>
          <w:color w:val="auto"/>
        </w:rPr>
      </w:pPr>
    </w:p>
    <w:p>
      <w:pPr>
        <w:jc w:val="center"/>
        <w:ind w:left="1120"/>
        <w:spacing w:after="0"/>
        <w:rPr>
          <w:sz w:val="20"/>
          <w:szCs w:val="20"/>
          <w:color w:val="auto"/>
        </w:rPr>
      </w:pPr>
      <w:r>
        <w:rPr>
          <w:rFonts w:ascii="Arial" w:cs="Arial" w:eastAsia="Arial" w:hAnsi="Arial"/>
          <w:sz w:val="16"/>
          <w:szCs w:val="16"/>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26035</wp:posOffset>
            </wp:positionV>
            <wp:extent cx="21977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3">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22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Matthew J. DiLiberto</w:t>
      </w:r>
    </w:p>
    <w:p>
      <w:pPr>
        <w:spacing w:after="0" w:line="270"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 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4">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Stephen L. Green</w:t>
      </w:r>
    </w:p>
    <w:p>
      <w:pPr>
        <w:spacing w:after="0" w:line="325" w:lineRule="exact"/>
        <w:rPr>
          <w:sz w:val="20"/>
          <w:szCs w:val="20"/>
          <w:color w:val="auto"/>
        </w:rPr>
      </w:pPr>
    </w:p>
    <w:p>
      <w:pPr>
        <w:jc w:val="center"/>
        <w:ind w:left="1120"/>
        <w:spacing w:after="0"/>
        <w:rPr>
          <w:sz w:val="20"/>
          <w:szCs w:val="20"/>
          <w:color w:val="auto"/>
        </w:rPr>
      </w:pPr>
      <w:r>
        <w:rPr>
          <w:rFonts w:ascii="Arial" w:cs="Arial" w:eastAsia="Arial" w:hAnsi="Arial"/>
          <w:sz w:val="16"/>
          <w:szCs w:val="16"/>
          <w:color w:val="auto"/>
        </w:rPr>
        <w:t>/s/ John H. Alschuler,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26035</wp:posOffset>
            </wp:positionV>
            <wp:extent cx="21977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5">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62"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John H. Alschuler, Jr.</w:t>
      </w:r>
    </w:p>
    <w:p>
      <w:pPr>
        <w:spacing w:after="0" w:line="259" w:lineRule="exact"/>
        <w:rPr>
          <w:sz w:val="20"/>
          <w:szCs w:val="20"/>
          <w:color w:val="auto"/>
        </w:rPr>
      </w:pPr>
    </w:p>
    <w:p>
      <w:pPr>
        <w:jc w:val="center"/>
        <w:ind w:left="1120"/>
        <w:spacing w:after="0"/>
        <w:rPr>
          <w:sz w:val="20"/>
          <w:szCs w:val="20"/>
          <w:color w:val="auto"/>
        </w:rPr>
      </w:pPr>
      <w:r>
        <w:rPr>
          <w:rFonts w:ascii="Arial" w:cs="Arial" w:eastAsia="Arial" w:hAnsi="Arial"/>
          <w:sz w:val="17"/>
          <w:szCs w:val="17"/>
          <w:color w:val="auto"/>
        </w:rPr>
        <w:t>/s/ Edwin T. 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19050</wp:posOffset>
            </wp:positionV>
            <wp:extent cx="21977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6">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51"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Edwin T. Burton, III</w:t>
      </w:r>
    </w:p>
    <w:p>
      <w:pPr>
        <w:spacing w:after="0" w:line="259"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 John S.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7">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John S. Levy</w:t>
      </w:r>
    </w:p>
    <w:p>
      <w:pPr>
        <w:spacing w:after="0" w:line="259"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 Craig M. 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8">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Craig M. Hatkoff</w:t>
      </w:r>
    </w:p>
    <w:p>
      <w:pPr>
        <w:spacing w:after="0" w:line="259"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 Betsy S.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9">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Betsy S. Atkins</w:t>
      </w:r>
    </w:p>
    <w:p>
      <w:pPr>
        <w:spacing w:after="0" w:line="325"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 Lauren B.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0">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Lauren B. Dillard</w:t>
      </w:r>
    </w:p>
    <w:p>
      <w:pPr>
        <w:spacing w:after="0" w:line="325"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 Carol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11430</wp:posOffset>
            </wp:positionV>
            <wp:extent cx="21977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1">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39"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Carol Brown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20" w:right="20" w:firstLine="56"/>
        <w:spacing w:after="0" w:line="278" w:lineRule="auto"/>
        <w:rPr>
          <w:sz w:val="20"/>
          <w:szCs w:val="20"/>
          <w:color w:val="auto"/>
        </w:rPr>
      </w:pPr>
      <w:r>
        <w:rPr>
          <w:rFonts w:ascii="Arial" w:cs="Arial" w:eastAsia="Arial" w:hAnsi="Arial"/>
          <w:sz w:val="14"/>
          <w:szCs w:val="14"/>
          <w:color w:val="auto"/>
        </w:rPr>
        <w:t>Chairman of the Board of Directors and Chief Executive Officer of SL Green, the sole general partner of the Operating Partnership</w:t>
      </w:r>
    </w:p>
    <w:p>
      <w:pPr>
        <w:ind w:left="1320"/>
        <w:spacing w:after="0"/>
        <w:rPr>
          <w:sz w:val="20"/>
          <w:szCs w:val="20"/>
          <w:color w:val="auto"/>
        </w:rPr>
      </w:pPr>
      <w:r>
        <w:rPr>
          <w:rFonts w:ascii="Arial" w:cs="Arial" w:eastAsia="Arial" w:hAnsi="Arial"/>
          <w:sz w:val="18"/>
          <w:szCs w:val="18"/>
          <w:color w:val="auto"/>
        </w:rPr>
        <w:t>(Principal Executive Officer)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President and Director of SL Green, the sole general partner of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Partnership</w:t>
      </w: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Chief Financial Officer of</w:t>
      </w:r>
    </w:p>
    <w:p>
      <w:pPr>
        <w:jc w:val="center"/>
        <w:ind w:right="40"/>
        <w:spacing w:after="0" w:line="216" w:lineRule="auto"/>
        <w:rPr>
          <w:sz w:val="20"/>
          <w:szCs w:val="20"/>
          <w:color w:val="auto"/>
        </w:rPr>
      </w:pPr>
      <w:r>
        <w:rPr>
          <w:rFonts w:ascii="Arial" w:cs="Arial" w:eastAsia="Arial" w:hAnsi="Arial"/>
          <w:sz w:val="18"/>
          <w:szCs w:val="18"/>
          <w:color w:val="auto"/>
        </w:rPr>
        <w:t>SL Green, the sole general partner of</w:t>
      </w:r>
    </w:p>
    <w:p>
      <w:pPr>
        <w:jc w:val="center"/>
        <w:spacing w:after="0" w:line="212" w:lineRule="auto"/>
        <w:rPr>
          <w:sz w:val="20"/>
          <w:szCs w:val="20"/>
          <w:color w:val="auto"/>
        </w:rPr>
      </w:pPr>
      <w:r>
        <w:rPr>
          <w:rFonts w:ascii="Arial" w:cs="Arial" w:eastAsia="Arial" w:hAnsi="Arial"/>
          <w:sz w:val="17"/>
          <w:szCs w:val="17"/>
          <w:color w:val="auto"/>
        </w:rPr>
        <w:t>the Operating Partnership (Principal Financial and Accounting</w:t>
      </w:r>
    </w:p>
    <w:p>
      <w:pPr>
        <w:jc w:val="center"/>
        <w:spacing w:after="0"/>
        <w:rPr>
          <w:sz w:val="20"/>
          <w:szCs w:val="20"/>
          <w:color w:val="auto"/>
        </w:rPr>
      </w:pPr>
      <w:r>
        <w:rPr>
          <w:rFonts w:ascii="Arial" w:cs="Arial" w:eastAsia="Arial" w:hAnsi="Arial"/>
          <w:sz w:val="18"/>
          <w:szCs w:val="18"/>
          <w:color w:val="auto"/>
        </w:rPr>
        <w:t>Officer)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of SL Green, the sole general</w:t>
      </w:r>
    </w:p>
    <w:p>
      <w:pPr>
        <w:jc w:val="center"/>
        <w:spacing w:after="0"/>
        <w:rPr>
          <w:sz w:val="20"/>
          <w:szCs w:val="20"/>
          <w:color w:val="auto"/>
        </w:rPr>
      </w:pPr>
      <w:r>
        <w:rPr>
          <w:rFonts w:ascii="Arial" w:cs="Arial" w:eastAsia="Arial" w:hAnsi="Arial"/>
          <w:sz w:val="18"/>
          <w:szCs w:val="18"/>
          <w:color w:val="auto"/>
        </w:rPr>
        <w:t>partner of the Operating Partnership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of SL Green, the sole general</w:t>
      </w:r>
    </w:p>
    <w:p>
      <w:pPr>
        <w:jc w:val="center"/>
        <w:spacing w:after="0"/>
        <w:rPr>
          <w:sz w:val="20"/>
          <w:szCs w:val="20"/>
          <w:color w:val="auto"/>
        </w:rPr>
      </w:pPr>
      <w:r>
        <w:rPr>
          <w:rFonts w:ascii="Arial" w:cs="Arial" w:eastAsia="Arial" w:hAnsi="Arial"/>
          <w:sz w:val="18"/>
          <w:szCs w:val="18"/>
          <w:color w:val="auto"/>
        </w:rPr>
        <w:t>partner of the Operating Partnership</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of SL Green, the sole general</w:t>
      </w:r>
    </w:p>
    <w:p>
      <w:pPr>
        <w:jc w:val="center"/>
        <w:spacing w:after="0"/>
        <w:rPr>
          <w:sz w:val="20"/>
          <w:szCs w:val="20"/>
          <w:color w:val="auto"/>
        </w:rPr>
      </w:pPr>
      <w:r>
        <w:rPr>
          <w:rFonts w:ascii="Arial" w:cs="Arial" w:eastAsia="Arial" w:hAnsi="Arial"/>
          <w:sz w:val="18"/>
          <w:szCs w:val="18"/>
          <w:color w:val="auto"/>
        </w:rPr>
        <w:t>partner of the Operating Partnership</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of SL Green, the sole general</w:t>
      </w:r>
    </w:p>
    <w:p>
      <w:pPr>
        <w:jc w:val="center"/>
        <w:spacing w:after="0"/>
        <w:rPr>
          <w:sz w:val="20"/>
          <w:szCs w:val="20"/>
          <w:color w:val="auto"/>
        </w:rPr>
      </w:pPr>
      <w:r>
        <w:rPr>
          <w:rFonts w:ascii="Arial" w:cs="Arial" w:eastAsia="Arial" w:hAnsi="Arial"/>
          <w:sz w:val="18"/>
          <w:szCs w:val="18"/>
          <w:color w:val="auto"/>
        </w:rPr>
        <w:t>partner of the Operating Partnership</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of SL Green, the sole general</w:t>
      </w:r>
    </w:p>
    <w:p>
      <w:pPr>
        <w:jc w:val="center"/>
        <w:spacing w:after="0"/>
        <w:rPr>
          <w:sz w:val="20"/>
          <w:szCs w:val="20"/>
          <w:color w:val="auto"/>
        </w:rPr>
      </w:pPr>
      <w:r>
        <w:rPr>
          <w:rFonts w:ascii="Arial" w:cs="Arial" w:eastAsia="Arial" w:hAnsi="Arial"/>
          <w:sz w:val="18"/>
          <w:szCs w:val="18"/>
          <w:color w:val="auto"/>
        </w:rPr>
        <w:t>partner of the Operating Partnership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of SL Green, the sole general</w:t>
      </w:r>
    </w:p>
    <w:p>
      <w:pPr>
        <w:jc w:val="center"/>
        <w:spacing w:after="0"/>
        <w:rPr>
          <w:sz w:val="20"/>
          <w:szCs w:val="20"/>
          <w:color w:val="auto"/>
        </w:rPr>
      </w:pPr>
      <w:r>
        <w:rPr>
          <w:rFonts w:ascii="Arial" w:cs="Arial" w:eastAsia="Arial" w:hAnsi="Arial"/>
          <w:sz w:val="18"/>
          <w:szCs w:val="18"/>
          <w:color w:val="auto"/>
        </w:rPr>
        <w:t>partner of the Operating Partnership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of SL Green, the sole general</w:t>
      </w:r>
    </w:p>
    <w:p>
      <w:pPr>
        <w:jc w:val="center"/>
        <w:spacing w:after="0"/>
        <w:rPr>
          <w:sz w:val="20"/>
          <w:szCs w:val="20"/>
          <w:color w:val="auto"/>
        </w:rPr>
      </w:pPr>
      <w:r>
        <w:rPr>
          <w:rFonts w:ascii="Arial" w:cs="Arial" w:eastAsia="Arial" w:hAnsi="Arial"/>
          <w:sz w:val="18"/>
          <w:szCs w:val="18"/>
          <w:color w:val="auto"/>
        </w:rPr>
        <w:t>partner of the Operating Partnership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of SL Green, the sole general</w:t>
      </w:r>
    </w:p>
    <w:p>
      <w:pPr>
        <w:jc w:val="center"/>
        <w:spacing w:after="0"/>
        <w:rPr>
          <w:sz w:val="20"/>
          <w:szCs w:val="20"/>
          <w:color w:val="auto"/>
        </w:rPr>
      </w:pPr>
      <w:r>
        <w:rPr>
          <w:rFonts w:ascii="Arial" w:cs="Arial" w:eastAsia="Arial" w:hAnsi="Arial"/>
          <w:sz w:val="18"/>
          <w:szCs w:val="18"/>
          <w:color w:val="auto"/>
        </w:rPr>
        <w:t>partner of the Operating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406" w:lineRule="exact"/>
        <w:rPr>
          <w:sz w:val="20"/>
          <w:szCs w:val="20"/>
          <w:color w:val="auto"/>
        </w:rPr>
      </w:pPr>
    </w:p>
    <w:p>
      <w:pPr>
        <w:sectPr>
          <w:pgSz w:w="11900" w:h="16838" w:orient="portrait"/>
          <w:cols w:equalWidth="0" w:num="3">
            <w:col w:w="3220" w:space="720"/>
            <w:col w:w="4720" w:space="600"/>
            <w:col w:w="198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40"/>
          </w:cols>
          <w:pgMar w:left="320" w:top="127" w:right="3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4.11</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55" w:lineRule="exact"/>
        <w:rPr>
          <w:sz w:val="20"/>
          <w:szCs w:val="20"/>
          <w:color w:val="auto"/>
        </w:rPr>
      </w:pPr>
    </w:p>
    <w:p>
      <w:pPr>
        <w:ind w:right="60" w:firstLine="639"/>
        <w:spacing w:after="0" w:line="256" w:lineRule="auto"/>
        <w:rPr>
          <w:sz w:val="20"/>
          <w:szCs w:val="20"/>
          <w:color w:val="auto"/>
        </w:rPr>
      </w:pPr>
      <w:r>
        <w:rPr>
          <w:rFonts w:ascii="Arial" w:cs="Arial" w:eastAsia="Arial" w:hAnsi="Arial"/>
          <w:sz w:val="18"/>
          <w:szCs w:val="18"/>
          <w:color w:val="auto"/>
        </w:rPr>
        <w:t>As of the date of our annual report on Form 10-K of which this Exhibit is a part, we have the following classes of securities registered under Section 12 of the Securities Exchange Act of 1934, as amended (the "Exchange Act"): (1) our common stock, par value $0.01 per share and (2) our 6.500% Series I Redeemable Cumulative Preferred Stock, par value $0.01 per share.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72" w:lineRule="exact"/>
        <w:rPr>
          <w:sz w:val="20"/>
          <w:szCs w:val="20"/>
          <w:color w:val="auto"/>
        </w:rPr>
      </w:pPr>
    </w:p>
    <w:p>
      <w:pPr>
        <w:ind w:right="160" w:firstLine="639"/>
        <w:spacing w:after="0" w:line="273" w:lineRule="auto"/>
        <w:rPr>
          <w:sz w:val="20"/>
          <w:szCs w:val="20"/>
          <w:color w:val="auto"/>
        </w:rPr>
      </w:pPr>
      <w:r>
        <w:rPr>
          <w:rFonts w:ascii="Arial" w:cs="Arial" w:eastAsia="Arial" w:hAnsi="Arial"/>
          <w:sz w:val="17"/>
          <w:szCs w:val="17"/>
          <w:i w:val="1"/>
          <w:iCs w:val="1"/>
          <w:color w:val="auto"/>
        </w:rPr>
        <w:t>The following description of the terms of SL Green's common stock is only a summary. This description is subject to, and qualified in its entirety by reference to, SL Green's charter and bylaws, each as amended, each of which has previously been filed with the Securities and Exchange Commission (the "SEC"), and the Maryland General Corporation Law (the "MGCL"). The terms "we," "us" and "our" as such terms are used in the following description of common stock refer to SL Green Realty Corp. unless the context requires otherwise.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2" w:lineRule="exact"/>
        <w:rPr>
          <w:sz w:val="20"/>
          <w:szCs w:val="20"/>
          <w:color w:val="auto"/>
        </w:rPr>
      </w:pPr>
    </w:p>
    <w:p>
      <w:pPr>
        <w:ind w:firstLine="639"/>
        <w:spacing w:after="0" w:line="288" w:lineRule="auto"/>
        <w:rPr>
          <w:sz w:val="20"/>
          <w:szCs w:val="20"/>
          <w:color w:val="auto"/>
        </w:rPr>
      </w:pPr>
      <w:r>
        <w:rPr>
          <w:rFonts w:ascii="Arial" w:cs="Arial" w:eastAsia="Arial" w:hAnsi="Arial"/>
          <w:sz w:val="16"/>
          <w:szCs w:val="16"/>
          <w:color w:val="auto"/>
        </w:rPr>
        <w:t>Our charter provides that we may issue up to 160,000,000 shares of common stock, $0.01 par value per share. Subject to the provisions of the charter regarding excess stock, each outstanding share of common stock entitles the holder to one vote on all matters submitted to a vote of stockholders, including the election of directors, and, except as provided with respect to any other class or series of stock, the holders of this stock will possess the exclusive voting power. There is no cumulative voting in the election of directors, which means that the holders of a majority of the outstanding shares of common stock can elect all of the directors then standing for election and the holders of the remaining shares will not be able to elect any directors. As of February 15, 2023, 64,365,509 shares of SL Green Realty Corp.'s common stock, par value $0.01 per share, were outstanding. Company to provide updated share info.</w:t>
      </w:r>
    </w:p>
    <w:p>
      <w:pPr>
        <w:spacing w:after="0" w:line="113" w:lineRule="exact"/>
        <w:rPr>
          <w:sz w:val="20"/>
          <w:szCs w:val="20"/>
          <w:color w:val="auto"/>
        </w:rPr>
      </w:pPr>
    </w:p>
    <w:p>
      <w:pPr>
        <w:jc w:val="both"/>
        <w:ind w:right="200" w:firstLine="639"/>
        <w:spacing w:after="0" w:line="251" w:lineRule="auto"/>
        <w:rPr>
          <w:sz w:val="20"/>
          <w:szCs w:val="20"/>
          <w:color w:val="auto"/>
        </w:rPr>
      </w:pPr>
      <w:r>
        <w:rPr>
          <w:rFonts w:ascii="Arial" w:cs="Arial" w:eastAsia="Arial" w:hAnsi="Arial"/>
          <w:sz w:val="18"/>
          <w:szCs w:val="18"/>
          <w:color w:val="auto"/>
        </w:rPr>
        <w:t>All issued and outstanding shares of common stock are validly issued, fully paid and non-assessable. Subject to the preferential rights of any other shares or series of stock and to the provisions of the charter regarding excess stock, holders of shares of common stock are entitled to receive dividends on this stock if, as and when authorized by our board of directors out of assets legally available therefor and to share ratably in our assets legally available for distribution to our stockholders in the event of our liquidation, dissolution or winding up after payment of or adequate provision for all of our known debts and liabilities.</w:t>
      </w:r>
    </w:p>
    <w:p>
      <w:pPr>
        <w:spacing w:after="0" w:line="142" w:lineRule="exact"/>
        <w:rPr>
          <w:sz w:val="20"/>
          <w:szCs w:val="20"/>
          <w:color w:val="auto"/>
        </w:rPr>
      </w:pPr>
    </w:p>
    <w:p>
      <w:pPr>
        <w:jc w:val="both"/>
        <w:ind w:right="60" w:firstLine="639"/>
        <w:spacing w:after="0" w:line="256" w:lineRule="auto"/>
        <w:rPr>
          <w:sz w:val="20"/>
          <w:szCs w:val="20"/>
          <w:color w:val="auto"/>
        </w:rPr>
      </w:pPr>
      <w:r>
        <w:rPr>
          <w:rFonts w:ascii="Arial" w:cs="Arial" w:eastAsia="Arial" w:hAnsi="Arial"/>
          <w:sz w:val="18"/>
          <w:szCs w:val="18"/>
          <w:color w:val="auto"/>
        </w:rPr>
        <w:t>Holders of shares of common stock have no preference, conversion, exchange, sinking fund, redemption or appraisal rights and have no preemptive rights to subscribe for any of our securities. Subject to the provisions of the charter regarding excess stock, shares of common stock will have equal dividend, liquidation and other rights.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New York Stock Exchange ("NYSE") under the symbol "SLG."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Charter and Bylaws</w:t>
      </w:r>
    </w:p>
    <w:p>
      <w:pPr>
        <w:spacing w:after="0" w:line="172" w:lineRule="exact"/>
        <w:rPr>
          <w:sz w:val="20"/>
          <w:szCs w:val="20"/>
          <w:color w:val="auto"/>
        </w:rPr>
      </w:pPr>
    </w:p>
    <w:p>
      <w:pPr>
        <w:jc w:val="both"/>
        <w:ind w:right="120" w:firstLine="639"/>
        <w:spacing w:after="0" w:line="303" w:lineRule="auto"/>
        <w:rPr>
          <w:sz w:val="20"/>
          <w:szCs w:val="20"/>
          <w:color w:val="auto"/>
        </w:rPr>
      </w:pPr>
      <w:r>
        <w:rPr>
          <w:rFonts w:ascii="Arial" w:cs="Arial" w:eastAsia="Arial" w:hAnsi="Arial"/>
          <w:sz w:val="16"/>
          <w:szCs w:val="16"/>
          <w:color w:val="auto"/>
        </w:rPr>
        <w:t>Our charter authorizes our board of directors to reclassify any unissued shares of common stock into other classes or series of stock and to establish the number of shares in each class or series and to set the preferences, conversion and other rights, voting powers, restrictions, limitations and restrictions on ownership, limitations as to dividends or other distributions, qualifications and terms or conditions of redemption for each class or series.</w:t>
      </w:r>
    </w:p>
    <w:p>
      <w:pPr>
        <w:spacing w:after="0" w:line="102" w:lineRule="exact"/>
        <w:rPr>
          <w:sz w:val="20"/>
          <w:szCs w:val="20"/>
          <w:color w:val="auto"/>
        </w:rPr>
      </w:pPr>
    </w:p>
    <w:p>
      <w:pPr>
        <w:ind w:firstLine="639"/>
        <w:spacing w:after="0" w:line="279" w:lineRule="auto"/>
        <w:rPr>
          <w:sz w:val="20"/>
          <w:szCs w:val="20"/>
          <w:color w:val="auto"/>
        </w:rPr>
      </w:pPr>
      <w:r>
        <w:rPr>
          <w:rFonts w:ascii="Arial" w:cs="Arial" w:eastAsia="Arial" w:hAnsi="Arial"/>
          <w:sz w:val="17"/>
          <w:szCs w:val="17"/>
          <w:color w:val="auto"/>
        </w:rPr>
        <w:t>Our board of directors currently consists of ten directors, which number may be increased or decreased pursuant to our bylaws but shall never be less than the minimum number required by the Maryland General Corporation Law (which is one). Our directors are elected at each annual meeting of stockholders to serve until the next annual meeting of stockholders and until their successors are duly elected and qualified.</w:t>
      </w:r>
    </w:p>
    <w:p>
      <w:pPr>
        <w:spacing w:after="0" w:line="117"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Our charter also provides that, except for any directors who may be elected by holders of a class or series of capital stock other than our common stock, directors may be removed only for cause, as defined in our charter, and only by the affirmative vote of stockholders holding at least a majority of all the votes entitled to be cast generally for the election of directors. Vacancies on the board of directors may be filled only by the affirmative vote of a majority of the remaining directors.</w:t>
      </w:r>
    </w:p>
    <w:p>
      <w:pPr>
        <w:sectPr>
          <w:pgSz w:w="11900" w:h="16838" w:orient="portrait"/>
          <w:cols w:equalWidth="0" w:num="1">
            <w:col w:w="11240"/>
          </w:cols>
          <w:pgMar w:left="320" w:top="880" w:right="339" w:bottom="1440" w:gutter="0" w:footer="0" w:header="0"/>
        </w:sectPr>
      </w:pPr>
    </w:p>
    <w:bookmarkStart w:id="145" w:name="page146"/>
    <w:bookmarkEnd w:id="145"/>
    <w:p>
      <w:pPr>
        <w:ind w:right="80" w:firstLine="639"/>
        <w:spacing w:after="0" w:line="266" w:lineRule="auto"/>
        <w:rPr>
          <w:sz w:val="20"/>
          <w:szCs w:val="20"/>
          <w:color w:val="auto"/>
        </w:rPr>
      </w:pPr>
      <w:r>
        <w:rPr>
          <w:rFonts w:ascii="Arial" w:cs="Arial" w:eastAsia="Arial" w:hAnsi="Arial"/>
          <w:sz w:val="18"/>
          <w:szCs w:val="18"/>
          <w:color w:val="auto"/>
        </w:rPr>
        <w:t>Our bylaws provide for the election of directors, in uncontested elections, by a majority of the votes cast. In contested elections, our bylaws provide for the election of directors by a plurality of the votes cast.</w:t>
      </w:r>
    </w:p>
    <w:p>
      <w:pPr>
        <w:spacing w:after="0" w:line="127" w:lineRule="exact"/>
        <w:rPr>
          <w:sz w:val="20"/>
          <w:szCs w:val="20"/>
          <w:color w:val="auto"/>
        </w:rPr>
      </w:pPr>
    </w:p>
    <w:p>
      <w:pPr>
        <w:ind w:firstLine="639"/>
        <w:spacing w:after="0" w:line="250" w:lineRule="auto"/>
        <w:rPr>
          <w:sz w:val="20"/>
          <w:szCs w:val="20"/>
          <w:color w:val="auto"/>
        </w:rPr>
      </w:pPr>
      <w:r>
        <w:rPr>
          <w:rFonts w:ascii="Arial" w:cs="Arial" w:eastAsia="Arial" w:hAnsi="Arial"/>
          <w:sz w:val="18"/>
          <w:szCs w:val="18"/>
          <w:color w:val="auto"/>
        </w:rPr>
        <w:t>We have adopted a policy on majority voting in the election of directors in an uncontested election at a duly called meeting of stockholders. Pursuant to this policy, when a quorum is present, any nominee who fails to receive a majority of the votes cast for his or her election will, within ten business days following the certification of the stockholder vote, tender his or her written resignation to the Chairman of the Board for consideration by our Nominating and Corporate Governance Committee. Our Nominating and Corporate Governance Committee will consider the resignation and, within 60 days following the date of the stockholders' meeting at which the election occurred, will make a recommendation to our board of directors concerning the acceptance or rejection of the resignation.</w:t>
      </w:r>
    </w:p>
    <w:p>
      <w:pPr>
        <w:spacing w:after="0" w:line="144" w:lineRule="exact"/>
        <w:rPr>
          <w:sz w:val="20"/>
          <w:szCs w:val="20"/>
          <w:color w:val="auto"/>
        </w:rPr>
      </w:pPr>
    </w:p>
    <w:p>
      <w:pPr>
        <w:ind w:right="80" w:firstLine="639"/>
        <w:spacing w:after="0" w:line="270" w:lineRule="auto"/>
        <w:rPr>
          <w:sz w:val="20"/>
          <w:szCs w:val="20"/>
          <w:color w:val="auto"/>
        </w:rPr>
      </w:pPr>
      <w:r>
        <w:rPr>
          <w:rFonts w:ascii="Arial" w:cs="Arial" w:eastAsia="Arial" w:hAnsi="Arial"/>
          <w:sz w:val="17"/>
          <w:szCs w:val="17"/>
          <w:color w:val="auto"/>
        </w:rPr>
        <w:t>Under the policy, our board of directors will take formal action on the recommendation no later than 90 days following the date of the stockholders' meeting. In considering the recommendation, our board of directors will consider the information, factors and alternatives considered by the Nominating and Corporate Governance Committee and such additional factors, information and alternatives as the board of directors deems relevant. We will publicly disclose, in a Form 8-K filed with the SEC, the board of directors' decision within four business days after the decision is made. Our board of directors also will provide, if applicable, its reason or reasons for rejecting the tendered resignation.</w:t>
      </w:r>
    </w:p>
    <w:p>
      <w:pPr>
        <w:spacing w:after="0" w:line="125" w:lineRule="exact"/>
        <w:rPr>
          <w:sz w:val="20"/>
          <w:szCs w:val="20"/>
          <w:color w:val="auto"/>
        </w:rPr>
      </w:pPr>
    </w:p>
    <w:p>
      <w:pPr>
        <w:ind w:firstLine="639"/>
        <w:spacing w:after="0" w:line="265" w:lineRule="auto"/>
        <w:rPr>
          <w:sz w:val="20"/>
          <w:szCs w:val="20"/>
          <w:color w:val="auto"/>
        </w:rPr>
      </w:pPr>
      <w:r>
        <w:rPr>
          <w:rFonts w:ascii="Arial" w:cs="Arial" w:eastAsia="Arial" w:hAnsi="Arial"/>
          <w:sz w:val="17"/>
          <w:szCs w:val="17"/>
          <w:color w:val="auto"/>
        </w:rPr>
        <w:t>Our bylaws permit any eligible stockholder or group of up to 20 stockholders who has owned continuously for at least three years (as determined in accordance with our bylaws) 3% or more of our outstanding common stock to include up to a specified number of director nominees in our proxy materials for an annual meeting of stockholders, provided that the stockholders and the nominees satisfy the requirements specified in our bylaws. The maximum number of stockholder nominees permitted under the proxy access provisions of our bylaws will not exceed the greater of (i) two or (ii) 20% of the number of directors in office as of the last day on which a notice of proxy access nomination may be timely received by us. If the 20% calculation does not result in a whole number, the maximum number of stockholder nominees is the closest whole number below 20%. The proxy access provisions of our bylaws require certain information and representations to be provided or made by nominating stockholders and contain certain other procedural provisions. In addition, our bylaws provide that all nominees for director must provide certain information, representations and agreements to us in order to be eligible for election or re-election as a director.</w:t>
      </w:r>
    </w:p>
    <w:p>
      <w:pPr>
        <w:spacing w:after="0" w:line="134" w:lineRule="exact"/>
        <w:rPr>
          <w:sz w:val="20"/>
          <w:szCs w:val="20"/>
          <w:color w:val="auto"/>
        </w:rPr>
      </w:pPr>
    </w:p>
    <w:p>
      <w:pPr>
        <w:jc w:val="both"/>
        <w:ind w:right="200" w:firstLine="639"/>
        <w:spacing w:after="0" w:line="256" w:lineRule="auto"/>
        <w:rPr>
          <w:sz w:val="20"/>
          <w:szCs w:val="20"/>
          <w:color w:val="auto"/>
        </w:rPr>
      </w:pPr>
      <w:r>
        <w:rPr>
          <w:rFonts w:ascii="Arial" w:cs="Arial" w:eastAsia="Arial" w:hAnsi="Arial"/>
          <w:sz w:val="18"/>
          <w:szCs w:val="18"/>
          <w:color w:val="auto"/>
        </w:rPr>
        <w:t>Our bylaws also permit our stockholders to alter or amend the bylaws or to adopt new bylaws. Specifically, Article XIV of the bylaws permits our stockholders to alter or amend the bylaws or to adopt new bylaws by the affirmative vote of a majority of all the votes entitled to be cast on the matter. Our board of directors also has the ability to alter or amend the bylaws or to adopt new bylaws.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172" w:lineRule="exact"/>
        <w:rPr>
          <w:sz w:val="20"/>
          <w:szCs w:val="20"/>
          <w:color w:val="auto"/>
        </w:rPr>
      </w:pPr>
    </w:p>
    <w:p>
      <w:pPr>
        <w:ind w:right="60" w:firstLine="639"/>
        <w:spacing w:after="0" w:line="286" w:lineRule="auto"/>
        <w:rPr>
          <w:sz w:val="20"/>
          <w:szCs w:val="20"/>
          <w:color w:val="auto"/>
        </w:rPr>
      </w:pPr>
      <w:r>
        <w:rPr>
          <w:rFonts w:ascii="Arial" w:cs="Arial" w:eastAsia="Arial" w:hAnsi="Arial"/>
          <w:sz w:val="16"/>
          <w:szCs w:val="16"/>
          <w:color w:val="auto"/>
        </w:rPr>
        <w:t>For us to qualify as a real estate investment trust ("REIT") under the Internal Revenue Code of 1986, as amended (the "Code"), not more than 50% in value of our outstanding capital stock may be owned, directly or indirectly, by five or fewer individuals, according to the definition in the Code, during the last half of a taxable year and our capital stock must be beneficially owned by 100 or more persons during at least 335 days of a taxable year of 12 months or during a proportionate part of a shorter taxable year. To satisfy the above ownership requirements and other requirements for qualification as a REIT, our charter contains certain provisions restricting the ownership or acquisition of shares of our capital stock. These restrictions on ownership and acquisition of shares of our capital stock provide, among other things, that subject to certain exceptions, no stockholder may own, or be deemed to own by virtue of certain attribution provisions of the Code, more than 9.0% of the lesser of the aggregate number or value of our outstanding shares of common stock.</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restrictions will not preclude settlement of transactions through the NYSE.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5" w:lineRule="exact"/>
        <w:rPr>
          <w:sz w:val="20"/>
          <w:szCs w:val="20"/>
          <w:color w:val="auto"/>
        </w:rPr>
      </w:pPr>
    </w:p>
    <w:p>
      <w:pPr>
        <w:ind w:right="3500" w:firstLine="639"/>
        <w:spacing w:after="0" w:line="509" w:lineRule="auto"/>
        <w:rPr>
          <w:sz w:val="20"/>
          <w:szCs w:val="20"/>
          <w:color w:val="auto"/>
        </w:rPr>
      </w:pPr>
      <w:r>
        <w:rPr>
          <w:rFonts w:ascii="Arial" w:cs="Arial" w:eastAsia="Arial" w:hAnsi="Arial"/>
          <w:sz w:val="18"/>
          <w:szCs w:val="18"/>
          <w:color w:val="auto"/>
        </w:rPr>
        <w:t xml:space="preserve">The transfer agent and registrar for the common stock is Computershare Shareowner Services LLC. </w:t>
      </w:r>
      <w:r>
        <w:rPr>
          <w:rFonts w:ascii="Arial" w:cs="Arial" w:eastAsia="Arial" w:hAnsi="Arial"/>
          <w:sz w:val="18"/>
          <w:szCs w:val="18"/>
          <w:b w:val="1"/>
          <w:bCs w:val="1"/>
          <w:color w:val="auto"/>
        </w:rPr>
        <w:t xml:space="preserve">Certain Anti-Takeover Provisions of Maryland Law </w:t>
      </w:r>
      <w:r>
        <w:rPr>
          <w:rFonts w:ascii="Arial" w:cs="Arial" w:eastAsia="Arial" w:hAnsi="Arial"/>
          <w:sz w:val="18"/>
          <w:szCs w:val="18"/>
          <w:b w:val="1"/>
          <w:bCs w:val="1"/>
          <w:i w:val="1"/>
          <w:iCs w:val="1"/>
          <w:color w:val="auto"/>
        </w:rPr>
        <w:t>Business Combinations</w:t>
      </w:r>
    </w:p>
    <w:p>
      <w:pPr>
        <w:spacing w:after="0" w:line="240"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Under the MGCL, certain "business combinations" (including a merger, consolidation, share exchange or, in certain circumstances, an asset transfer or issuance or transfer of equity securities or reclassification of equity securities) between a Maryland corporation and any person who beneficially owns, directly or indirectly, 10% or more of the voting power of the corporation or an affiliate of the corporation who, at any time within the two-year period immediately prior to the date in</w:t>
      </w:r>
    </w:p>
    <w:p>
      <w:pPr>
        <w:sectPr>
          <w:pgSz w:w="11900" w:h="16838" w:orient="portrait"/>
          <w:cols w:equalWidth="0" w:num="1">
            <w:col w:w="11220"/>
          </w:cols>
          <w:pgMar w:left="320" w:top="886" w:right="359" w:bottom="1440" w:gutter="0" w:footer="0" w:header="0"/>
        </w:sectPr>
      </w:pPr>
    </w:p>
    <w:bookmarkStart w:id="146" w:name="page147"/>
    <w:bookmarkEnd w:id="146"/>
    <w:p>
      <w:pPr>
        <w:ind w:right="40"/>
        <w:spacing w:after="0" w:line="283" w:lineRule="auto"/>
        <w:rPr>
          <w:sz w:val="20"/>
          <w:szCs w:val="20"/>
          <w:color w:val="auto"/>
        </w:rPr>
      </w:pPr>
      <w:r>
        <w:rPr>
          <w:rFonts w:ascii="Arial" w:cs="Arial" w:eastAsia="Arial" w:hAnsi="Arial"/>
          <w:sz w:val="16"/>
          <w:szCs w:val="16"/>
          <w:color w:val="auto"/>
        </w:rPr>
        <w:t>question, was the beneficial owner, directly or indirectly, of 10% or more of the voting power of the then-outstanding voting stock of the corporation, in each case referred to as an interested stockholder,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(a) 80% of the votes entitled to be cast by holders of outstanding shares of voting stock of the corporation and (b) two-thirds of the votes entitled to be cast by holders of voting stock of the corporation other than shares of voting stock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These provisions of the MGCL do not apply, however, to business combinations that are approved or exempted by a board of directors prior to the time that the interested stockholder becomes an interested stockholder. A person is not an interested stockholder under the statute if the board of directors approved in advance the transaction by which the person otherwise would have become an interested stockholder.</w:t>
      </w:r>
    </w:p>
    <w:p>
      <w:pPr>
        <w:spacing w:after="0" w:line="116" w:lineRule="exact"/>
        <w:rPr>
          <w:sz w:val="20"/>
          <w:szCs w:val="20"/>
          <w:color w:val="auto"/>
        </w:rPr>
      </w:pPr>
    </w:p>
    <w:p>
      <w:pPr>
        <w:ind w:right="40" w:firstLine="639"/>
        <w:spacing w:after="0" w:line="267" w:lineRule="auto"/>
        <w:rPr>
          <w:sz w:val="20"/>
          <w:szCs w:val="20"/>
          <w:color w:val="auto"/>
        </w:rPr>
      </w:pPr>
      <w:r>
        <w:rPr>
          <w:rFonts w:ascii="Arial" w:cs="Arial" w:eastAsia="Arial" w:hAnsi="Arial"/>
          <w:sz w:val="17"/>
          <w:szCs w:val="17"/>
          <w:color w:val="auto"/>
        </w:rPr>
        <w:t>Our board of directors may provide that its approval is subject to compliance with any terms and conditions determined by it. However, pursuant to the statute, our board of directors has by resolution opted out of these provisions of the MGCL and, consequently, the five-year prohibition and the super-majority vote requirements will not apply to business combinations between us and any interested stockholder of our company. As a result, anyone who later becomes an interested stockholder may be able to enter into business combinations with us that may not be in the best interest of our stockholders without compliance by our company with the super-majority vote requirements and the other provisions of the statute. However, no assurances can be given that such resolution will not be modified, amended or revoked in the future or that the provisions of the MGCL relative to business combinations will not be reinstated or again become applicable to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66" w:lineRule="exact"/>
        <w:rPr>
          <w:sz w:val="20"/>
          <w:szCs w:val="20"/>
          <w:color w:val="auto"/>
        </w:rPr>
      </w:pPr>
    </w:p>
    <w:p>
      <w:pPr>
        <w:ind w:right="40" w:firstLine="639"/>
        <w:spacing w:after="0" w:line="265" w:lineRule="auto"/>
        <w:rPr>
          <w:sz w:val="20"/>
          <w:szCs w:val="20"/>
          <w:color w:val="auto"/>
        </w:rPr>
      </w:pPr>
      <w:r>
        <w:rPr>
          <w:rFonts w:ascii="Arial" w:cs="Arial" w:eastAsia="Arial" w:hAnsi="Arial"/>
          <w:sz w:val="17"/>
          <w:szCs w:val="17"/>
          <w:color w:val="auto"/>
        </w:rPr>
        <w:t>The MGCL provides that holders of "control shares" of a Maryland corporation acquired in a "control share acquisition" have no voting rights with respect to the control shares except to the extent approved at a special meeting of stockholders by the affirmative vote of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(i) a person who makes or proposes to make a control share acquisition, (ii) an officer of the corporation or (iii) an employee of the corporation who is also a director of the corporation. "Control shares" are voting shares of stock which, if aggregated with all other such shares of stock owned by the acquiror or in respect of which the acquiror is able to exercise or direct the exercise of voting power (except solely by virtue of a revocable proxy), would entitle the acquiror, directly or indirectly, to exercise or direct the exercise of, voting power in electing directors within one of the following ranges of voting power: (i) one-tenth or more but less than one-third, (ii) one-third or more but less than a majority, or (iii) a majority or more of all voting power. Control shares do not include shares the acquiring person is then entitled to vote as a result of having previously obtained stockholder approval. A "control share acquisition" means the acquisition, directly or indirectly, of control shares, subject to certain exceptions.</w:t>
      </w:r>
    </w:p>
    <w:p>
      <w:pPr>
        <w:spacing w:after="0" w:line="128" w:lineRule="exact"/>
        <w:rPr>
          <w:sz w:val="20"/>
          <w:szCs w:val="20"/>
          <w:color w:val="auto"/>
        </w:rPr>
      </w:pPr>
    </w:p>
    <w:p>
      <w:pPr>
        <w:ind w:right="220" w:firstLine="639"/>
        <w:spacing w:after="0" w:line="279" w:lineRule="auto"/>
        <w:rPr>
          <w:sz w:val="20"/>
          <w:szCs w:val="20"/>
          <w:color w:val="auto"/>
        </w:rPr>
      </w:pPr>
      <w:r>
        <w:rPr>
          <w:rFonts w:ascii="Arial" w:cs="Arial" w:eastAsia="Arial" w:hAnsi="Arial"/>
          <w:sz w:val="17"/>
          <w:szCs w:val="17"/>
          <w:color w:val="auto"/>
        </w:rPr>
        <w:t>A person who has made or proposes to make a control share acquisition, upon satisfaction of certain conditions (including an undertaking to pay expenses), may compel our board of directors to call a special meeting of stockholders to be held within 50 days of demand to consider the voting rights of the shares. If no request for a meeting is made, the corporation may itself present the question at any stockholders meeting.</w:t>
      </w:r>
    </w:p>
    <w:p>
      <w:pPr>
        <w:spacing w:after="0" w:line="117" w:lineRule="exact"/>
        <w:rPr>
          <w:sz w:val="20"/>
          <w:szCs w:val="20"/>
          <w:color w:val="auto"/>
        </w:rPr>
      </w:pPr>
    </w:p>
    <w:p>
      <w:pPr>
        <w:ind w:right="60" w:firstLine="639"/>
        <w:spacing w:after="0" w:line="267"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stockholders at which the voting rights of such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128" w:lineRule="exact"/>
        <w:rPr>
          <w:sz w:val="20"/>
          <w:szCs w:val="20"/>
          <w:color w:val="auto"/>
        </w:rPr>
      </w:pPr>
    </w:p>
    <w:p>
      <w:pPr>
        <w:ind w:firstLine="639"/>
        <w:spacing w:after="0" w:line="266" w:lineRule="auto"/>
        <w:rPr>
          <w:sz w:val="20"/>
          <w:szCs w:val="20"/>
          <w:color w:val="auto"/>
        </w:rPr>
      </w:pPr>
      <w:r>
        <w:rPr>
          <w:rFonts w:ascii="Arial" w:cs="Arial" w:eastAsia="Arial" w:hAnsi="Arial"/>
          <w:sz w:val="18"/>
          <w:szCs w:val="18"/>
          <w:color w:val="auto"/>
        </w:rPr>
        <w:t>The control share acquisition statute does not apply (a) to shares acquired in a merger, consolidation or share exchange if the corporation is a party to the transaction or (b) to acquisitions approved or exempted by the charter or bylaws of the corporation.</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bylaws contain a provision exempting from the control share acquisition statute any and all acquisitions by any person of shares of our stock.</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this provision will not be amended or eliminated at any time in the future.</w:t>
      </w:r>
    </w:p>
    <w:p>
      <w:pPr>
        <w:sectPr>
          <w:pgSz w:w="11900" w:h="16838" w:orient="portrait"/>
          <w:cols w:equalWidth="0" w:num="1">
            <w:col w:w="11220"/>
          </w:cols>
          <w:pgMar w:left="320" w:top="886"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Subtitle 8</w:t>
      </w:r>
    </w:p>
    <w:p>
      <w:pPr>
        <w:spacing w:after="0" w:line="166" w:lineRule="exact"/>
        <w:rPr>
          <w:sz w:val="20"/>
          <w:szCs w:val="20"/>
          <w:color w:val="auto"/>
        </w:rPr>
      </w:pPr>
    </w:p>
    <w:p>
      <w:pPr>
        <w:ind w:right="20" w:firstLine="639"/>
        <w:spacing w:after="0" w:line="303" w:lineRule="auto"/>
        <w:rPr>
          <w:sz w:val="20"/>
          <w:szCs w:val="20"/>
          <w:color w:val="auto"/>
        </w:rPr>
      </w:pPr>
      <w:r>
        <w:rPr>
          <w:rFonts w:ascii="Arial" w:cs="Arial" w:eastAsia="Arial" w:hAnsi="Arial"/>
          <w:sz w:val="16"/>
          <w:szCs w:val="16"/>
          <w:color w:val="auto"/>
        </w:rPr>
        <w:t>Subtitle 8 of Title 3 of the MGCL permits a Maryland corporation with a class of equity securities registered under the Securities Exchange Act of 1934, as amended (the "Exchange Act"), and at least three independent directors to elect to be subject, by provision in its charter or bylaws or a resolution of its board of directors and notwithstanding any contrary provision in the charter or bylaws, to any or all of the following five provisions:</w:t>
      </w:r>
    </w:p>
    <w:p>
      <w:pPr>
        <w:spacing w:after="0" w:line="102" w:lineRule="exact"/>
        <w:rPr>
          <w:sz w:val="20"/>
          <w:szCs w:val="20"/>
          <w:color w:val="auto"/>
        </w:rPr>
      </w:pPr>
    </w:p>
    <w:p>
      <w:pPr>
        <w:ind w:left="640" w:hanging="314"/>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165" w:lineRule="exact"/>
        <w:rPr>
          <w:rFonts w:ascii="Arial" w:cs="Arial" w:eastAsia="Arial" w:hAnsi="Arial"/>
          <w:sz w:val="18"/>
          <w:szCs w:val="18"/>
          <w:color w:val="auto"/>
        </w:rPr>
      </w:pPr>
    </w:p>
    <w:p>
      <w:pPr>
        <w:ind w:left="640" w:right="60" w:hanging="314"/>
        <w:spacing w:after="0" w:line="266"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remaining directors and for the remainder of the full term of the class of directors in which the vacancy occurred; and</w:t>
      </w:r>
    </w:p>
    <w:p>
      <w:pPr>
        <w:spacing w:after="0" w:line="126" w:lineRule="exact"/>
        <w:rPr>
          <w:rFonts w:ascii="Arial" w:cs="Arial" w:eastAsia="Arial" w:hAnsi="Arial"/>
          <w:sz w:val="18"/>
          <w:szCs w:val="18"/>
          <w:color w:val="auto"/>
        </w:rPr>
      </w:pPr>
    </w:p>
    <w:p>
      <w:pPr>
        <w:ind w:left="640" w:hanging="314"/>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166" w:lineRule="exact"/>
        <w:rPr>
          <w:sz w:val="20"/>
          <w:szCs w:val="20"/>
          <w:color w:val="auto"/>
        </w:rPr>
      </w:pPr>
    </w:p>
    <w:p>
      <w:pPr>
        <w:ind w:firstLine="639"/>
        <w:spacing w:after="0" w:line="250" w:lineRule="auto"/>
        <w:rPr>
          <w:sz w:val="20"/>
          <w:szCs w:val="20"/>
          <w:color w:val="auto"/>
        </w:rPr>
      </w:pPr>
      <w:r>
        <w:rPr>
          <w:rFonts w:ascii="Arial" w:cs="Arial" w:eastAsia="Arial" w:hAnsi="Arial"/>
          <w:sz w:val="18"/>
          <w:szCs w:val="18"/>
          <w:color w:val="auto"/>
        </w:rPr>
        <w:t>Our bylaws provide, and we have elected to be subject to the provision of Subtitle 8 that requires, that a vacancy on the board be filled only by the remaining directors and for the remainder of the full term of the class of directors in which the vacancy occurred. Through provisions in our charter and bylaws unrelated to Subtitle 8, we also vest in the board the exclusive power to fix the number of directorships. If we made an election to be subject to the provision of Subtitle 8 relating to a classified board, our board of directors would automatically be classified into three classes with staggered terms of office of three years each. In such instance, the classification and staggered terms of office of the directors would make it more difficult for a third party to gain control of the board of directors since at least two annual meetings of stockholders, instead of one, generally would be required to effect a change in the majority of the board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 of Certain Provisions of Maryland Law</w:t>
      </w:r>
    </w:p>
    <w:p>
      <w:pPr>
        <w:spacing w:after="0" w:line="16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business combination provisions, the control share acquisition provisions and Subtitle 8 of the MGCL, and certain other provisions of our charter and bylaws, could delay, defer or prevent a transaction or a change in control of our company that might involve a premium price for holders of securities or otherwise be in their best interests.</w:t>
      </w:r>
    </w:p>
    <w:p>
      <w:pPr>
        <w:sectPr>
          <w:pgSz w:w="11900" w:h="16838" w:orient="portrait"/>
          <w:cols w:equalWidth="0" w:num="1">
            <w:col w:w="11140"/>
          </w:cols>
          <w:pgMar w:left="320" w:top="886" w:right="4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t>DESCRIPTION OF SERIES I PREFERRED STOCK</w:t>
      </w:r>
    </w:p>
    <w:p>
      <w:pPr>
        <w:spacing w:after="0" w:line="225" w:lineRule="exact"/>
        <w:rPr>
          <w:sz w:val="20"/>
          <w:szCs w:val="20"/>
          <w:color w:val="auto"/>
        </w:rPr>
      </w:pPr>
    </w:p>
    <w:p>
      <w:pPr>
        <w:ind w:right="20" w:firstLine="639"/>
        <w:spacing w:after="0" w:line="273" w:lineRule="auto"/>
        <w:rPr>
          <w:sz w:val="20"/>
          <w:szCs w:val="20"/>
          <w:color w:val="auto"/>
        </w:rPr>
      </w:pPr>
      <w:r>
        <w:rPr>
          <w:rFonts w:ascii="Arial" w:cs="Arial" w:eastAsia="Arial" w:hAnsi="Arial"/>
          <w:sz w:val="17"/>
          <w:szCs w:val="17"/>
          <w:i w:val="1"/>
          <w:iCs w:val="1"/>
          <w:color w:val="auto"/>
        </w:rPr>
        <w:t>The following is a summary of certain general terms of our preferred stock and certain provisions of the articles supplementary creating our Series I Preferred Stock. This description is subject to and qualified in its entirety by reference to SL Green's charter, which includes the articles supplementary relating to each series of preferred stock, and SL Green's bylaws, as amended, each of which has previously been filed with the SEC, and the MGCL. As used in this section, the terms "we," "us" or "our" refer to SL Green Realty Corp. and not any of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jc w:val="both"/>
        <w:ind w:right="20" w:firstLine="639"/>
        <w:spacing w:after="0" w:line="256" w:lineRule="auto"/>
        <w:rPr>
          <w:sz w:val="20"/>
          <w:szCs w:val="20"/>
          <w:color w:val="auto"/>
        </w:rPr>
      </w:pPr>
      <w:r>
        <w:rPr>
          <w:rFonts w:ascii="Arial" w:cs="Arial" w:eastAsia="Arial" w:hAnsi="Arial"/>
          <w:sz w:val="18"/>
          <w:szCs w:val="18"/>
          <w:color w:val="auto"/>
        </w:rPr>
        <w:t>Our charter provides that we may issue up to 25,000,000 shares of preferred stock, $0.01 par value per share which may be classified and designated in one or more series by our board of directors. As of December 31, 2022, there were 9,200,000 shares of preferred stock outstanding, consisting of shares of 6.50% Series I Preferred Stock. Company to provide updated share amounts.</w:t>
      </w:r>
    </w:p>
    <w:p>
      <w:pPr>
        <w:spacing w:after="0" w:line="190" w:lineRule="exact"/>
        <w:rPr>
          <w:sz w:val="20"/>
          <w:szCs w:val="20"/>
          <w:color w:val="auto"/>
        </w:rPr>
      </w:pPr>
    </w:p>
    <w:p>
      <w:pPr>
        <w:ind w:right="80" w:firstLine="639"/>
        <w:spacing w:after="0" w:line="251" w:lineRule="auto"/>
        <w:rPr>
          <w:sz w:val="20"/>
          <w:szCs w:val="20"/>
          <w:color w:val="auto"/>
        </w:rPr>
      </w:pPr>
      <w:r>
        <w:rPr>
          <w:rFonts w:ascii="Arial" w:cs="Arial" w:eastAsia="Arial" w:hAnsi="Arial"/>
          <w:sz w:val="18"/>
          <w:szCs w:val="18"/>
          <w:color w:val="auto"/>
        </w:rPr>
        <w:t>The issuance of preferred stock could adversely affect the voting power, dividend rights and other rights of holders of common stock. Our board of directors could establish another series of preferred stock that could, depending on the terms of the series, delay, defer or prevent a transaction or a change in control of our company that might involve a premium price for the common stock or otherwise be in the best interest of the holders thereof. Management believes that the availability of preferred stock will provide us with increased flexibility in structuring possible future financings and acquisitions and in meeting other needs that might arise.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Series I Preferred Stock is listed on the NYSE under the symbol "SLG.PRI."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ind w:right="100" w:firstLine="639"/>
        <w:spacing w:after="0" w:line="256" w:lineRule="auto"/>
        <w:rPr>
          <w:sz w:val="20"/>
          <w:szCs w:val="20"/>
          <w:color w:val="auto"/>
        </w:rPr>
      </w:pPr>
      <w:r>
        <w:rPr>
          <w:rFonts w:ascii="Arial" w:cs="Arial" w:eastAsia="Arial" w:hAnsi="Arial"/>
          <w:sz w:val="18"/>
          <w:szCs w:val="18"/>
          <w:color w:val="auto"/>
        </w:rPr>
        <w:t>The Series I Preferred Stock has no stated maturity and is not subject to any sinking fund or mandatory redemption. Shares of the Series I Preferred Stock will remain outstanding indefinitely unless we decide to redeem or otherwise repurchase them. We are not required to set aside funds to redeem the Series I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5"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The Series I Preferred Stock, with respect to rights to the payment of dividends and the distribution of assets upon our voluntary or involuntary liquidation, dissolution or winding up, ranks (a) senior to our common stock and all other classes or series of our capital stock issued in the future, the terms of which specifically provide that such class or series of capital stock ranks junior to the Series I Preferred Stock as to the payment of dividends and the distribution of assets upon our liquidation, dissolution or winding up, (b) on a parity with all other classes or series of our capital stock issued in the future, other than those referred to in clauses (a) and (c), the terms of which specifically provide that such classes or series of capital stock rank on a parity with the Series I Preferred Stock as to the payment of dividends and the distribution of assets upon our liquidation, dissolution or winding up, and (c) junior to all other classes or series of our capital stock issued in the future, the terms of which specifically provide that such classes or series of capital stock rank senior to the Series I Preferred Stock as to the payment of dividends and the distribution of assets upon our liquidation, dissolution or winding up.</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60" w:firstLine="639"/>
        <w:spacing w:after="0" w:line="283" w:lineRule="auto"/>
        <w:rPr>
          <w:sz w:val="20"/>
          <w:szCs w:val="20"/>
          <w:color w:val="auto"/>
        </w:rPr>
      </w:pPr>
      <w:r>
        <w:rPr>
          <w:rFonts w:ascii="Arial" w:cs="Arial" w:eastAsia="Arial" w:hAnsi="Arial"/>
          <w:sz w:val="16"/>
          <w:szCs w:val="16"/>
          <w:color w:val="auto"/>
        </w:rPr>
        <w:t>Subject to the preferential rights of holders of any class or series of our capital stock ranking senior to the Series I Preferred Stock as to the payment of dividends, holders of Series I Preferred Stock are entitled to receive, when, if and as declared by our board of directors, out of funds legally available for the payment of quarterly cumulative preferential cash dividends, an amount per share equal to 6.50% of the $25.00 liquidation preference per annum (equivalent to a fixed annual amount of $1.625 per share), payable in equal amounts of $0.40625 per share quarterly. Dividends on the Series I Preferred Stock began to accrue and were fully cumulative starting from, and including, August 10, 2012 and are payable quarterly when, if and as authorized by our board of directors, in equal amounts in arrears on the fifteenth day of each January, April, July and October or, if not a business day, then the next succeeding business day (each, a "Dividend Payment Date"), and no interest or additional dividends or other sums will accrue on the amount so payable from the Dividend Payment Date to such next succeeding business day. Any dividend payable on the Series I Preferred Stock for any portion of a dividend period that ends prior to a Dividend Payment Date will be prorated and computed on the basis of a 360-day year consisting of twelve 30-day months. Dividends are payable to holders of record as they appear in our stock records at the close of business on the applicable</w:t>
      </w:r>
    </w:p>
    <w:p>
      <w:pPr>
        <w:sectPr>
          <w:pgSz w:w="11900" w:h="16838" w:orient="portrait"/>
          <w:cols w:equalWidth="0" w:num="1">
            <w:col w:w="11220"/>
          </w:cols>
          <w:pgMar w:left="320" w:top="1093" w:right="359" w:bottom="1440" w:gutter="0" w:footer="0" w:header="0"/>
        </w:sectPr>
      </w:pPr>
    </w:p>
    <w:bookmarkStart w:id="149" w:name="page150"/>
    <w:bookmarkEnd w:id="149"/>
    <w:p>
      <w:pPr>
        <w:ind w:right="80"/>
        <w:spacing w:after="0" w:line="253" w:lineRule="auto"/>
        <w:rPr>
          <w:sz w:val="20"/>
          <w:szCs w:val="20"/>
          <w:color w:val="auto"/>
        </w:rPr>
      </w:pPr>
      <w:r>
        <w:rPr>
          <w:rFonts w:ascii="Arial" w:cs="Arial" w:eastAsia="Arial" w:hAnsi="Arial"/>
          <w:sz w:val="18"/>
          <w:szCs w:val="18"/>
          <w:color w:val="auto"/>
        </w:rPr>
        <w:t>record date, which is the first day of the calendar month in which the applicable Dividend Payment Date falls or such other date designated by our board of directors that is not more than 30 nor less than 10 days prior to such Dividend Payment Date (each, a "Dividend Record Date"). Each outstanding share of Series I Preferred Stock is entitled to receive a dividend with respect to any Dividend Record Rate equal to the dividend paid with respect to each other share of Series I Preferred Stock that is outstanding on such Dividend Record Date.</w:t>
      </w:r>
    </w:p>
    <w:p>
      <w:pPr>
        <w:spacing w:after="0" w:line="192" w:lineRule="exact"/>
        <w:rPr>
          <w:sz w:val="20"/>
          <w:szCs w:val="20"/>
          <w:color w:val="auto"/>
        </w:rPr>
      </w:pPr>
    </w:p>
    <w:p>
      <w:pPr>
        <w:ind w:right="20" w:firstLine="639"/>
        <w:spacing w:after="0" w:line="266" w:lineRule="auto"/>
        <w:rPr>
          <w:sz w:val="20"/>
          <w:szCs w:val="20"/>
          <w:color w:val="auto"/>
        </w:rPr>
      </w:pPr>
      <w:r>
        <w:rPr>
          <w:rFonts w:ascii="Arial" w:cs="Arial" w:eastAsia="Arial" w:hAnsi="Arial"/>
          <w:sz w:val="18"/>
          <w:szCs w:val="18"/>
          <w:color w:val="auto"/>
        </w:rPr>
        <w:t>No dividend on the Series I Preferred Stock can be declared or paid or set apart for payment by our board of directors if such declaration, payment or setting apart for payment would violate any of our agreements or is restricted or prohibited by law.</w:t>
      </w:r>
    </w:p>
    <w:p>
      <w:pPr>
        <w:spacing w:after="0" w:line="180" w:lineRule="exact"/>
        <w:rPr>
          <w:sz w:val="20"/>
          <w:szCs w:val="20"/>
          <w:color w:val="auto"/>
        </w:rPr>
      </w:pPr>
    </w:p>
    <w:p>
      <w:pPr>
        <w:ind w:right="100" w:firstLine="639"/>
        <w:spacing w:after="0" w:line="266" w:lineRule="auto"/>
        <w:rPr>
          <w:sz w:val="20"/>
          <w:szCs w:val="20"/>
          <w:color w:val="auto"/>
        </w:rPr>
      </w:pPr>
      <w:r>
        <w:rPr>
          <w:rFonts w:ascii="Arial" w:cs="Arial" w:eastAsia="Arial" w:hAnsi="Arial"/>
          <w:sz w:val="17"/>
          <w:szCs w:val="17"/>
          <w:color w:val="auto"/>
        </w:rPr>
        <w:t>In the event dividends are not paid in full (or a sum sufficient for such full payment is not so set apart) upon the Series I Preferred Stock and the shares of any other class or series of our capital stock ranking on a parity as to the payment of dividends with the Series I Preferred Stock, all dividends declared upon the Series I Preferred Stock and any other class or series of capital stock ranking on a parity as to the payment of dividends with the Series I Preferred Stock are declared pro rata so that the amount of dividends declared per share of Series I Preferred Stock and such other class or series of our capital stock will in all cases bear to each other the same ratio that accumulated dividends per share on the Series I Preferred Stock and such other class or series of capital stock (which will not include any accumulation in respect of unpaid dividends for prior dividend periods if such class or series of our capital stock does not have a cumulative dividend) bear to each other. No interest, or sum of money in lieu of interest, is payable in respect of any dividend payment or payments on the Series I Preferred Stock which may be in arrears.</w:t>
      </w:r>
    </w:p>
    <w:p>
      <w:pPr>
        <w:spacing w:after="0" w:line="184" w:lineRule="exact"/>
        <w:rPr>
          <w:sz w:val="20"/>
          <w:szCs w:val="20"/>
          <w:color w:val="auto"/>
        </w:rPr>
      </w:pPr>
    </w:p>
    <w:p>
      <w:pPr>
        <w:jc w:val="both"/>
        <w:ind w:right="140" w:firstLine="639"/>
        <w:spacing w:after="0" w:line="303" w:lineRule="auto"/>
        <w:rPr>
          <w:sz w:val="20"/>
          <w:szCs w:val="20"/>
          <w:color w:val="auto"/>
        </w:rPr>
      </w:pPr>
      <w:r>
        <w:rPr>
          <w:rFonts w:ascii="Arial" w:cs="Arial" w:eastAsia="Arial" w:hAnsi="Arial"/>
          <w:sz w:val="16"/>
          <w:szCs w:val="16"/>
          <w:color w:val="auto"/>
        </w:rPr>
        <w:t>Except as provided in the immediately preceding paragraph, unless full cumulative dividends on the Series I Preferred Stock and any other class or series of capital stock ranking on a parity as to the payment of dividends with the Series I Preferred Stock have been or contemporaneously are declared and paid or declared and a sum sufficient for the payment thereof set apart for payment for all past dividend periods:</w:t>
      </w:r>
    </w:p>
    <w:p>
      <w:pPr>
        <w:spacing w:after="0" w:line="102" w:lineRule="exact"/>
        <w:rPr>
          <w:sz w:val="20"/>
          <w:szCs w:val="20"/>
          <w:color w:val="auto"/>
        </w:rPr>
      </w:pPr>
    </w:p>
    <w:p>
      <w:pPr>
        <w:ind w:left="640" w:right="20" w:hanging="314"/>
        <w:spacing w:after="0" w:line="270" w:lineRule="auto"/>
        <w:tabs>
          <w:tab w:leader="none" w:pos="6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dividends will be declared or paid or set apart for payment and no other distribution of cash or other property will be declared or made (other than in shares of our common stock or other class or series of capital stock ranking on a parity with or junior to the Series I Preferred Stock as to the payment of dividends and the distribution of assets upon our liquidation, dissolution or winding up) on or with respect to any shares of our common stock or shares of any other class or series of our capital stock ranking, as to the payment of dividends or the distribution of assets upon our liquidation, dissolution or winding up, on a parity with or junior to the Series I Preferred Stock; and</w:t>
      </w:r>
    </w:p>
    <w:p>
      <w:pPr>
        <w:spacing w:after="0" w:line="125" w:lineRule="exact"/>
        <w:rPr>
          <w:rFonts w:ascii="Arial" w:cs="Arial" w:eastAsia="Arial" w:hAnsi="Arial"/>
          <w:sz w:val="17"/>
          <w:szCs w:val="17"/>
          <w:color w:val="auto"/>
        </w:rPr>
      </w:pPr>
    </w:p>
    <w:p>
      <w:pPr>
        <w:ind w:left="640" w:hanging="314"/>
        <w:spacing w:after="0" w:line="268" w:lineRule="auto"/>
        <w:tabs>
          <w:tab w:leader="none" w:pos="6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common stock or any other class or series of capital stock ranking junior to or on a parity with the Series I Preferred Stock as to the payment of dividends and the distribution of assets upon our liquidation, dissolution or winding up will be redeemed, purchased or otherwise acquired for any consideration (or any money paid or made available for a sinking fund for the redemption of any such class or series of capital stock) by us (except by conversion into or exchange for any other class or series of our capital stock ranking on a parity with or junior to the Series I Preferred Stock as to the payment of dividends and the distribution of assets upon our liquidation, dissolution or winding up or by redemption, purchase or acquisition for the purpose of maintaining our qualification as a REIT).</w:t>
      </w:r>
    </w:p>
    <w:p>
      <w:pPr>
        <w:spacing w:after="0" w:line="181" w:lineRule="exact"/>
        <w:rPr>
          <w:sz w:val="20"/>
          <w:szCs w:val="20"/>
          <w:color w:val="auto"/>
        </w:rPr>
      </w:pPr>
    </w:p>
    <w:p>
      <w:pPr>
        <w:ind w:right="40" w:firstLine="639"/>
        <w:spacing w:after="0" w:line="273" w:lineRule="auto"/>
        <w:rPr>
          <w:sz w:val="20"/>
          <w:szCs w:val="20"/>
          <w:color w:val="auto"/>
        </w:rPr>
      </w:pPr>
      <w:r>
        <w:rPr>
          <w:rFonts w:ascii="Arial" w:cs="Arial" w:eastAsia="Arial" w:hAnsi="Arial"/>
          <w:sz w:val="17"/>
          <w:szCs w:val="17"/>
          <w:color w:val="auto"/>
        </w:rPr>
        <w:t>Notwithstanding the foregoing, dividends on the Series I Preferred Stock accumulate whether or not the Company has earnings, whether or not there are funds legally available for the payment thereof, whether or not they are prohibited by the terms of the Company's or its subsidiaries' agreements and whether or not such dividends are declared. Accumulated but unpaid dividends on the Series I Preferred Stock do not bear interest and holders of the Series I Preferred Stock are not be entitled to any dividends in excess of full cumulative dividends as described above.</w:t>
      </w:r>
    </w:p>
    <w:p>
      <w:pPr>
        <w:spacing w:after="0" w:line="176" w:lineRule="exact"/>
        <w:rPr>
          <w:sz w:val="20"/>
          <w:szCs w:val="20"/>
          <w:color w:val="auto"/>
        </w:rPr>
      </w:pPr>
    </w:p>
    <w:p>
      <w:pPr>
        <w:jc w:val="both"/>
        <w:ind w:right="140" w:firstLine="639"/>
        <w:spacing w:after="0" w:line="253" w:lineRule="auto"/>
        <w:rPr>
          <w:sz w:val="20"/>
          <w:szCs w:val="20"/>
          <w:color w:val="auto"/>
        </w:rPr>
      </w:pPr>
      <w:r>
        <w:rPr>
          <w:rFonts w:ascii="Arial" w:cs="Arial" w:eastAsia="Arial" w:hAnsi="Arial"/>
          <w:sz w:val="18"/>
          <w:szCs w:val="18"/>
          <w:color w:val="auto"/>
        </w:rPr>
        <w:t>Holders of Series I Preferred Stock are not entitled to any dividend or other distribution, whether payable in cash, property or shares of any class or series of capital stock (including Series I Preferred Stock) in excess of the full cumulative dividends on the Series I Preferred Stock as described above. Any dividend payment made on the Series I Preferred Stock is first credited against the earliest accumulated but unpaid dividend due with respect to such shares which remain payable.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5" w:lineRule="exact"/>
        <w:rPr>
          <w:sz w:val="20"/>
          <w:szCs w:val="20"/>
          <w:color w:val="auto"/>
        </w:rPr>
      </w:pPr>
    </w:p>
    <w:p>
      <w:pPr>
        <w:ind w:right="100" w:firstLine="639"/>
        <w:spacing w:after="0" w:line="251" w:lineRule="auto"/>
        <w:rPr>
          <w:sz w:val="20"/>
          <w:szCs w:val="20"/>
          <w:color w:val="auto"/>
        </w:rPr>
      </w:pPr>
      <w:r>
        <w:rPr>
          <w:rFonts w:ascii="Arial" w:cs="Arial" w:eastAsia="Arial" w:hAnsi="Arial"/>
          <w:sz w:val="18"/>
          <w:szCs w:val="18"/>
          <w:color w:val="auto"/>
        </w:rPr>
        <w:t>In the event of our voluntary or involuntary liquidation, dissolution or winding up, the holders of the Series I Preferred Stock will be entitled to receive out of our assets legally available for distribution to our stockholders remaining after payment or provisions for payment of all of our debts and other liabilities, liquidating distributions, in cash or property at its fair market value as determined by our board of directors, in the amount of a liquidation preference of $25.00 per share, plus an amount equal to any accumulated dividends (whether or not earned or declared) to, but not including, the date of payment, before any</w:t>
      </w:r>
    </w:p>
    <w:p>
      <w:pPr>
        <w:sectPr>
          <w:pgSz w:w="11900" w:h="16838" w:orient="portrait"/>
          <w:cols w:equalWidth="0" w:num="1">
            <w:col w:w="11240"/>
          </w:cols>
          <w:pgMar w:left="320" w:top="1099" w:right="339" w:bottom="1440" w:gutter="0" w:footer="0" w:header="0"/>
        </w:sectPr>
      </w:pPr>
    </w:p>
    <w:bookmarkStart w:id="150" w:name="page151"/>
    <w:bookmarkEnd w:id="150"/>
    <w:p>
      <w:pPr>
        <w:ind w:right="60"/>
        <w:spacing w:after="0" w:line="281" w:lineRule="auto"/>
        <w:rPr>
          <w:sz w:val="20"/>
          <w:szCs w:val="20"/>
          <w:color w:val="auto"/>
        </w:rPr>
      </w:pPr>
      <w:r>
        <w:rPr>
          <w:rFonts w:ascii="Arial" w:cs="Arial" w:eastAsia="Arial" w:hAnsi="Arial"/>
          <w:sz w:val="16"/>
          <w:szCs w:val="16"/>
          <w:color w:val="auto"/>
        </w:rPr>
        <w:t>distribution of assets is made to holders of common stock or any other class or series of our capital stock ranking junior to the Series I Preferred Stock as to the distribution of assets upon our liquidation, dissolution or winding up, but subject to the preferential rights of the holders of shares of any class or series of our capital stock ranking senior to the Series I Preferred Stock as to the distribution of assets upon our liquidation, dissolution or winding up. After payment of the full amount of the liquidating distributions to which they are entitled, the holders of Series I Preferred Stock will have no right or claim to any of our remaining assets. None of (i) our consolidation or merger with or into another entity, (ii) a merger of another entity with or into us, (iii) a statutory stock exchange by us or (iv) a sale, lease or conveyance of all or substantially all of our property or business will be considered a liquidation, dissolution or winding up. If, upon our voluntary or involuntary liquidation, dissolution or winding up, our assets legally available for distribution to our stockholders are insufficient to make the full payment due to holders of the Series I Preferred Stock and the corresponding amounts payable on all outstanding shares of other classes or series of capital stock ranking on a parity with the Series I Preferred Stock as to the distribution of assets upon our liquidation, dissolution or winding up, then the holders of the Series I Preferred Stock and all other such classes or series of capital stock will share ratably in any such distribution of assets in proportion to the full liquidating distributions (including, if applicable, accumulated and accrued dividends) to which they would otherwise be respectively entitled. The liquidation preference of the outstanding shares of Series I Preferred Stock will not be added to our liabilities for the purpose of determining whether under the MGCL a distribution may be made to our stockholders whose preferential rights upon our dissolution are junior to those of holders of the Series I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5" w:lineRule="exact"/>
        <w:rPr>
          <w:sz w:val="20"/>
          <w:szCs w:val="20"/>
          <w:color w:val="auto"/>
        </w:rPr>
      </w:pPr>
    </w:p>
    <w:p>
      <w:pPr>
        <w:ind w:right="100" w:firstLine="639"/>
        <w:spacing w:after="0" w:line="250" w:lineRule="auto"/>
        <w:rPr>
          <w:sz w:val="20"/>
          <w:szCs w:val="20"/>
          <w:color w:val="auto"/>
        </w:rPr>
      </w:pPr>
      <w:r>
        <w:rPr>
          <w:rFonts w:ascii="Arial" w:cs="Arial" w:eastAsia="Arial" w:hAnsi="Arial"/>
          <w:sz w:val="18"/>
          <w:szCs w:val="18"/>
          <w:color w:val="auto"/>
        </w:rPr>
        <w:t>The Series I Preferred Stock is not redeemable at any time at the option of the holders thereof. The Series I Preferred Stock will not be subject to sinking fund or mandatory redemption. Since August 10, 2017, we have had the option to redeem the Series I Preferred Stock at any time, in whole or from time to time in part, at a redemption price per share of Series I Preferred Stock in cash equal to $25.00, plus (except as provided below) all dividends accumulated and unpaid (whether or not earned or authorized) on the shares of Series I Preferred Stock to, but excluding, the date of such redemption, upon giving notice as provided below. Any date fixed for redemption pursuant to the foregoing provisions is referred to as a "Series I Preferred Stock Redemption Date."</w:t>
      </w:r>
    </w:p>
    <w:p>
      <w:pPr>
        <w:spacing w:after="0" w:line="197" w:lineRule="exact"/>
        <w:rPr>
          <w:sz w:val="20"/>
          <w:szCs w:val="20"/>
          <w:color w:val="auto"/>
        </w:rPr>
      </w:pPr>
    </w:p>
    <w:p>
      <w:pPr>
        <w:ind w:right="100" w:firstLine="639"/>
        <w:spacing w:after="0" w:line="282" w:lineRule="auto"/>
        <w:rPr>
          <w:sz w:val="20"/>
          <w:szCs w:val="20"/>
          <w:color w:val="auto"/>
        </w:rPr>
      </w:pPr>
      <w:r>
        <w:rPr>
          <w:rFonts w:ascii="Arial" w:cs="Arial" w:eastAsia="Arial" w:hAnsi="Arial"/>
          <w:sz w:val="16"/>
          <w:szCs w:val="16"/>
          <w:color w:val="auto"/>
        </w:rPr>
        <w:t>In the event of any redemption, we will provide notice by publication in a newspaper of general circulation in the City of New York, such publication to be made once a week for two successive weeks commencing not less than 30 nor more than 60 days prior to the Series I Preferred Stock Redemption Date. We will deliver, not less than 30 nor more than 60 days prior to the Series I Preferred Stock Redemption Date, to each holder of record of Series I Preferred Stock to be redeemed at such holder's address as it appears on our stock transfer records, notifying such holder of our election to redeem such shares; provided that if we have reasonably concluded, based upon the advice of independent tax counsel experienced in such matters, that any redemption must be made on a date (the "Subject Date") which is earlier than 30 days after the date of such mailing in order to preserve our status as a REIT for federal income tax purposes or to comply with federal tax laws relating to our qualification as a REIT, then we may give such shorter notice as is necessary to effect such redemption on the Subject Date. In addition to any information required by law or by the applicable rules of any exchange upon which the Series I Preferred Stock may be listed or admitted to trading, the notice of redemption will state (i) the date fixed for redemption thereof, (ii) the cash redemption price, (iii) the number of shares to be redeemed (and, if fewer than all the shares of Series I Preferred Stock are to be redeemed, the number of shares to be redeemed from such holder), (iv) the place(s) where the certificates for the shares of Series I Preferred Stock, if any, are to be surrendered for payment of the redemption price in cash, and (v) that dividends on the shares to be redeemed will cease to accumulate on such redemption date.</w:t>
      </w:r>
    </w:p>
    <w:p>
      <w:pPr>
        <w:spacing w:after="0" w:line="175" w:lineRule="exact"/>
        <w:rPr>
          <w:sz w:val="20"/>
          <w:szCs w:val="20"/>
          <w:color w:val="auto"/>
        </w:rPr>
      </w:pPr>
    </w:p>
    <w:p>
      <w:pPr>
        <w:ind w:right="40" w:firstLine="639"/>
        <w:spacing w:after="0" w:line="266" w:lineRule="auto"/>
        <w:rPr>
          <w:sz w:val="20"/>
          <w:szCs w:val="20"/>
          <w:color w:val="auto"/>
        </w:rPr>
      </w:pPr>
      <w:r>
        <w:rPr>
          <w:rFonts w:ascii="Arial" w:cs="Arial" w:eastAsia="Arial" w:hAnsi="Arial"/>
          <w:sz w:val="17"/>
          <w:szCs w:val="17"/>
          <w:color w:val="auto"/>
        </w:rPr>
        <w:t>If we redeem fewer than all of the outstanding shares of Series I Preferred Stock, the number of shares of Series I Preferred Stock to be redeemed will be determined by our board of directors and the shares to be redeemed will be selected by our board of directors pro rata or by lot or in such other equitable manner as determined by our board of directors. If such redemption is to be by lot and as a result of such redemption any holder of Series I Preferred Stock would become a holder of a number of shares of Series I Preferred Stock in excess of the Ownership Limit described herein because such holder's shares of Series I Preferred Stock were not redeemed, or were only redeemed in part, then, except in certain instances, we will redeem the requisite number of shares of Series I Preferred Stock from such holder such that he will not hold in excess of the Ownership Limit subsequent to such redemption. In addition, we may redeem shares of Series I Preferred Stock in certain circumstances relating to the maintenance of our ability to qualify as a REIT for federal income tax purposes.</w:t>
      </w:r>
    </w:p>
    <w:p>
      <w:pPr>
        <w:spacing w:after="0" w:line="184" w:lineRule="exact"/>
        <w:rPr>
          <w:sz w:val="20"/>
          <w:szCs w:val="20"/>
          <w:color w:val="auto"/>
        </w:rPr>
      </w:pPr>
    </w:p>
    <w:p>
      <w:pPr>
        <w:ind w:firstLine="639"/>
        <w:spacing w:after="0" w:line="348" w:lineRule="auto"/>
        <w:rPr>
          <w:sz w:val="20"/>
          <w:szCs w:val="20"/>
          <w:color w:val="auto"/>
        </w:rPr>
      </w:pPr>
      <w:r>
        <w:rPr>
          <w:rFonts w:ascii="Arial" w:cs="Arial" w:eastAsia="Arial" w:hAnsi="Arial"/>
          <w:sz w:val="14"/>
          <w:szCs w:val="14"/>
          <w:color w:val="auto"/>
        </w:rPr>
        <w:t>On or after the Series I Preferred Stock Redemption Date, each holder of shares of Series I Preferred Stock to be redeemed must present and surrender the certificates, if any, representing his shares of Series I Preferred Stock to us at the place designated in the applicable notice of redemption and thereupon the cash redemption price of such shares will be paid to or on the order of the person whose name appears on such certificate representing shares of Series I Preferred Stock as the owner thereof and each surrendered certificate will be canceled. If fewer than all the shares represented by any such certificate</w:t>
      </w:r>
    </w:p>
    <w:p>
      <w:pPr>
        <w:sectPr>
          <w:pgSz w:w="11900" w:h="16838" w:orient="portrait"/>
          <w:cols w:equalWidth="0" w:num="1">
            <w:col w:w="11220"/>
          </w:cols>
          <w:pgMar w:left="320" w:top="1099" w:right="359" w:bottom="1440" w:gutter="0" w:footer="0" w:header="0"/>
        </w:sectPr>
      </w:pPr>
    </w:p>
    <w:bookmarkStart w:id="151" w:name="page152"/>
    <w:bookmarkEnd w:id="151"/>
    <w:p>
      <w:pPr>
        <w:spacing w:after="0" w:line="281" w:lineRule="auto"/>
        <w:rPr>
          <w:sz w:val="20"/>
          <w:szCs w:val="20"/>
          <w:color w:val="auto"/>
        </w:rPr>
      </w:pPr>
      <w:r>
        <w:rPr>
          <w:rFonts w:ascii="Arial" w:cs="Arial" w:eastAsia="Arial" w:hAnsi="Arial"/>
          <w:sz w:val="16"/>
          <w:szCs w:val="16"/>
          <w:color w:val="auto"/>
        </w:rPr>
        <w:t>representing shares of Series I Preferred Stock are to be redeemed, a new certificate will be issued representing the unredeemed shares. If notice of redemption has been mailed or published in accordance with notice provisions described above and if the funds necessary for such redemption have been set aside by us in trust for the benefit of the holders of the Series I Preferred Stock so called for redemption, then from and after the Series I Preferred Stock Redemption Date (unless we default in payment of the redemption price), all dividends on the shares of Series I Preferred Stock called for redemption will cease to accumulate and all rights of the holders thereof, except the right to receive the redemption price thereof (including all accumulated and unpaid dividends to the Series I Preferred Stock Redemption Date), will cease and terminate and such shares will not thereafter be transferred (except with our consent) on our books, and such shares shall not be deemed to be outstanding for any purpose whatsoever. At our election, prior to a Series I Preferred Stock Redemption Date, we may irrevocably deposit the redemption price (including accumulated and unpaid dividends) of the Series I Preferred Stock so called for redemption in trust for the holders thereof with a bank or trust company, in which case the notice to holders of the Series I Preferred Stock to be redeemed will (i) state the date of such deposit, (ii) specify the office of such bank or trust company as the place of payment of the redemption price and (iii) require such holders to surrender the certificates representing such shares, if any, at such place on or about the date fixed in such redemption notice (which may not be later than such Series I Preferred Stock Redemption Date) against payment of the redemption price (including all accumulated and unpaid dividends to such Series I Preferred Stock Redemption Date). Any interest or other earnings earned on the redemption price (including all accumulated and unpaid dividends) deposited with a bank or trust company will be paid to us. Any moneys so deposited which remain unclaimed by the holders of the shares of Series I Preferred Stock at the end of two years after the Series I Preferred Stock Redemption Date will be returned to us by such bank or trust company.</w:t>
      </w:r>
    </w:p>
    <w:p>
      <w:pPr>
        <w:spacing w:after="0" w:line="177" w:lineRule="exact"/>
        <w:rPr>
          <w:sz w:val="20"/>
          <w:szCs w:val="20"/>
          <w:color w:val="auto"/>
        </w:rPr>
      </w:pPr>
    </w:p>
    <w:p>
      <w:pPr>
        <w:ind w:firstLine="639"/>
        <w:spacing w:after="0" w:line="283" w:lineRule="auto"/>
        <w:rPr>
          <w:sz w:val="20"/>
          <w:szCs w:val="20"/>
          <w:color w:val="auto"/>
        </w:rPr>
      </w:pPr>
      <w:r>
        <w:rPr>
          <w:rFonts w:ascii="Arial" w:cs="Arial" w:eastAsia="Arial" w:hAnsi="Arial"/>
          <w:sz w:val="16"/>
          <w:szCs w:val="16"/>
          <w:color w:val="auto"/>
        </w:rPr>
        <w:t>Notwithstanding the foregoing, unless full cumulative dividends on all shares of Series I Preferred Stock have been or contemporaneously are authorized, declared and paid or authorized, declared and a sum sufficient for the payment thereof set apart for payment for all past dividend periods, no shares of Series I Preferred Stock will be redeemed unless all outstanding shares of Series I Preferred Stock are simultaneously redeemed or exchanged; provided, however, that the foregoing will not prevent the purchase or acquisition of shares of Series I Preferred Stock pursuant to a purchase or exchange offer made on the same terms to holders of all outstanding shares of Series I Preferred Stock. In addition, unless full cumulative dividends on all outstanding shares of Series I Preferred Stock have been or contemporaneously are declared and paid or declared and a sum sufficient for the payment thereof set apart for payment for all past dividend periods, we will not purchase or otherwise acquire directly or indirectly any shares of Series I Preferred Stock or any shares of any other class or series of our capital stock ranking junior to or on a parity with the Series I Preferred Stock as to the payment of dividends or the distribution of our assets upon our liquidation, dissolution or winding up (except by conversion into or exchange for shares of any class or series of our capital stock ranking junior to the Series I Preferred Stock as to the payment of dividends or the distribution of our assets upon our liquidation, dissolution or winding up or by redemptions for the purposes of maintaining our qualification as a REIT).</w:t>
      </w:r>
    </w:p>
    <w:p>
      <w:pPr>
        <w:spacing w:after="0" w:line="169" w:lineRule="exact"/>
        <w:rPr>
          <w:sz w:val="20"/>
          <w:szCs w:val="20"/>
          <w:color w:val="auto"/>
        </w:rPr>
      </w:pPr>
    </w:p>
    <w:p>
      <w:pPr>
        <w:ind w:right="80" w:firstLine="639"/>
        <w:spacing w:after="0" w:line="268" w:lineRule="auto"/>
        <w:rPr>
          <w:sz w:val="20"/>
          <w:szCs w:val="20"/>
          <w:color w:val="auto"/>
        </w:rPr>
      </w:pPr>
      <w:r>
        <w:rPr>
          <w:rFonts w:ascii="Arial" w:cs="Arial" w:eastAsia="Arial" w:hAnsi="Arial"/>
          <w:sz w:val="17"/>
          <w:szCs w:val="17"/>
          <w:color w:val="auto"/>
        </w:rPr>
        <w:t>Immediately prior to any redemption of shares of Series I Preferred Stock, we shall pay, in cash, any accumulated and unpaid dividends to but not including the Series I Preferred Stock Redemption Date, unless such Series I Preferred Stock Redemption Date falls after a Dividend Record Date and on or prior to the corresponding Dividend Payment Date, in which case each holder of Series I Preferred Stock at the close of business on such Dividend Record Date shall be entitled to receive the dividend payable on such shares on the corresponding Dividend Payment Date notwithstanding the redemption of such shares on or prior to such Dividend Payment Date. Except as provided above, we will make no payment or allowance for unpaid dividends, whether or not in arrears, on shares of Series I Preferred Stock for which a notice of redemption has been given.</w:t>
      </w:r>
    </w:p>
    <w:p>
      <w:pPr>
        <w:spacing w:after="0" w:line="181" w:lineRule="exact"/>
        <w:rPr>
          <w:sz w:val="20"/>
          <w:szCs w:val="20"/>
          <w:color w:val="auto"/>
        </w:rPr>
      </w:pPr>
    </w:p>
    <w:p>
      <w:pPr>
        <w:ind w:right="580" w:firstLine="639"/>
        <w:spacing w:after="0" w:line="411" w:lineRule="auto"/>
        <w:rPr>
          <w:sz w:val="20"/>
          <w:szCs w:val="20"/>
          <w:color w:val="auto"/>
        </w:rPr>
      </w:pPr>
      <w:r>
        <w:rPr>
          <w:rFonts w:ascii="Arial" w:cs="Arial" w:eastAsia="Arial" w:hAnsi="Arial"/>
          <w:sz w:val="14"/>
          <w:szCs w:val="14"/>
          <w:color w:val="auto"/>
        </w:rPr>
        <w:t>Any shares of Series I Preferred Stock that we redeem will, after such redemption, have the status of authorized but unissued preferred stock, without designation as to class or series until such shares are once more designated as part of a particular class or series by our board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 of Series I Preferred Stock are not convertible into, or exchangeable for, any of our other property or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5" w:lineRule="exact"/>
        <w:rPr>
          <w:sz w:val="20"/>
          <w:szCs w:val="20"/>
          <w:color w:val="auto"/>
        </w:rPr>
      </w:pPr>
    </w:p>
    <w:p>
      <w:pPr>
        <w:ind w:right="20" w:firstLine="639"/>
        <w:spacing w:after="0" w:line="290" w:lineRule="auto"/>
        <w:rPr>
          <w:sz w:val="20"/>
          <w:szCs w:val="20"/>
          <w:color w:val="auto"/>
        </w:rPr>
      </w:pPr>
      <w:r>
        <w:rPr>
          <w:rFonts w:ascii="Arial" w:cs="Arial" w:eastAsia="Arial" w:hAnsi="Arial"/>
          <w:sz w:val="16"/>
          <w:szCs w:val="16"/>
          <w:color w:val="auto"/>
        </w:rPr>
        <w:t>Holders of Series I Preferred Stock do not have any voting rights, except as described below. Whenever dividends on any shares of Series I Preferred Stock are in arrears for six or more quarterly periods, whether or not such quarterly periods are consecutive, the number of directors then constituting the board will increase by two (if not already increased by reason of a similar arrearage with respect to any parity voting preferred stock) and the holders of Series I Preferred Stock (voting together as a single class with all other classes or series of our capital stock ranking on a parity with the Series I Preferred Stock as to the payment of dividends and the distribution of assets upon our voluntary or involuntary liquidation dissolution or winding up</w:t>
      </w:r>
    </w:p>
    <w:p>
      <w:pPr>
        <w:sectPr>
          <w:pgSz w:w="11900" w:h="16838" w:orient="portrait"/>
          <w:cols w:equalWidth="0" w:num="1">
            <w:col w:w="11240"/>
          </w:cols>
          <w:pgMar w:left="320" w:top="1099" w:right="339" w:bottom="1440" w:gutter="0" w:footer="0" w:header="0"/>
        </w:sectPr>
      </w:pPr>
    </w:p>
    <w:bookmarkStart w:id="152" w:name="page153"/>
    <w:bookmarkEnd w:id="152"/>
    <w:p>
      <w:pPr>
        <w:ind w:right="140"/>
        <w:spacing w:after="0" w:line="283" w:lineRule="auto"/>
        <w:rPr>
          <w:sz w:val="20"/>
          <w:szCs w:val="20"/>
          <w:color w:val="auto"/>
        </w:rPr>
      </w:pPr>
      <w:r>
        <w:rPr>
          <w:rFonts w:ascii="Arial" w:cs="Arial" w:eastAsia="Arial" w:hAnsi="Arial"/>
          <w:sz w:val="16"/>
          <w:szCs w:val="16"/>
          <w:color w:val="auto"/>
        </w:rPr>
        <w:t>upon which like voting rights have been conferred and are exercisable) will be entitled to vote for the election of two additional directors who will each be elected for a one-year term. Such election will be held at a special meeting of the stockholders or, in certain circumstances, at the next annual meeting of stockholders and at each subsequent annual meeting until all arrearages and the dividends on the Series I Preferred Stock and such other series of preferred stock upon which like voting rights have been conferred and are exercisable for the then current dividend period have been fully paid or have been declared and a sum sufficient for the full payment thereof has been set aside. Vacancies for directors elected by holders of Series I Preferred Stock and any other such series of preferred stock will be filled by the remaining director so elected then in office or, if there is no such remaining director, by vote of holders of a majority of the outstanding shares of Series I Preferred Stock, when they are entitled to the voting rights described above, and any other such series of preferred stock voting as a single class. A director elected by the holders of Series I Preferred Stock and any other such series of preferred stock may be removed with or without cause and only by vote of holders of a majority of the outstanding shares of Series I Preferred Stock, when they are entitled to the voting rights described above, and any other such series of preferred stock voting as a single class.</w:t>
      </w:r>
    </w:p>
    <w:p>
      <w:pPr>
        <w:spacing w:after="0" w:line="173" w:lineRule="exact"/>
        <w:rPr>
          <w:sz w:val="20"/>
          <w:szCs w:val="20"/>
          <w:color w:val="auto"/>
        </w:rPr>
      </w:pPr>
    </w:p>
    <w:p>
      <w:pPr>
        <w:ind w:firstLine="639"/>
        <w:spacing w:after="0" w:line="280" w:lineRule="auto"/>
        <w:rPr>
          <w:sz w:val="20"/>
          <w:szCs w:val="20"/>
          <w:color w:val="auto"/>
        </w:rPr>
      </w:pPr>
      <w:r>
        <w:rPr>
          <w:rFonts w:ascii="Arial" w:cs="Arial" w:eastAsia="Arial" w:hAnsi="Arial"/>
          <w:sz w:val="16"/>
          <w:szCs w:val="16"/>
          <w:color w:val="auto"/>
        </w:rPr>
        <w:t>So long as any shares of Series I Preferred Stock remain outstanding, we will not, without the affirmative vote or consent of the holders of at least two-thirds of the shares of Series I Preferred Stock outstanding at the time, given in person or by proxy, either in writing or at a meeting (voting together as a single class with all other classes or series of our capital stock ranking on a parity with the Series I Preferred Stock as to the payment of dividends and the distribution of assets upon our voluntary or involuntary liquidation dissolution or winding up upon which like voting rights have been conferred and are exercisable), (i) authorize, create or issue, or increase the authorized or issued amount of, any class or series of our capital stock ranking senior to the Series I Preferred Stock with respect to the payment of dividends or the distribution of assets upon our liquidation, dissolution or winding up, or reclassify any authorized shares of our capital stock into any such class or series of our capital stock, or create, authorize or issue any obligation or security convertible or exchangeable into or evidencing the right to purchase any such class or series of our capital stock; or (ii) amend, alter or repeal the provisions of our charter (including the articles supplementary relating to the Series I Preferred Stock), whether by merger or consolidation or otherwise (an "Event"), so as to materially and adversely affect any right, preference, privilege or voting power of such Series I Preferred Stock or the holders thereof; provided, however, with respect to the occurrence of any of the Events set forth in (ii) above, so long as shares of Series I Preferred Stock remain outstanding or are converted into like securities of the surviving or resulting entity, in each case with like preference, privilege or voting power and terms thereof materially unchanged, taking into account that upon the occurrence of an Event, we may not be the surviving entity and such surviving entity may be a non-corporate entity, the occurrence of any such Event will not be deemed to materially adversely affect such rights, preferences, privileges or voting powers of holders of Series I Preferred Stock; and provided further that (x) any increase in the amount of the authorized preferred stock or the creation or issuance of any other series of preferred stock, or (y) the creation, issuance or increase in the amount of authorized shares of any other class or series of our capital stock, or (z) any increase in the amount of authorized shares of Series I Preferred Stock, in each case ranking on a parity with or junior to the Series I Preferred Stock with respect to payment of dividends and the distribution of assets upon our voluntary or involuntary liquidation, dissolution or winding up, will not be deemed to materially and adversely affect such rights, preferences, privileges or voting powers. Notwithstanding the foregoing, holders of any parity preferred stock are not entitled to vote together as a class with the holders of Series I Preferred Stock on any amendment, alteration or repeal of our charter if holders of Series I Preferred Stock are affected unequally by such amendment.</w:t>
      </w:r>
    </w:p>
    <w:p>
      <w:pPr>
        <w:spacing w:after="0" w:line="178" w:lineRule="exact"/>
        <w:rPr>
          <w:sz w:val="20"/>
          <w:szCs w:val="20"/>
          <w:color w:val="auto"/>
        </w:rPr>
      </w:pPr>
    </w:p>
    <w:p>
      <w:pPr>
        <w:ind w:right="40" w:firstLine="639"/>
        <w:spacing w:after="0" w:line="251" w:lineRule="auto"/>
        <w:rPr>
          <w:sz w:val="20"/>
          <w:szCs w:val="20"/>
          <w:color w:val="auto"/>
        </w:rPr>
      </w:pPr>
      <w:r>
        <w:rPr>
          <w:rFonts w:ascii="Arial" w:cs="Arial" w:eastAsia="Arial" w:hAnsi="Arial"/>
          <w:sz w:val="18"/>
          <w:szCs w:val="18"/>
          <w:color w:val="auto"/>
        </w:rPr>
        <w:t>Holders of shares of Series I Preferred Stock are not entitled to vote with respect to any increase in total number of authorized shares of our common stock or preferred stock, any increase in the amount of the authorized Series I Preferred Stock or the creation or issuance of any other class or series of capital stock, or any increase in the number of authorized shares of Series I Preferred Stock or any other class or series of capital stock, in each case ranking on a parity with or junior to the Series I Preferred Stock with respect to the payment of dividends and the distribution of assets upon liquidation, dissolution or winding up.</w:t>
      </w:r>
    </w:p>
    <w:p>
      <w:pPr>
        <w:spacing w:after="0" w:line="196" w:lineRule="exact"/>
        <w:rPr>
          <w:sz w:val="20"/>
          <w:szCs w:val="20"/>
          <w:color w:val="auto"/>
        </w:rPr>
      </w:pPr>
    </w:p>
    <w:p>
      <w:pPr>
        <w:ind w:firstLine="639"/>
        <w:spacing w:after="0" w:line="250" w:lineRule="auto"/>
        <w:rPr>
          <w:sz w:val="20"/>
          <w:szCs w:val="20"/>
          <w:color w:val="auto"/>
        </w:rPr>
      </w:pPr>
      <w:r>
        <w:rPr>
          <w:rFonts w:ascii="Arial" w:cs="Arial" w:eastAsia="Arial" w:hAnsi="Arial"/>
          <w:sz w:val="18"/>
          <w:szCs w:val="18"/>
          <w:color w:val="auto"/>
        </w:rPr>
        <w:t>In addition, the holders of such Series I Preferred Stock do not have any voting rights with respect to, and the consent of the holders of Series I Preferred Stock is not required for, the taking of any corporate action, including any merger or consolidation involving us or a sale of all or substantially all of our assets, regardless of the effect that such merger, consolidation or sale may have upon the powers, preferences, voting power or other rights or privileges of the Series I Preferred Stock, except as set forth in part (ii) of the second preceding paragraph. Except as expressly set forth in the articles supplementary relating to the Series I Preferred Stock, the Series I Preferred Stock does not have any relative, participatory, optional or other special voting rights and powers.</w:t>
      </w:r>
    </w:p>
    <w:p>
      <w:pPr>
        <w:spacing w:after="0" w:line="197" w:lineRule="exact"/>
        <w:rPr>
          <w:sz w:val="20"/>
          <w:szCs w:val="20"/>
          <w:color w:val="auto"/>
        </w:rPr>
      </w:pPr>
    </w:p>
    <w:p>
      <w:pPr>
        <w:ind w:firstLine="639"/>
        <w:spacing w:after="0" w:line="256" w:lineRule="auto"/>
        <w:rPr>
          <w:sz w:val="20"/>
          <w:szCs w:val="20"/>
          <w:color w:val="auto"/>
        </w:rPr>
      </w:pPr>
      <w:r>
        <w:rPr>
          <w:rFonts w:ascii="Arial" w:cs="Arial" w:eastAsia="Arial" w:hAnsi="Arial"/>
          <w:sz w:val="18"/>
          <w:szCs w:val="18"/>
          <w:color w:val="auto"/>
        </w:rPr>
        <w:t>The foregoing voting provisions do not apply if, at or prior to the time when the act with respect to which such vote would otherwise be required will be effected, all outstanding shares of Series I Preferred Stock have been redeemed or called for redemption and sufficient funds shall have been deposited in trust to effect such redemption.</w:t>
      </w:r>
    </w:p>
    <w:p>
      <w:pPr>
        <w:sectPr>
          <w:pgSz w:w="11900" w:h="16838" w:orient="portrait"/>
          <w:cols w:equalWidth="0" w:num="1">
            <w:col w:w="11240"/>
          </w:cols>
          <w:pgMar w:left="320" w:top="1099" w:right="339" w:bottom="1440" w:gutter="0" w:footer="0" w:header="0"/>
        </w:sectPr>
      </w:pPr>
    </w:p>
    <w:bookmarkStart w:id="153" w:name="page154"/>
    <w:bookmarkEnd w:id="153"/>
    <w:p>
      <w:pPr>
        <w:ind w:right="100" w:firstLine="639"/>
        <w:spacing w:after="0" w:line="253" w:lineRule="auto"/>
        <w:rPr>
          <w:sz w:val="20"/>
          <w:szCs w:val="20"/>
          <w:color w:val="auto"/>
        </w:rPr>
      </w:pPr>
      <w:r>
        <w:rPr>
          <w:rFonts w:ascii="Arial" w:cs="Arial" w:eastAsia="Arial" w:hAnsi="Arial"/>
          <w:sz w:val="18"/>
          <w:szCs w:val="18"/>
          <w:color w:val="auto"/>
        </w:rPr>
        <w:t>In any matter in which the Series I Preferred Stock may vote (as expressly provided in the articles supplementary relating to the Series I Preferred Stock), each share of the Series I Preferred Stock is entitled to one vote, except that when any other class or series of our preferred stock has the right to vote with the Series I Preferred Stock as a single class on any matter, the Series I Preferred Stock and such other class or series will have with respect to such matters one vote per each $25.00 of stated liquidation preference.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Rights</w:t>
      </w:r>
    </w:p>
    <w:p>
      <w:pPr>
        <w:spacing w:after="0" w:line="225" w:lineRule="exact"/>
        <w:rPr>
          <w:sz w:val="20"/>
          <w:szCs w:val="20"/>
          <w:color w:val="auto"/>
        </w:rPr>
      </w:pPr>
    </w:p>
    <w:p>
      <w:pPr>
        <w:ind w:firstLine="639"/>
        <w:spacing w:after="0" w:line="280" w:lineRule="auto"/>
        <w:rPr>
          <w:sz w:val="20"/>
          <w:szCs w:val="20"/>
          <w:color w:val="auto"/>
        </w:rPr>
      </w:pPr>
      <w:r>
        <w:rPr>
          <w:rFonts w:ascii="Arial" w:cs="Arial" w:eastAsia="Arial" w:hAnsi="Arial"/>
          <w:sz w:val="16"/>
          <w:szCs w:val="16"/>
          <w:color w:val="auto"/>
        </w:rPr>
        <w:t>During any period in which we are not subject to the reporting requirements of Section 13 or 15(d) of the Exchange Act and any Series I Preferred Stock is outstanding, we will (a) transmit by mail or other permissible means under the Exchange Act to all holders of Series I Preferred Stock as their names and addresses appear in our record books and without cost to such holders, copies of reports that are substantially similar to the Annual Reports on Form 10-K and Quarterly Reports on Form 10-Q that we would have been required to file with the SEC pursuant to Section 13 or 15(d) of the Exchange Act if we were subject thereto (other than any exhibits that would have been required) and (b) within 15 days following written request, supply copies of such reports to any prospective holder of the Series I Preferred Stock. We will mail (or otherwise provide) the reports to the holders of Series I Preferred Stock within</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15 days after the respective dates by which we would have been required to file such reports with the SEC if we were subject to Section 13 or 15(d) of the Exchange Act, based on the dates on which we would be required to file such periodic reports if we were a "non-accelerated filer" within the meaning of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25" w:lineRule="exact"/>
        <w:rPr>
          <w:sz w:val="20"/>
          <w:szCs w:val="20"/>
          <w:color w:val="auto"/>
        </w:rPr>
      </w:pPr>
    </w:p>
    <w:p>
      <w:pPr>
        <w:ind w:right="40" w:firstLine="639"/>
        <w:spacing w:after="0" w:line="285" w:lineRule="auto"/>
        <w:rPr>
          <w:sz w:val="20"/>
          <w:szCs w:val="20"/>
          <w:color w:val="auto"/>
        </w:rPr>
      </w:pPr>
      <w:r>
        <w:rPr>
          <w:rFonts w:ascii="Arial" w:cs="Arial" w:eastAsia="Arial" w:hAnsi="Arial"/>
          <w:sz w:val="16"/>
          <w:szCs w:val="16"/>
          <w:color w:val="auto"/>
        </w:rPr>
        <w:t>For us to qualify as a REIT under the Code, not more than 50% in value of our outstanding capital stock may be owned, directly or indirectly, by five or fewer individuals, according to the definition in the Code, during the last half of a taxable year and our capital stock must be beneficially owned by 100 or more persons during at least 335 days of a taxable year of 12 months or during a proportionate part of a shorter taxable year. To satisfy the above ownership requirements and other requirements for qualification as a REIT, our charter contains certain provisions restricting the ownership or acquisition of shares of our capital stock. In addition, further restrictions were adopted prior to the issuance of the Series I Preferred Stock. The articles supplementary classifying the Series I Preferred Stock provide that no holder of Series I Preferred Stock may own, or be deemed to own by virtue of the attribution provisions of the Code, nor may any person or entity acquire shares of our Series I Preferred Stock such that he or it would own in excess of 20% (in value or in number of shares, whichever is more restrictive) of the aggregate of the outstanding shares of Series I Preferred Stock.</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restrictions will not preclude settlement of transactions through the NYSE.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the preferred stock is Computershare Shareowner Services LLC.</w:t>
      </w:r>
    </w:p>
    <w:p>
      <w:pPr>
        <w:sectPr>
          <w:pgSz w:w="11900" w:h="16838" w:orient="portrait"/>
          <w:cols w:equalWidth="0" w:num="1">
            <w:col w:w="11240"/>
          </w:cols>
          <w:pgMar w:left="320" w:top="1099"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ind w:left="1560"/>
              <w:spacing w:after="0"/>
              <w:rPr>
                <w:sz w:val="20"/>
                <w:szCs w:val="20"/>
                <w:color w:val="auto"/>
              </w:rPr>
            </w:pPr>
            <w:r>
              <w:rPr>
                <w:rFonts w:ascii="Arial" w:cs="Arial" w:eastAsia="Arial" w:hAnsi="Arial"/>
                <w:sz w:val="18"/>
                <w:szCs w:val="18"/>
                <w:b w:val="1"/>
                <w:bCs w:val="1"/>
                <w:color w:val="auto"/>
                <w:w w:val="89"/>
              </w:rPr>
              <w:t>Exhibit 21.1</w:t>
            </w:r>
          </w:p>
        </w:tc>
      </w:tr>
      <w:tr>
        <w:trPr>
          <w:trHeight w:val="453"/>
        </w:trPr>
        <w:tc>
          <w:tcPr>
            <w:tcW w:w="8760" w:type="dxa"/>
            <w:vAlign w:val="bottom"/>
            <w:gridSpan w:val="2"/>
          </w:tcPr>
          <w:p>
            <w:pPr>
              <w:ind w:left="3720"/>
              <w:spacing w:after="0"/>
              <w:rPr>
                <w:sz w:val="20"/>
                <w:szCs w:val="20"/>
                <w:color w:val="auto"/>
              </w:rPr>
            </w:pPr>
            <w:r>
              <w:rPr>
                <w:rFonts w:ascii="Arial" w:cs="Arial" w:eastAsia="Arial" w:hAnsi="Arial"/>
                <w:sz w:val="18"/>
                <w:szCs w:val="18"/>
                <w:b w:val="1"/>
                <w:bCs w:val="1"/>
                <w:color w:val="auto"/>
              </w:rPr>
              <w:t>SUBSIDIARIES OF SL GREEN REALTY CORP.</w:t>
            </w:r>
          </w:p>
        </w:tc>
        <w:tc>
          <w:tcPr>
            <w:tcW w:w="2480" w:type="dxa"/>
            <w:vAlign w:val="bottom"/>
          </w:tcPr>
          <w:p>
            <w:pPr>
              <w:spacing w:after="0"/>
              <w:rPr>
                <w:sz w:val="24"/>
                <w:szCs w:val="24"/>
                <w:color w:val="auto"/>
              </w:rPr>
            </w:pPr>
          </w:p>
        </w:tc>
      </w:tr>
      <w:tr>
        <w:trPr>
          <w:trHeight w:val="493"/>
        </w:trPr>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 Madison Office Fee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 E 53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10E53 Partner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100 Church Fee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 Church Retail I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100 Church Retail II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100C Investors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107-30 Rockaway Blvd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1080 Amsterdam Green A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1080 Amsterdam Green B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1080 Amsterdam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11 MADISON AVENUE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 Madison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11 Madison Investor II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 Madison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110 Greene Fee Owner LP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11W34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11 West 34th Street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115 Spring Purchaser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121 GREENE RETAIL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125 Park Owner LLC (f/k/a SLG 125 Park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126 Nassau Green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4"/>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126 Nassau Holding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126 Nassau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4"/>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126 Nassau New Sublessee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126 Nassau Sublessee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183 BROADWAY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187 Broadway Air Rights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1350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1515 Broadway GP,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1515 Broadway Owner LP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1515 Promote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1515 SLG Optionee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1515 SLG Private REIT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1552 Broadway Retail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1601 Broadway Holding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1601 Broadway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1601 Broadway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19E65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21E66 LT Investor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21E66 MM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21E66 MM TRS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 East 66th Street Commercial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220 News Asset Management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245 Park Avenue Property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80" w:right="33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tcPr>
          <w:p>
            <w:pPr>
              <w:ind w:left="352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Pr>
          <w:p>
            <w:pPr>
              <w:spacing w:after="0"/>
              <w:rPr>
                <w:sz w:val="20"/>
                <w:szCs w:val="20"/>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320" w:type="dxa"/>
            <w:vAlign w:val="bottom"/>
          </w:tcPr>
          <w:p>
            <w:pPr>
              <w:ind w:left="20"/>
              <w:spacing w:after="0"/>
              <w:rPr>
                <w:sz w:val="20"/>
                <w:szCs w:val="20"/>
                <w:color w:val="auto"/>
              </w:rPr>
            </w:pPr>
            <w:r>
              <w:rPr>
                <w:rFonts w:ascii="Arial" w:cs="Arial" w:eastAsia="Arial" w:hAnsi="Arial"/>
                <w:sz w:val="18"/>
                <w:szCs w:val="18"/>
                <w:color w:val="auto"/>
                <w:w w:val="93"/>
              </w:rPr>
              <w:t>245</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Park Holding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245 Park Manager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245 Park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245 Park Member Sub A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33/34 West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36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304 PAS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315 W 36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360 Asset Manager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360</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320" w:type="dxa"/>
            <w:vAlign w:val="bottom"/>
          </w:tcPr>
          <w:p>
            <w:pPr>
              <w:ind w:left="20"/>
              <w:spacing w:after="0"/>
              <w:rPr>
                <w:sz w:val="20"/>
                <w:szCs w:val="20"/>
                <w:color w:val="auto"/>
              </w:rPr>
            </w:pPr>
            <w:r>
              <w:rPr>
                <w:rFonts w:ascii="Arial" w:cs="Arial" w:eastAsia="Arial" w:hAnsi="Arial"/>
                <w:sz w:val="18"/>
                <w:szCs w:val="18"/>
                <w:color w:val="auto"/>
                <w:w w:val="93"/>
              </w:rPr>
              <w:t>360</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Manager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450 Park Asset Management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450 GP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450 Park Fee Owner LP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461 FIFTH HOLDING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461 FIFTH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461 FIFTH INVESTOR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 TS Investor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540W21 Asset Management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540W21 Funding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50 East 72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609</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 Unit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320" w:type="dxa"/>
            <w:vAlign w:val="bottom"/>
          </w:tcPr>
          <w:p>
            <w:pPr>
              <w:ind w:left="20"/>
              <w:spacing w:after="0"/>
              <w:rPr>
                <w:sz w:val="20"/>
                <w:szCs w:val="20"/>
                <w:color w:val="auto"/>
              </w:rPr>
            </w:pPr>
            <w:r>
              <w:rPr>
                <w:rFonts w:ascii="Arial" w:cs="Arial" w:eastAsia="Arial" w:hAnsi="Arial"/>
                <w:sz w:val="18"/>
                <w:szCs w:val="18"/>
                <w:color w:val="auto"/>
                <w:w w:val="93"/>
              </w:rPr>
              <w:t>650</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Fifth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690 Madison Holding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690 Madison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707</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 Manager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320" w:type="dxa"/>
            <w:vAlign w:val="bottom"/>
          </w:tcPr>
          <w:p>
            <w:pPr>
              <w:ind w:left="20"/>
              <w:spacing w:after="0"/>
              <w:rPr>
                <w:sz w:val="20"/>
                <w:szCs w:val="20"/>
                <w:color w:val="auto"/>
              </w:rPr>
            </w:pPr>
            <w:r>
              <w:rPr>
                <w:rFonts w:ascii="Arial" w:cs="Arial" w:eastAsia="Arial" w:hAnsi="Arial"/>
                <w:sz w:val="18"/>
                <w:szCs w:val="18"/>
                <w:color w:val="auto"/>
                <w:w w:val="93"/>
              </w:rPr>
              <w:t>707</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11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711 Mortgage Manager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719 Seventh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719 Seventh TIC 1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719 Seventh TIC 2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747</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Madison Retail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750 Third Owner LLC (f/k/a GREEN 750 THIRD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752 Development Fee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760 Res Member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760 Retail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85 Fifth Avenue Retail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85 FIFTH GREEN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762 Madison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800</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Avenue Associates,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885 Third Lot A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885</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3rd Avenue Fee- Leasehold JV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6"/>
        </w:trPr>
        <w:tc>
          <w:tcPr>
            <w:tcW w:w="320" w:type="dxa"/>
            <w:vAlign w:val="bottom"/>
          </w:tcPr>
          <w:p>
            <w:pPr>
              <w:ind w:left="20"/>
              <w:spacing w:after="0"/>
              <w:rPr>
                <w:sz w:val="20"/>
                <w:szCs w:val="20"/>
                <w:color w:val="auto"/>
              </w:rPr>
            </w:pPr>
            <w:r>
              <w:rPr>
                <w:rFonts w:ascii="Arial" w:cs="Arial" w:eastAsia="Arial" w:hAnsi="Arial"/>
                <w:sz w:val="18"/>
                <w:szCs w:val="18"/>
                <w:color w:val="auto"/>
                <w:w w:val="93"/>
              </w:rPr>
              <w:t>885</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3rd Avenue Master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885</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3rd Avenue Realty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320" w:type="dxa"/>
            <w:vAlign w:val="bottom"/>
          </w:tcPr>
          <w:p>
            <w:pPr>
              <w:ind w:left="20"/>
              <w:spacing w:after="0"/>
              <w:rPr>
                <w:sz w:val="20"/>
                <w:szCs w:val="20"/>
                <w:color w:val="auto"/>
              </w:rPr>
            </w:pPr>
            <w:r>
              <w:rPr>
                <w:rFonts w:ascii="Arial" w:cs="Arial" w:eastAsia="Arial" w:hAnsi="Arial"/>
                <w:sz w:val="18"/>
                <w:szCs w:val="18"/>
                <w:color w:val="auto"/>
                <w:w w:val="93"/>
              </w:rPr>
              <w:t>885</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3rd Avenue Realty Owner A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919 Ground Lease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919 Ground Lease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919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920" w:right="33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Pr>
          <w:p>
            <w:pPr>
              <w:spacing w:after="0"/>
              <w:rPr>
                <w:sz w:val="20"/>
                <w:szCs w:val="20"/>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985 Third Development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Concept Space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eEMERGE, Inc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 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Galleria City GP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Galleria City LP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121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141 Fifth Participation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155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1552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1604 Investment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461 Fifth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 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485 Mezz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485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625 Mezz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650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711 LM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724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747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800 Third Interest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800 Third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BROADWAY/34 INVESTMENT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Loan Services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W. 57TH ST.,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Herald Square Acquisition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Herald Square GP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Herald Square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Hospitality TRS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Landmark Square 1-6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Landmark Square 1-6 Mezz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MEADOW RT FUNDING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METROPOLITAN PARTNERS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METROPOLITAN 919 3RD AVENUE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OMA Developer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4"/>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OMA Investment GP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OMA Promote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 Vanderbilt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One Vanderbilt PI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OVA Cafe Mezz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OVA Developer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OVA REIT Manager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OVA Restaurant Mezz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OVA Sushi Mezz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Reckson Mezzanine Corp.</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RECKSON OPERATING PARTNERSHIP, L.P.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RXR 5TS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 Green Management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 Green 100 Park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 Green Funding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bl>
    <w:p>
      <w:pPr>
        <w:sectPr>
          <w:pgSz w:w="11900" w:h="16838" w:orient="portrait"/>
          <w:cols w:equalWidth="0" w:num="1">
            <w:col w:w="11240"/>
          </w:cols>
          <w:pgMar w:left="320" w:top="920" w:right="3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Pr>
          <w:p>
            <w:pPr>
              <w:spacing w:after="0"/>
              <w:rPr>
                <w:sz w:val="20"/>
                <w:szCs w:val="20"/>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 Green Investor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 Green Management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 Green Operating Partnership, L.P.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 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 Green Realty Acquisition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 Green Servicing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100 Park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101 INVESTOR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125 Park Mezz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1185 Sixth A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1515 Broadway Finance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220 NEWS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220 News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609 Fifth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625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711 Fee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711 Third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711 Third Sublandlord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717 FIFTH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810 Seventh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885 Third Manager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Asset Management Fee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 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Elevator Holdings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Funding REIT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Gramercy Services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Graybar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Graybar Mesne Lease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Graybar Mesne Lease 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Graybar Mesne Lease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Graybar New Ground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Graybar New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Graybar Sublease Corp</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Graybar Sublease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IRP Realty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LeaseCo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Lightpath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MADISON INVESTMENT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One Park Shareholder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One Park Shareholder II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One Park Shareholder III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OpCo Holdings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OpCo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Park Avenue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Protective TRS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 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RSVP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SHP Holding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 West 33-34 Hotel Parcel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Structured Finance TRS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Summit Manager Mezzanine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920"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Pr>
          <w:p>
            <w:pPr>
              <w:spacing w:after="0"/>
              <w:rPr>
                <w:sz w:val="20"/>
                <w:szCs w:val="20"/>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Summit OVA Tenant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Summit Observatory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Studio City EQX Sublessor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WWP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WWP Office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 The purpose of this entity is to engage in debt and preferred equity finance investments through various wholly-owned subsidiaries which are not included on this list.</w:t>
      </w:r>
    </w:p>
    <w:p>
      <w:pPr>
        <w:sectPr>
          <w:pgSz w:w="11900" w:h="16838" w:orient="portrait"/>
          <w:cols w:equalWidth="0" w:num="1">
            <w:col w:w="11240"/>
          </w:cols>
          <w:pgMar w:left="320" w:top="920"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ind w:left="1560"/>
              <w:spacing w:after="0"/>
              <w:rPr>
                <w:sz w:val="20"/>
                <w:szCs w:val="20"/>
                <w:color w:val="auto"/>
              </w:rPr>
            </w:pPr>
            <w:r>
              <w:rPr>
                <w:rFonts w:ascii="Arial" w:cs="Arial" w:eastAsia="Arial" w:hAnsi="Arial"/>
                <w:sz w:val="18"/>
                <w:szCs w:val="18"/>
                <w:b w:val="1"/>
                <w:bCs w:val="1"/>
                <w:color w:val="auto"/>
                <w:w w:val="89"/>
              </w:rPr>
              <w:t>Exhibit 21.2</w:t>
            </w:r>
          </w:p>
        </w:tc>
      </w:tr>
      <w:tr>
        <w:trPr>
          <w:trHeight w:val="453"/>
        </w:trPr>
        <w:tc>
          <w:tcPr>
            <w:tcW w:w="8760" w:type="dxa"/>
            <w:vAlign w:val="bottom"/>
            <w:gridSpan w:val="2"/>
          </w:tcPr>
          <w:p>
            <w:pPr>
              <w:ind w:left="3000"/>
              <w:spacing w:after="0"/>
              <w:rPr>
                <w:sz w:val="20"/>
                <w:szCs w:val="20"/>
                <w:color w:val="auto"/>
              </w:rPr>
            </w:pPr>
            <w:r>
              <w:rPr>
                <w:rFonts w:ascii="Arial" w:cs="Arial" w:eastAsia="Arial" w:hAnsi="Arial"/>
                <w:sz w:val="18"/>
                <w:szCs w:val="18"/>
                <w:b w:val="1"/>
                <w:bCs w:val="1"/>
                <w:color w:val="auto"/>
              </w:rPr>
              <w:t>SUBSIDIARIES OF SL GREEN OPERATING PARTNERSHIP, L.P.</w:t>
            </w:r>
          </w:p>
        </w:tc>
        <w:tc>
          <w:tcPr>
            <w:tcW w:w="2480" w:type="dxa"/>
            <w:vAlign w:val="bottom"/>
          </w:tcPr>
          <w:p>
            <w:pPr>
              <w:spacing w:after="0"/>
              <w:rPr>
                <w:sz w:val="24"/>
                <w:szCs w:val="24"/>
                <w:color w:val="auto"/>
              </w:rPr>
            </w:pPr>
          </w:p>
        </w:tc>
      </w:tr>
      <w:tr>
        <w:trPr>
          <w:trHeight w:val="586"/>
        </w:trPr>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 Madison Office Fee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 E 53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10E53 Partner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100 Church Fee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 Church Retail I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100 Church Retail II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100C Investors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107-30 Rockaway Blvd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1080 Amsterdam Green A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1080 Amsterdam Green B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1080 Amsterdam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11 MADISON AVENUE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 Madison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11 Madison Investor II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 Madison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110 Greene Fee Owner LP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11W34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11 West 34th Street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115 Spring Purchaser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121 GREENE RETAIL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125 Park Owner LLC (f/k/a SLG 125 Park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126 Nassau Green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4"/>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126 Nassau Holding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126 Nassau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4"/>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126 Nassau New Sublessee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126 Nassau Sublessee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183 BROADWAY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187 Broadway Air Rights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1350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1515 Broadway GP,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1515 Broadway Owner LP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1515 Promote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1515 SLG Optionee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1515 SLG Private REIT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1552 Broadway Retail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1601 Broadway Holding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1601 Broadway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1601 Broadway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19E65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21E66 LT Investor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21E66 MM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21E66 MM TRS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80" w:right="3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tcPr>
          <w:p>
            <w:pPr>
              <w:ind w:left="352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21 East 66th Street Commercial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220 News Asset Management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245</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Park Avenue Property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320" w:type="dxa"/>
            <w:vAlign w:val="bottom"/>
          </w:tcPr>
          <w:p>
            <w:pPr>
              <w:ind w:left="20"/>
              <w:spacing w:after="0"/>
              <w:rPr>
                <w:sz w:val="20"/>
                <w:szCs w:val="20"/>
                <w:color w:val="auto"/>
              </w:rPr>
            </w:pPr>
            <w:r>
              <w:rPr>
                <w:rFonts w:ascii="Arial" w:cs="Arial" w:eastAsia="Arial" w:hAnsi="Arial"/>
                <w:sz w:val="18"/>
                <w:szCs w:val="18"/>
                <w:color w:val="auto"/>
                <w:w w:val="93"/>
              </w:rPr>
              <w:t>245</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Park Holding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245 Park Manager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245 Park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245 Park Member Sub A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33/34 West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36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304 PAS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315 W 36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360 Asset Manager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360</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320" w:type="dxa"/>
            <w:vAlign w:val="bottom"/>
          </w:tcPr>
          <w:p>
            <w:pPr>
              <w:ind w:left="20"/>
              <w:spacing w:after="0"/>
              <w:rPr>
                <w:sz w:val="20"/>
                <w:szCs w:val="20"/>
                <w:color w:val="auto"/>
              </w:rPr>
            </w:pPr>
            <w:r>
              <w:rPr>
                <w:rFonts w:ascii="Arial" w:cs="Arial" w:eastAsia="Arial" w:hAnsi="Arial"/>
                <w:sz w:val="18"/>
                <w:szCs w:val="18"/>
                <w:color w:val="auto"/>
                <w:w w:val="93"/>
              </w:rPr>
              <w:t>360</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Manager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450 Park Asset Management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450 GP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450 Park Fee Owner LP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461 FIFTH HOLDING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461 FIFTH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461 FIFTH INVESTOR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 TS Investor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540W21 Asset Management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540W21 Funding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50 East 72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609</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 Unit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320" w:type="dxa"/>
            <w:vAlign w:val="bottom"/>
          </w:tcPr>
          <w:p>
            <w:pPr>
              <w:ind w:left="20"/>
              <w:spacing w:after="0"/>
              <w:rPr>
                <w:sz w:val="20"/>
                <w:szCs w:val="20"/>
                <w:color w:val="auto"/>
              </w:rPr>
            </w:pPr>
            <w:r>
              <w:rPr>
                <w:rFonts w:ascii="Arial" w:cs="Arial" w:eastAsia="Arial" w:hAnsi="Arial"/>
                <w:sz w:val="18"/>
                <w:szCs w:val="18"/>
                <w:color w:val="auto"/>
                <w:w w:val="93"/>
              </w:rPr>
              <w:t>650</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Fifth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690 Madison Holding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690 Madison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707</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 Manager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320" w:type="dxa"/>
            <w:vAlign w:val="bottom"/>
          </w:tcPr>
          <w:p>
            <w:pPr>
              <w:ind w:left="20"/>
              <w:spacing w:after="0"/>
              <w:rPr>
                <w:sz w:val="20"/>
                <w:szCs w:val="20"/>
                <w:color w:val="auto"/>
              </w:rPr>
            </w:pPr>
            <w:r>
              <w:rPr>
                <w:rFonts w:ascii="Arial" w:cs="Arial" w:eastAsia="Arial" w:hAnsi="Arial"/>
                <w:sz w:val="18"/>
                <w:szCs w:val="18"/>
                <w:color w:val="auto"/>
                <w:w w:val="93"/>
              </w:rPr>
              <w:t>707</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11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711 Mortgage Manager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719 Seventh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719 Seventh TIC 1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719 Seventh TIC 2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747</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Madison Retail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750 Third Owner LLC (f/k/a GREEN 750 THIRD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752 Development Fee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760 Res Member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760 Retail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85 Fifth Avenue Retail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85 FIFTH GREEN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762 Madison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800</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Avenue Associates,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885 Third Lot A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885</w:t>
            </w: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3rd Avenue Fee- Leasehold JV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5"/>
        </w:trPr>
        <w:tc>
          <w:tcPr>
            <w:tcW w:w="320" w:type="dxa"/>
            <w:vAlign w:val="bottom"/>
          </w:tcPr>
          <w:p>
            <w:pPr>
              <w:ind w:left="20"/>
              <w:spacing w:after="0"/>
              <w:rPr>
                <w:sz w:val="20"/>
                <w:szCs w:val="20"/>
                <w:color w:val="auto"/>
              </w:rPr>
            </w:pPr>
            <w:r>
              <w:rPr>
                <w:rFonts w:ascii="Arial" w:cs="Arial" w:eastAsia="Arial" w:hAnsi="Arial"/>
                <w:sz w:val="18"/>
                <w:szCs w:val="18"/>
                <w:color w:val="auto"/>
                <w:w w:val="93"/>
              </w:rPr>
              <w:t>885</w:t>
            </w:r>
          </w:p>
        </w:tc>
        <w:tc>
          <w:tcPr>
            <w:tcW w:w="8440" w:type="dxa"/>
            <w:vAlign w:val="bottom"/>
            <w:gridSpan w:val="2"/>
          </w:tcPr>
          <w:p>
            <w:pPr>
              <w:ind w:left="20"/>
              <w:spacing w:after="0"/>
              <w:rPr>
                <w:sz w:val="20"/>
                <w:szCs w:val="20"/>
                <w:color w:val="auto"/>
              </w:rPr>
            </w:pPr>
            <w:r>
              <w:rPr>
                <w:rFonts w:ascii="Arial" w:cs="Arial" w:eastAsia="Arial" w:hAnsi="Arial"/>
                <w:sz w:val="18"/>
                <w:szCs w:val="18"/>
                <w:color w:val="auto"/>
              </w:rPr>
              <w:t>3rd Avenue Master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013" w:right="33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885 3rd Avenue Realty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885 3rd Avenue Realty Owner A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919 Ground Lease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919 Ground Lease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919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985 Third Development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Concept Space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eEMERGE, Inc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 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Galleria City GP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Galleria City LP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121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141 Fifth Participation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155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1552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1604 Investment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461 Fifth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 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485 Mezz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485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625 Mezz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650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711 LM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724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747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800 Third Interest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800 Third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BROADWAY/34 INVESTMENT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Loan Services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GREEN W. 57TH ST.,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Herald Square Acquisition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Herald Square GP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Herald Square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Hospitality TRS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Landmark Square 1-6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Landmark Square 1-6 Mezz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MEADOW RT FUNDING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METROPOLITAN PARTNERS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METROPOLITAN 919 3RD AVENUE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OMA Developer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4"/>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OMA Investment GP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5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OMA Promote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 Vanderbilt Owner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One Vanderbilt PI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OVA Cafe Mezz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OVA Developer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OVA REIT Manager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OVA Restaurant Mezz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013" w:right="33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OVA Sushi Mezz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Reckson Mezzanine Corp.</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RECKSON OPERATING PARTNERSHIP, L.P.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RXR 5TS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 Green Management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 Green 100 Park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 Green Funding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 Green Investor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 Green Management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 Green Realty Acquisition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 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 Green Servicing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100 Park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101 INVESTOR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125 Park Mezz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1185 Sixth A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1515 Broadway Finance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220 NEWS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220 News Owner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 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609 Fifth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625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711 Fee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711 Third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711 Third Sublandlord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717 FIFTH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810 Seventh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885 Third Manager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Asset Management Fee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Elevator Holdings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Funding REIT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Gramercy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Graybar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Graybar Mesne Lease Corp</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Graybar Mesne Lease I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Graybar Mesne Lease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Graybar New Ground Lessee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Graybar New Lessee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Graybar Sublease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Graybar Sublease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IRP Realty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LeaseCo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Lightpath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MADISON INVESTMENT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One Park Shareholder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One Park Shareholder II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One Park Shareholder III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OpCo Holdings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013" w:right="3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Entity Name</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State of Incorporation</w:t>
            </w:r>
          </w:p>
        </w:tc>
      </w:tr>
      <w:tr>
        <w:trPr>
          <w:trHeight w:val="22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OpCo Member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Park Avenue Investor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Protective TRS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New York</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SLG RSVP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SLG SHP Holding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SP West 33-34 Hotel Parcel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Structured Finance TRS Corp.</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Summit Manager Mezzanine Corp.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Summit OVA Tenant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Summit Observatory Investor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Studio City EQX Sublessor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WWP MEMBER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WWP Office LLC</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 The purpose of this entity is to engage in debt and preferred equity finance investments through various wholly-owned subsidiaries which are not included on this list.</w:t>
      </w:r>
    </w:p>
    <w:p>
      <w:pPr>
        <w:sectPr>
          <w:pgSz w:w="11900" w:h="16838" w:orient="portrait"/>
          <w:cols w:equalWidth="0" w:num="1">
            <w:col w:w="11240"/>
          </w:cols>
          <w:pgMar w:left="320" w:top="1013"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23.1</w:t>
      </w:r>
    </w:p>
    <w:p>
      <w:pPr>
        <w:spacing w:after="0" w:line="21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2" w:lineRule="exact"/>
        <w:rPr>
          <w:sz w:val="20"/>
          <w:szCs w:val="20"/>
          <w:color w:val="auto"/>
        </w:rPr>
      </w:pPr>
    </w:p>
    <w:p>
      <w:pPr>
        <w:ind w:left="880" w:right="160" w:hanging="554"/>
        <w:spacing w:after="0" w:line="219" w:lineRule="exact"/>
        <w:tabs>
          <w:tab w:leader="none" w:pos="7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S-3 Nos. 333-70111, 333-30394, 333</w:t>
      </w:r>
      <w:r>
        <w:rPr>
          <w:rFonts w:ascii="MS PGothic" w:cs="MS PGothic" w:eastAsia="MS PGothic" w:hAnsi="MS PGothic"/>
          <w:sz w:val="18"/>
          <w:szCs w:val="18"/>
          <w:color w:val="auto"/>
        </w:rPr>
        <w:t>‑</w:t>
      </w:r>
      <w:r>
        <w:rPr>
          <w:rFonts w:ascii="Arial" w:cs="Arial" w:eastAsia="Arial" w:hAnsi="Arial"/>
          <w:sz w:val="18"/>
          <w:szCs w:val="18"/>
          <w:color w:val="auto"/>
        </w:rPr>
        <w:t>62434, 333-126058, 333-253652 and 333-261729) of SL Green Realty Corp. and the related Prospectuses;</w:t>
      </w:r>
    </w:p>
    <w:p>
      <w:pPr>
        <w:spacing w:after="0" w:line="96" w:lineRule="exact"/>
        <w:rPr>
          <w:rFonts w:ascii="Arial" w:cs="Arial" w:eastAsia="Arial" w:hAnsi="Arial"/>
          <w:sz w:val="18"/>
          <w:szCs w:val="18"/>
          <w:color w:val="auto"/>
        </w:rPr>
      </w:pPr>
    </w:p>
    <w:p>
      <w:pPr>
        <w:ind w:left="880" w:right="200" w:hanging="554"/>
        <w:spacing w:after="0" w:line="266" w:lineRule="auto"/>
        <w:tabs>
          <w:tab w:leader="none" w:pos="7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S-8 Nos. 333-127014, 333-143721, 333-189362, 333-212108 and 333-265707) pertaining to the Stock Option and Incentive Plans of SL Green Realty Corp., and</w:t>
      </w:r>
    </w:p>
    <w:p>
      <w:pPr>
        <w:spacing w:after="0" w:line="73" w:lineRule="exact"/>
        <w:rPr>
          <w:rFonts w:ascii="Arial" w:cs="Arial" w:eastAsia="Arial" w:hAnsi="Arial"/>
          <w:sz w:val="18"/>
          <w:szCs w:val="18"/>
          <w:color w:val="auto"/>
        </w:rPr>
      </w:pPr>
    </w:p>
    <w:p>
      <w:pPr>
        <w:ind w:left="820" w:hanging="494"/>
        <w:spacing w:after="0"/>
        <w:tabs>
          <w:tab w:leader="none" w:pos="8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Registration Statement (Form S-8 No. 333-148973) pertaining to the 2008 Employee Stock Purchase Plan of SL Green Realty Corp.,</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February 16, 2023, with respect to the consolidated financial statements of SL Green Realty Corp. and the effectiveness of internal control over financial reporting of SL Green Realty Corp., included in this Annual Report (Form 10-K) of SL Green Realty Corp for the year ended December 31,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ectPr>
          <w:pgSz w:w="11900" w:h="16838" w:orient="portrait"/>
          <w:cols w:equalWidth="0" w:num="1">
            <w:col w:w="11240"/>
          </w:cols>
          <w:pgMar w:left="320" w:top="880"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jc w:val="both"/>
        <w:ind w:firstLine="186"/>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 (Form S-3 No. 333-261729) of SL Green Operating Partnership, L.P. and in the related Prospectus of our reports dated February 16, 2023, with respect to the consolidated financial statements of SL Green Operating Partnership, L.P., and the effectiveness of internal control over financial reporting of SL Green Operating Partnership, L.P., included in this Annual Report (Form 10-K) for the year ended December 31, 2022.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ectPr>
          <w:pgSz w:w="11900" w:h="16838" w:orient="portrait"/>
          <w:cols w:equalWidth="0" w:num="1">
            <w:col w:w="11240"/>
          </w:cols>
          <w:pgMar w:left="320" w:top="880"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certify that:</w:t>
      </w:r>
    </w:p>
    <w:p>
      <w:pPr>
        <w:spacing w:after="0" w:line="252" w:lineRule="exact"/>
        <w:rPr>
          <w:sz w:val="20"/>
          <w:szCs w:val="20"/>
          <w:color w:val="auto"/>
        </w:rPr>
      </w:pPr>
    </w:p>
    <w:p>
      <w:pPr>
        <w:ind w:left="640" w:hanging="634"/>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SL Green Realty Corp. (the “registrant”);</w:t>
      </w:r>
    </w:p>
    <w:p>
      <w:pPr>
        <w:spacing w:after="0" w:line="165" w:lineRule="exact"/>
        <w:rPr>
          <w:rFonts w:ascii="Arial" w:cs="Arial" w:eastAsia="Arial" w:hAnsi="Arial"/>
          <w:sz w:val="18"/>
          <w:szCs w:val="18"/>
          <w:color w:val="auto"/>
        </w:rPr>
      </w:pPr>
    </w:p>
    <w:p>
      <w:pPr>
        <w:jc w:val="both"/>
        <w:ind w:left="640" w:hanging="634"/>
        <w:spacing w:after="0" w:line="256"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640" w:hanging="634"/>
        <w:spacing w:after="0" w:line="296"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7"/>
          <w:szCs w:val="17"/>
          <w:color w:val="auto"/>
        </w:rPr>
      </w:pPr>
    </w:p>
    <w:p>
      <w:pPr>
        <w:jc w:val="both"/>
        <w:ind w:left="640" w:hanging="634"/>
        <w:spacing w:after="0" w:line="256"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jc w:val="both"/>
        <w:ind w:left="1280" w:hanging="635"/>
        <w:spacing w:after="0" w:line="256" w:lineRule="auto"/>
        <w:tabs>
          <w:tab w:leader="none" w:pos="1277"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8"/>
          <w:szCs w:val="18"/>
          <w:color w:val="auto"/>
        </w:rPr>
      </w:pPr>
    </w:p>
    <w:p>
      <w:pPr>
        <w:ind w:left="1280" w:hanging="635"/>
        <w:spacing w:after="0" w:line="312" w:lineRule="auto"/>
        <w:tabs>
          <w:tab w:leader="none" w:pos="1277"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5"/>
        <w:spacing w:after="0" w:line="256" w:lineRule="auto"/>
        <w:tabs>
          <w:tab w:leader="none" w:pos="1274"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640" w:hanging="634"/>
        <w:spacing w:after="0" w:line="296"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7"/>
          <w:szCs w:val="17"/>
          <w:color w:val="auto"/>
        </w:rPr>
      </w:pPr>
    </w:p>
    <w:p>
      <w:pPr>
        <w:ind w:left="1280" w:hanging="635"/>
        <w:spacing w:after="0" w:line="268" w:lineRule="auto"/>
        <w:tabs>
          <w:tab w:leader="none" w:pos="1277"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5"/>
        <w:spacing w:after="0" w:line="253" w:lineRule="auto"/>
        <w:tabs>
          <w:tab w:leader="none" w:pos="127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Date: February 16, 2023</w:t>
      </w:r>
    </w:p>
    <w:p>
      <w:pPr>
        <w:spacing w:after="0" w:line="29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28575</wp:posOffset>
            </wp:positionV>
            <wp:extent cx="28232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2">
                      <a:extLst>
                        <a:ext uri="{28A0092B-C50C-407E-A947-70E740481C1C}"/>
                      </a:extLst>
                    </a:blip>
                    <a:srcRect/>
                    <a:stretch>
                      <a:fillRect/>
                    </a:stretch>
                  </pic:blipFill>
                  <pic:spPr bwMode="auto">
                    <a:xfrm>
                      <a:off x="0" y="0"/>
                      <a:ext cx="2823210" cy="8255"/>
                    </a:xfrm>
                    <a:prstGeom prst="rect">
                      <a:avLst/>
                    </a:prstGeom>
                    <a:noFill/>
                  </pic:spPr>
                </pic:pic>
              </a:graphicData>
            </a:graphic>
          </wp:anchor>
        </w:drawing>
      </w:r>
    </w:p>
    <w:p>
      <w:pPr>
        <w:spacing w:after="0" w:line="39" w:lineRule="exact"/>
        <w:rPr>
          <w:sz w:val="20"/>
          <w:szCs w:val="20"/>
          <w:color w:val="auto"/>
        </w:rPr>
      </w:pPr>
    </w:p>
    <w:p>
      <w:pPr>
        <w:ind w:left="1100"/>
        <w:spacing w:after="0"/>
        <w:tabs>
          <w:tab w:leader="none" w:pos="1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33" w:lineRule="exact"/>
        <w:rPr>
          <w:sz w:val="20"/>
          <w:szCs w:val="20"/>
          <w:color w:val="auto"/>
        </w:rPr>
      </w:pPr>
    </w:p>
    <w:p>
      <w:pPr>
        <w:ind w:left="1100"/>
        <w:spacing w:after="0"/>
        <w:tabs>
          <w:tab w:leader="none" w:pos="1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and Chief Executive Officer</w:t>
      </w:r>
    </w:p>
    <w:p>
      <w:pPr>
        <w:sectPr>
          <w:pgSz w:w="11900" w:h="16838" w:orient="portrait"/>
          <w:cols w:equalWidth="0" w:num="1">
            <w:col w:w="11240"/>
          </w:cols>
          <w:pgMar w:left="320" w:top="880"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Matthew J. DiLiberto, certify that:</w:t>
      </w:r>
    </w:p>
    <w:p>
      <w:pPr>
        <w:spacing w:after="0" w:line="225" w:lineRule="exact"/>
        <w:rPr>
          <w:sz w:val="20"/>
          <w:szCs w:val="20"/>
          <w:color w:val="auto"/>
        </w:rPr>
      </w:pPr>
    </w:p>
    <w:p>
      <w:pPr>
        <w:ind w:left="640" w:hanging="634"/>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SL Green Realty Corp. (the “registrant”);</w:t>
      </w:r>
    </w:p>
    <w:p>
      <w:pPr>
        <w:spacing w:after="0" w:line="165" w:lineRule="exact"/>
        <w:rPr>
          <w:rFonts w:ascii="Arial" w:cs="Arial" w:eastAsia="Arial" w:hAnsi="Arial"/>
          <w:sz w:val="18"/>
          <w:szCs w:val="18"/>
          <w:color w:val="auto"/>
        </w:rPr>
      </w:pPr>
    </w:p>
    <w:p>
      <w:pPr>
        <w:jc w:val="both"/>
        <w:ind w:left="640" w:hanging="634"/>
        <w:spacing w:after="0" w:line="256"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640" w:hanging="634"/>
        <w:spacing w:after="0" w:line="296" w:lineRule="auto"/>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7"/>
          <w:szCs w:val="17"/>
          <w:color w:val="auto"/>
        </w:rPr>
      </w:pPr>
    </w:p>
    <w:p>
      <w:pPr>
        <w:jc w:val="both"/>
        <w:ind w:left="640" w:hanging="634"/>
        <w:spacing w:after="0" w:line="256"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jc w:val="both"/>
        <w:ind w:left="1280" w:hanging="635"/>
        <w:spacing w:after="0" w:line="256" w:lineRule="auto"/>
        <w:tabs>
          <w:tab w:leader="none" w:pos="1277"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8"/>
          <w:szCs w:val="18"/>
          <w:color w:val="auto"/>
        </w:rPr>
      </w:pPr>
    </w:p>
    <w:p>
      <w:pPr>
        <w:ind w:left="1280" w:hanging="635"/>
        <w:spacing w:after="0" w:line="312" w:lineRule="auto"/>
        <w:tabs>
          <w:tab w:leader="none" w:pos="1277"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5"/>
        <w:spacing w:after="0" w:line="256" w:lineRule="auto"/>
        <w:tabs>
          <w:tab w:leader="none" w:pos="1274"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640" w:hanging="634"/>
        <w:spacing w:after="0" w:line="296" w:lineRule="auto"/>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7"/>
          <w:szCs w:val="17"/>
          <w:color w:val="auto"/>
        </w:rPr>
      </w:pPr>
    </w:p>
    <w:p>
      <w:pPr>
        <w:ind w:left="1280" w:hanging="635"/>
        <w:spacing w:after="0" w:line="268" w:lineRule="auto"/>
        <w:tabs>
          <w:tab w:leader="none" w:pos="1277"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5"/>
        <w:spacing w:after="0" w:line="253" w:lineRule="auto"/>
        <w:tabs>
          <w:tab w:leader="none" w:pos="127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Matthew J. DiLiberto</w:t>
            </w:r>
          </w:p>
        </w:tc>
      </w:tr>
      <w:tr>
        <w:trPr>
          <w:trHeight w:val="219"/>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26"/>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8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certify that:</w:t>
      </w:r>
    </w:p>
    <w:p>
      <w:pPr>
        <w:spacing w:after="0" w:line="252" w:lineRule="exact"/>
        <w:rPr>
          <w:sz w:val="20"/>
          <w:szCs w:val="20"/>
          <w:color w:val="auto"/>
        </w:rPr>
      </w:pPr>
    </w:p>
    <w:p>
      <w:pPr>
        <w:ind w:left="640" w:hanging="634"/>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SL Green Operating Partnership, L.P. (the “registrant”);</w:t>
      </w:r>
    </w:p>
    <w:p>
      <w:pPr>
        <w:spacing w:after="0" w:line="165" w:lineRule="exact"/>
        <w:rPr>
          <w:rFonts w:ascii="Arial" w:cs="Arial" w:eastAsia="Arial" w:hAnsi="Arial"/>
          <w:sz w:val="18"/>
          <w:szCs w:val="18"/>
          <w:color w:val="auto"/>
        </w:rPr>
      </w:pPr>
    </w:p>
    <w:p>
      <w:pPr>
        <w:jc w:val="both"/>
        <w:ind w:left="640" w:hanging="634"/>
        <w:spacing w:after="0" w:line="256"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640" w:hanging="634"/>
        <w:spacing w:after="0" w:line="296" w:lineRule="auto"/>
        <w:tabs>
          <w:tab w:leader="none" w:pos="6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7"/>
          <w:szCs w:val="17"/>
          <w:color w:val="auto"/>
        </w:rPr>
      </w:pPr>
    </w:p>
    <w:p>
      <w:pPr>
        <w:jc w:val="both"/>
        <w:ind w:left="640" w:hanging="634"/>
        <w:spacing w:after="0" w:line="256"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jc w:val="both"/>
        <w:ind w:left="1280" w:hanging="635"/>
        <w:spacing w:after="0" w:line="256" w:lineRule="auto"/>
        <w:tabs>
          <w:tab w:leader="none" w:pos="1277"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8"/>
          <w:szCs w:val="18"/>
          <w:color w:val="auto"/>
        </w:rPr>
      </w:pPr>
    </w:p>
    <w:p>
      <w:pPr>
        <w:ind w:left="1280" w:hanging="635"/>
        <w:spacing w:after="0" w:line="312" w:lineRule="auto"/>
        <w:tabs>
          <w:tab w:leader="none" w:pos="1277"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5"/>
        <w:spacing w:after="0" w:line="256" w:lineRule="auto"/>
        <w:tabs>
          <w:tab w:leader="none" w:pos="1274"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640" w:hanging="634"/>
        <w:spacing w:after="0" w:line="296" w:lineRule="auto"/>
        <w:tabs>
          <w:tab w:leader="none" w:pos="6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7"/>
          <w:szCs w:val="17"/>
          <w:color w:val="auto"/>
        </w:rPr>
      </w:pPr>
    </w:p>
    <w:p>
      <w:pPr>
        <w:ind w:left="1280" w:hanging="635"/>
        <w:spacing w:after="0" w:line="268" w:lineRule="auto"/>
        <w:tabs>
          <w:tab w:leader="none" w:pos="1277"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5"/>
        <w:spacing w:after="0" w:line="253" w:lineRule="auto"/>
        <w:tabs>
          <w:tab w:leader="none" w:pos="1274"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Date: February 16, 2023</w:t>
      </w:r>
    </w:p>
    <w:p>
      <w:pPr>
        <w:spacing w:after="0" w:line="29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28575</wp:posOffset>
            </wp:positionV>
            <wp:extent cx="28232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3">
                      <a:extLst>
                        <a:ext uri="{28A0092B-C50C-407E-A947-70E740481C1C}"/>
                      </a:extLst>
                    </a:blip>
                    <a:srcRect/>
                    <a:stretch>
                      <a:fillRect/>
                    </a:stretch>
                  </pic:blipFill>
                  <pic:spPr bwMode="auto">
                    <a:xfrm>
                      <a:off x="0" y="0"/>
                      <a:ext cx="2823210" cy="8255"/>
                    </a:xfrm>
                    <a:prstGeom prst="rect">
                      <a:avLst/>
                    </a:prstGeom>
                    <a:noFill/>
                  </pic:spPr>
                </pic:pic>
              </a:graphicData>
            </a:graphic>
          </wp:anchor>
        </w:drawing>
      </w:r>
    </w:p>
    <w:p>
      <w:pPr>
        <w:spacing w:after="0" w:line="39" w:lineRule="exact"/>
        <w:rPr>
          <w:sz w:val="20"/>
          <w:szCs w:val="20"/>
          <w:color w:val="auto"/>
        </w:rPr>
      </w:pPr>
    </w:p>
    <w:p>
      <w:pPr>
        <w:ind w:left="1100"/>
        <w:spacing w:after="0"/>
        <w:tabs>
          <w:tab w:leader="none" w:pos="1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33" w:lineRule="exact"/>
        <w:rPr>
          <w:sz w:val="20"/>
          <w:szCs w:val="20"/>
          <w:color w:val="auto"/>
        </w:rPr>
      </w:pPr>
    </w:p>
    <w:p>
      <w:pPr>
        <w:ind w:left="1100"/>
        <w:spacing w:after="0"/>
        <w:tabs>
          <w:tab w:leader="none" w:pos="1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and Chief Executive Officer</w:t>
      </w:r>
    </w:p>
    <w:p>
      <w:pPr>
        <w:spacing w:after="0" w:line="7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of SL Green Realty Corp., the</w:t>
      </w:r>
    </w:p>
    <w:p>
      <w:pPr>
        <w:spacing w:after="0" w:line="4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general partner of the registrant</w:t>
      </w:r>
    </w:p>
    <w:p>
      <w:pPr>
        <w:sectPr>
          <w:pgSz w:w="11900" w:h="16838" w:orient="portrait"/>
          <w:cols w:equalWidth="0" w:num="1">
            <w:col w:w="11240"/>
          </w:cols>
          <w:pgMar w:left="320" w:top="880"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Matthew J. DiLiberto, certify that:</w:t>
      </w:r>
    </w:p>
    <w:p>
      <w:pPr>
        <w:spacing w:after="0" w:line="252" w:lineRule="exact"/>
        <w:rPr>
          <w:sz w:val="20"/>
          <w:szCs w:val="20"/>
          <w:color w:val="auto"/>
        </w:rPr>
      </w:pPr>
    </w:p>
    <w:p>
      <w:pPr>
        <w:ind w:left="640" w:hanging="634"/>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SL Green Operating Partnership, L.P. (the “registrant”);</w:t>
      </w:r>
    </w:p>
    <w:p>
      <w:pPr>
        <w:spacing w:after="0" w:line="165" w:lineRule="exact"/>
        <w:rPr>
          <w:rFonts w:ascii="Arial" w:cs="Arial" w:eastAsia="Arial" w:hAnsi="Arial"/>
          <w:sz w:val="18"/>
          <w:szCs w:val="18"/>
          <w:color w:val="auto"/>
        </w:rPr>
      </w:pPr>
    </w:p>
    <w:p>
      <w:pPr>
        <w:jc w:val="both"/>
        <w:ind w:left="640" w:hanging="634"/>
        <w:spacing w:after="0" w:line="256"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640" w:hanging="634"/>
        <w:spacing w:after="0" w:line="296"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7"/>
          <w:szCs w:val="17"/>
          <w:color w:val="auto"/>
        </w:rPr>
      </w:pPr>
    </w:p>
    <w:p>
      <w:pPr>
        <w:jc w:val="both"/>
        <w:ind w:left="640" w:hanging="634"/>
        <w:spacing w:after="0" w:line="256"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jc w:val="both"/>
        <w:ind w:left="1280" w:hanging="635"/>
        <w:spacing w:after="0" w:line="256" w:lineRule="auto"/>
        <w:tabs>
          <w:tab w:leader="none" w:pos="127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8"/>
          <w:szCs w:val="18"/>
          <w:color w:val="auto"/>
        </w:rPr>
      </w:pPr>
    </w:p>
    <w:p>
      <w:pPr>
        <w:ind w:left="1280" w:hanging="635"/>
        <w:spacing w:after="0" w:line="312" w:lineRule="auto"/>
        <w:tabs>
          <w:tab w:leader="none" w:pos="1277"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5"/>
        <w:spacing w:after="0" w:line="256" w:lineRule="auto"/>
        <w:tabs>
          <w:tab w:leader="none" w:pos="12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640" w:hanging="634"/>
        <w:spacing w:after="0" w:line="296"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7"/>
          <w:szCs w:val="17"/>
          <w:color w:val="auto"/>
        </w:rPr>
      </w:pPr>
    </w:p>
    <w:p>
      <w:pPr>
        <w:ind w:left="1280" w:hanging="635"/>
        <w:spacing w:after="0" w:line="268" w:lineRule="auto"/>
        <w:tabs>
          <w:tab w:leader="none" w:pos="1277"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5"/>
        <w:spacing w:after="0" w:line="253" w:lineRule="auto"/>
        <w:tabs>
          <w:tab w:leader="none" w:pos="12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2023</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Matthew J. DiLiberto</w:t>
            </w:r>
          </w:p>
        </w:tc>
      </w:tr>
      <w:tr>
        <w:trPr>
          <w:trHeight w:val="219"/>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26"/>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26"/>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of SL Green Realty Corp., the</w:t>
            </w:r>
          </w:p>
        </w:tc>
      </w:tr>
      <w:tr>
        <w:trPr>
          <w:trHeight w:val="226"/>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general partner of the registrant</w:t>
            </w:r>
          </w:p>
        </w:tc>
      </w:tr>
    </w:tbl>
    <w:p>
      <w:pPr>
        <w:sectPr>
          <w:pgSz w:w="11900" w:h="16838" w:orient="portrait"/>
          <w:cols w:equalWidth="0" w:num="1">
            <w:col w:w="11240"/>
          </w:cols>
          <w:pgMar w:left="320" w:top="880"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SL Green Realty Corp. (the “Company”) on Form 10-K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spacing w:after="0" w:line="190" w:lineRule="exact"/>
        <w:rPr>
          <w:sz w:val="20"/>
          <w:szCs w:val="20"/>
          <w:color w:val="auto"/>
        </w:rPr>
      </w:pPr>
    </w:p>
    <w:p>
      <w:pPr>
        <w:ind w:left="640" w:hanging="634"/>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65" w:lineRule="exact"/>
        <w:rPr>
          <w:rFonts w:ascii="Arial" w:cs="Arial" w:eastAsia="Arial" w:hAnsi="Arial"/>
          <w:sz w:val="18"/>
          <w:szCs w:val="18"/>
          <w:color w:val="auto"/>
        </w:rPr>
      </w:pPr>
    </w:p>
    <w:p>
      <w:pPr>
        <w:ind w:left="640" w:hanging="634"/>
        <w:spacing w:after="0"/>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Marc Holliday</w:t>
            </w:r>
          </w:p>
        </w:tc>
      </w:tr>
      <w:tr>
        <w:trPr>
          <w:trHeight w:val="219"/>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Marc Holliday</w:t>
            </w:r>
          </w:p>
        </w:tc>
      </w:tr>
      <w:tr>
        <w:trPr>
          <w:trHeight w:val="226"/>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Chairman and Chief Executive Officer</w:t>
            </w: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2023</w:t>
      </w:r>
    </w:p>
    <w:p>
      <w:pPr>
        <w:sectPr>
          <w:pgSz w:w="11900" w:h="16838" w:orient="portrait"/>
          <w:cols w:equalWidth="0" w:num="1">
            <w:col w:w="11240"/>
          </w:cols>
          <w:pgMar w:left="320" w:top="880"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SL Green Realty Corp. (the “Company”) on Form 10-K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spacing w:after="0" w:line="190" w:lineRule="exact"/>
        <w:rPr>
          <w:sz w:val="20"/>
          <w:szCs w:val="20"/>
          <w:color w:val="auto"/>
        </w:rPr>
      </w:pPr>
    </w:p>
    <w:p>
      <w:pPr>
        <w:ind w:left="640" w:hanging="634"/>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65" w:lineRule="exact"/>
        <w:rPr>
          <w:rFonts w:ascii="Arial" w:cs="Arial" w:eastAsia="Arial" w:hAnsi="Arial"/>
          <w:sz w:val="18"/>
          <w:szCs w:val="18"/>
          <w:color w:val="auto"/>
        </w:rPr>
      </w:pPr>
    </w:p>
    <w:p>
      <w:pPr>
        <w:ind w:left="640" w:hanging="634"/>
        <w:spacing w:after="0"/>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Matthew J. DiLiberto</w:t>
            </w:r>
          </w:p>
        </w:tc>
      </w:tr>
      <w:tr>
        <w:trPr>
          <w:trHeight w:val="219"/>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26"/>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2023</w:t>
      </w:r>
    </w:p>
    <w:p>
      <w:pPr>
        <w:sectPr>
          <w:pgSz w:w="11900" w:h="16838" w:orient="portrait"/>
          <w:cols w:equalWidth="0" w:num="1">
            <w:col w:w="11240"/>
          </w:cols>
          <w:pgMar w:left="320" w:top="880"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of SL Green Operating Partnership, L.P. (the “Operating Partnership”) on Form 10-K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spacing w:after="0" w:line="219" w:lineRule="exact"/>
        <w:rPr>
          <w:sz w:val="20"/>
          <w:szCs w:val="20"/>
          <w:color w:val="auto"/>
        </w:rPr>
      </w:pPr>
    </w:p>
    <w:p>
      <w:pPr>
        <w:ind w:left="320" w:hanging="314"/>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45" w:lineRule="exact"/>
        <w:rPr>
          <w:rFonts w:ascii="Arial" w:cs="Arial" w:eastAsia="Arial" w:hAnsi="Arial"/>
          <w:sz w:val="18"/>
          <w:szCs w:val="18"/>
          <w:color w:val="auto"/>
        </w:rPr>
      </w:pPr>
    </w:p>
    <w:p>
      <w:pPr>
        <w:ind w:left="640" w:hanging="634"/>
        <w:spacing w:after="0" w:line="266" w:lineRule="auto"/>
        <w:tabs>
          <w:tab w:leader="none" w:pos="4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Operating Partnership.</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Marc Holliday</w:t>
            </w:r>
          </w:p>
        </w:tc>
      </w:tr>
      <w:tr>
        <w:trPr>
          <w:trHeight w:val="219"/>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Marc Holliday</w:t>
            </w:r>
          </w:p>
        </w:tc>
      </w:tr>
      <w:tr>
        <w:trPr>
          <w:trHeight w:val="226"/>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Chairman and Chief Executive Officer</w:t>
            </w:r>
          </w:p>
        </w:tc>
      </w:tr>
      <w:tr>
        <w:trPr>
          <w:trHeight w:val="226"/>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of SL Green Realty Corp., the</w:t>
            </w:r>
          </w:p>
        </w:tc>
      </w:tr>
      <w:tr>
        <w:trPr>
          <w:trHeight w:val="226"/>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general partner of the Operating Partnership</w:t>
            </w: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2023</w:t>
      </w:r>
    </w:p>
    <w:p>
      <w:pPr>
        <w:sectPr>
          <w:pgSz w:w="11900" w:h="16838" w:orient="portrait"/>
          <w:cols w:equalWidth="0" w:num="1">
            <w:col w:w="11240"/>
          </w:cols>
          <w:pgMar w:left="320" w:top="880"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Annual Report of SL Green Operating Partnership, L.P. (the “Operating Partnership”) on Form 10-K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spacing w:after="0" w:line="182" w:lineRule="exact"/>
        <w:rPr>
          <w:sz w:val="20"/>
          <w:szCs w:val="20"/>
          <w:color w:val="auto"/>
        </w:rPr>
      </w:pPr>
    </w:p>
    <w:p>
      <w:pPr>
        <w:ind w:left="320" w:hanging="314"/>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45" w:lineRule="exact"/>
        <w:rPr>
          <w:rFonts w:ascii="Arial" w:cs="Arial" w:eastAsia="Arial" w:hAnsi="Arial"/>
          <w:sz w:val="18"/>
          <w:szCs w:val="18"/>
          <w:color w:val="auto"/>
        </w:rPr>
      </w:pPr>
    </w:p>
    <w:p>
      <w:pPr>
        <w:ind w:left="640" w:hanging="634"/>
        <w:spacing w:after="0" w:line="266" w:lineRule="auto"/>
        <w:tabs>
          <w:tab w:leader="none" w:pos="4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Operating Partnership.</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Matthew J. DiLiberto</w:t>
            </w:r>
          </w:p>
        </w:tc>
      </w:tr>
      <w:tr>
        <w:trPr>
          <w:trHeight w:val="219"/>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26"/>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26"/>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of SL Green Realty Corp., the</w:t>
            </w:r>
          </w:p>
        </w:tc>
      </w:tr>
      <w:tr>
        <w:trPr>
          <w:trHeight w:val="226"/>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general partner of the Operating Partnership</w:t>
            </w: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2023</w:t>
      </w:r>
    </w:p>
    <w:sectPr>
      <w:pgSz w:w="11900" w:h="16838" w:orient="portrait"/>
      <w:cols w:equalWidth="0" w:num="1">
        <w:col w:w="11240"/>
      </w:cols>
      <w:pgMar w:left="320" w:top="8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lvl w:ilvl="1">
      <w:lvlJc w:val="left"/>
      <w:lvlText w:val="◦"/>
      <w:numFmt w:val="bullet"/>
      <w:start w:val="1"/>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lowerRoman"/>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2"/>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20"/>
    </w:lvl>
  </w:abstractNum>
  <w:abstractNum w:abstractNumId="44">
    <w:nsid w:val="1F48EAA1"/>
    <w:multiLevelType w:val="hybridMultilevel"/>
    <w:lvl w:ilvl="0">
      <w:lvlJc w:val="left"/>
      <w:lvlText w:val="%1."/>
      <w:numFmt w:val="decimal"/>
      <w:start w:val="3"/>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4"/>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1)"/>
      <w:numFmt w:val="decimal"/>
      <w:start w:val="4"/>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1"/>
    </w:lvl>
  </w:abstractNum>
  <w:abstractNum w:abstractNumId="60">
    <w:nsid w:val="7BD3EE7B"/>
    <w:multiLevelType w:val="hybridMultilevel"/>
    <w:lvl w:ilvl="0">
      <w:lvlJc w:val="left"/>
      <w:lvlText w:val="%1."/>
      <w:numFmt w:val="decimal"/>
      <w:start w:val="9"/>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12"/>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2"/>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20"/>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1)"/>
      <w:numFmt w:val="lowerRoman"/>
      <w:start w:val="3"/>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lowerRoman"/>
      <w:start w:val="1"/>
    </w:lvl>
  </w:abstractNum>
  <w:abstractNum w:abstractNumId="81">
    <w:nsid w:val="6F6DD9AC"/>
    <w:multiLevelType w:val="hybridMultilevel"/>
    <w:lvl w:ilvl="0">
      <w:lvlJc w:val="left"/>
      <w:lvlText w:val="%1."/>
      <w:numFmt w:val="decimal"/>
      <w:start w:val="1"/>
    </w:lvl>
    <w:lvl w:ilvl="1">
      <w:lvlJc w:val="left"/>
      <w:lvlText w:val="(%2)"/>
      <w:numFmt w:val="lowerLetter"/>
      <w:start w:val="1"/>
    </w:lvl>
  </w:abstractNum>
  <w:abstractNum w:abstractNumId="82">
    <w:nsid w:val="94211F2"/>
    <w:multiLevelType w:val="hybridMultilevel"/>
    <w:lvl w:ilvl="0">
      <w:lvlJc w:val="left"/>
      <w:lvlText w:val="%1."/>
      <w:numFmt w:val="decimal"/>
      <w:start w:val="1"/>
    </w:lvl>
    <w:lvl w:ilvl="1">
      <w:lvlJc w:val="left"/>
      <w:lvlText w:val="(%2)"/>
      <w:numFmt w:val="lowerLetter"/>
      <w:start w:val="1"/>
    </w:lvl>
  </w:abstractNum>
  <w:abstractNum w:abstractNumId="83">
    <w:nsid w:val="885E1B"/>
    <w:multiLevelType w:val="hybridMultilevel"/>
    <w:lvl w:ilvl="0">
      <w:lvlJc w:val="left"/>
      <w:lvlText w:val="%1."/>
      <w:numFmt w:val="decimal"/>
      <w:start w:val="1"/>
    </w:lvl>
    <w:lvl w:ilvl="1">
      <w:lvlJc w:val="left"/>
      <w:lvlText w:val="(%2)"/>
      <w:numFmt w:val="lowerLetter"/>
      <w:start w:val="1"/>
    </w:lvl>
  </w:abstractNum>
  <w:abstractNum w:abstractNumId="84">
    <w:nsid w:val="76272110"/>
    <w:multiLevelType w:val="hybridMultilevel"/>
    <w:lvl w:ilvl="0">
      <w:lvlJc w:val="left"/>
      <w:lvlText w:val="%1."/>
      <w:numFmt w:val="decimal"/>
      <w:start w:val="1"/>
    </w:lvl>
    <w:lvl w:ilvl="1">
      <w:lvlJc w:val="left"/>
      <w:lvlText w:val="(%2)"/>
      <w:numFmt w:val="lowerLetter"/>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96" Type="http://schemas.openxmlformats.org/officeDocument/2006/relationships/image" Target="media/image168.png"/><Relationship Id="rId214" Type="http://schemas.openxmlformats.org/officeDocument/2006/relationships/image" Target="media/image169.png"/><Relationship Id="rId232" Type="http://schemas.openxmlformats.org/officeDocument/2006/relationships/image" Target="media/image170.png"/><Relationship Id="rId236" Type="http://schemas.openxmlformats.org/officeDocument/2006/relationships/image" Target="media/image171.png"/><Relationship Id="rId237" Type="http://schemas.openxmlformats.org/officeDocument/2006/relationships/image" Target="media/image172.png"/><Relationship Id="rId238" Type="http://schemas.openxmlformats.org/officeDocument/2006/relationships/image" Target="media/image173.png"/><Relationship Id="rId239" Type="http://schemas.openxmlformats.org/officeDocument/2006/relationships/image" Target="media/image174.png"/><Relationship Id="rId240" Type="http://schemas.openxmlformats.org/officeDocument/2006/relationships/image" Target="media/image175.png"/><Relationship Id="rId241" Type="http://schemas.openxmlformats.org/officeDocument/2006/relationships/image" Target="media/image176.png"/><Relationship Id="rId242" Type="http://schemas.openxmlformats.org/officeDocument/2006/relationships/image" Target="media/image177.png"/><Relationship Id="rId243" Type="http://schemas.openxmlformats.org/officeDocument/2006/relationships/image" Target="media/image178.png"/><Relationship Id="rId244" Type="http://schemas.openxmlformats.org/officeDocument/2006/relationships/image" Target="media/image179.png"/><Relationship Id="rId245" Type="http://schemas.openxmlformats.org/officeDocument/2006/relationships/image" Target="media/image180.png"/><Relationship Id="rId246" Type="http://schemas.openxmlformats.org/officeDocument/2006/relationships/image" Target="media/image181.png"/><Relationship Id="rId247" Type="http://schemas.openxmlformats.org/officeDocument/2006/relationships/image" Target="media/image182.png"/><Relationship Id="rId248" Type="http://schemas.openxmlformats.org/officeDocument/2006/relationships/image" Target="media/image183.png"/><Relationship Id="rId249" Type="http://schemas.openxmlformats.org/officeDocument/2006/relationships/image" Target="media/image184.png"/><Relationship Id="rId250" Type="http://schemas.openxmlformats.org/officeDocument/2006/relationships/image" Target="media/image185.png"/><Relationship Id="rId251" Type="http://schemas.openxmlformats.org/officeDocument/2006/relationships/image" Target="media/image186.png"/><Relationship Id="rId252" Type="http://schemas.openxmlformats.org/officeDocument/2006/relationships/image" Target="media/image187.png"/><Relationship Id="rId253" Type="http://schemas.openxmlformats.org/officeDocument/2006/relationships/image" Target="media/image188.png"/><Relationship Id="rId254" Type="http://schemas.openxmlformats.org/officeDocument/2006/relationships/image" Target="media/image189.png"/><Relationship Id="rId255" Type="http://schemas.openxmlformats.org/officeDocument/2006/relationships/image" Target="media/image190.png"/><Relationship Id="rId256" Type="http://schemas.openxmlformats.org/officeDocument/2006/relationships/image" Target="media/image191.png"/><Relationship Id="rId257" Type="http://schemas.openxmlformats.org/officeDocument/2006/relationships/image" Target="media/image192.png"/><Relationship Id="rId258" Type="http://schemas.openxmlformats.org/officeDocument/2006/relationships/image" Target="media/image193.png"/><Relationship Id="rId259" Type="http://schemas.openxmlformats.org/officeDocument/2006/relationships/image" Target="media/image194.png"/><Relationship Id="rId260" Type="http://schemas.openxmlformats.org/officeDocument/2006/relationships/image" Target="media/image195.png"/><Relationship Id="rId261" Type="http://schemas.openxmlformats.org/officeDocument/2006/relationships/image" Target="media/image196.png"/><Relationship Id="rId262" Type="http://schemas.openxmlformats.org/officeDocument/2006/relationships/image" Target="media/image197.png"/><Relationship Id="rId263" Type="http://schemas.openxmlformats.org/officeDocument/2006/relationships/image" Target="media/image198.png"/><Relationship Id="rId175" Type="http://schemas.openxmlformats.org/officeDocument/2006/relationships/hyperlink" Target="http://www.sec.gov/Archives/edgar/data/1040971/000104097114000012/slg-20140630x10qex31.htm" TargetMode="External"/><Relationship Id="rId176" Type="http://schemas.openxmlformats.org/officeDocument/2006/relationships/hyperlink" Target="http://www.sec.gov/Archives/edgar/data/1040971/000110465917045611/a17-18075_1ex3d1.htm" TargetMode="External"/><Relationship Id="rId177" Type="http://schemas.openxmlformats.org/officeDocument/2006/relationships/hyperlink" Target="http://www.sec.gov/Archives/edgar/data/1040971/000110465921005909/tm212226d2_ex3-1.htm" TargetMode="External"/><Relationship Id="rId178" Type="http://schemas.openxmlformats.org/officeDocument/2006/relationships/hyperlink" Target="https://www.sec.gov/Archives/edgar/data/1040971/000110465921005909/tm212226d2_ex3-2.htm" TargetMode="External"/><Relationship Id="rId179" Type="http://schemas.openxmlformats.org/officeDocument/2006/relationships/hyperlink" Target="https://www.sec.gov/Archives/edgar/data/1040971/000110465922006456/tm224122d1_ex3-1.htm" TargetMode="External"/><Relationship Id="rId180" Type="http://schemas.openxmlformats.org/officeDocument/2006/relationships/hyperlink" Target="https://www.sec.gov/Archives/edgar/data/1040971/000110465922006456/tm224122d1_ex3-2.htm" TargetMode="External"/><Relationship Id="rId181" Type="http://schemas.openxmlformats.org/officeDocument/2006/relationships/hyperlink" Target="http://www.sec.gov/Archives/edgar/data/1040971/000110465918075152/a18-42091_1ex3d1.htm" TargetMode="External"/><Relationship Id="rId182" Type="http://schemas.openxmlformats.org/officeDocument/2006/relationships/hyperlink" Target="http://www.sec.gov/Archives/edgar/data/1040971/000110465920060922/tm2019604d1_ex3-1.htm" TargetMode="External"/><Relationship Id="rId183" Type="http://schemas.openxmlformats.org/officeDocument/2006/relationships/hyperlink" Target="http://www.sec.gov/Archives/edgar/data/1040971/000134100409001928/slgreen_ex3-2.htm" TargetMode="External"/><Relationship Id="rId184" Type="http://schemas.openxmlformats.org/officeDocument/2006/relationships/hyperlink" Target="http://www.sec.gov/Archives/edgar/data/1040971/000110465912056689/a12-17764_6ex3d1.htm" TargetMode="External"/><Relationship Id="rId185" Type="http://schemas.openxmlformats.org/officeDocument/2006/relationships/hyperlink" Target="http://www.sec.gov/Archives/edgar/data/1040971/000110465912056689/a12-17764_6ex3d2.htm" TargetMode="External"/><Relationship Id="rId186" Type="http://schemas.openxmlformats.org/officeDocument/2006/relationships/hyperlink" Target="http://www.sec.gov/Archives/edgar/data/1040971/000091205702039492/a2091718zex-10_1.htm" TargetMode="External"/><Relationship Id="rId187" Type="http://schemas.openxmlformats.org/officeDocument/2006/relationships/hyperlink" Target="http://www.sec.gov/Archives/edgar/data/1040971/000091205702039492/a2091718zex-10_2.htm" TargetMode="External"/><Relationship Id="rId188" Type="http://schemas.openxmlformats.org/officeDocument/2006/relationships/hyperlink" Target="http://www.sec.gov/Archives/edgar/data/1040971/000091205702029427/a2085564zex-10_1.htm" TargetMode="External"/><Relationship Id="rId189" Type="http://schemas.openxmlformats.org/officeDocument/2006/relationships/hyperlink" Target="http://www.sec.gov/Archives/edgar/data/1040971/000110465906016962/a06-1960_1ex10d39.htm" TargetMode="External"/><Relationship Id="rId190" Type="http://schemas.openxmlformats.org/officeDocument/2006/relationships/hyperlink" Target="http://www.sec.gov/Archives/edgar/data/1040971/000110465907005677/a07-2707_1ex10d5.htm" TargetMode="External"/><Relationship Id="rId191" Type="http://schemas.openxmlformats.org/officeDocument/2006/relationships/hyperlink" Target="http://www.sec.gov/Archives/edgar/data/1040971/000110465910002296/a10-1710_5ex10d1.htm" TargetMode="External"/><Relationship Id="rId192" Type="http://schemas.openxmlformats.org/officeDocument/2006/relationships/hyperlink" Target="http://www.sec.gov/Archives/edgar/data/1040971/000110465912006242/a12-3716_1ex10d1.htm" TargetMode="External"/><Relationship Id="rId193" Type="http://schemas.openxmlformats.org/officeDocument/2006/relationships/hyperlink" Target="http://www.sec.gov/Archives/edgar/data/1040971/000110465912035934/a12-8516_1ex10d2.htm" TargetMode="External"/><Relationship Id="rId194" Type="http://schemas.openxmlformats.org/officeDocument/2006/relationships/hyperlink" Target="http://www.sec.gov/Archives/edgar/data/1040971/000110465912057046/a12-18124_1ex10d1.htm" TargetMode="External"/><Relationship Id="rId195" Type="http://schemas.openxmlformats.org/officeDocument/2006/relationships/hyperlink" Target="http://www.sec.gov/Archives/edgar/data/1040971/000110465914049963/a14-16300_1ex10d1.htm" TargetMode="External"/><Relationship Id="rId197" Type="http://schemas.openxmlformats.org/officeDocument/2006/relationships/hyperlink" Target="http://www.sec.gov/Archives/edgar/data/1040971/000110465914049963/a14-16300_1ex10d2.htm" TargetMode="External"/><Relationship Id="rId198" Type="http://schemas.openxmlformats.org/officeDocument/2006/relationships/hyperlink" Target="https://www.sec.gov/Archives/edgar/data/1040971/000104097122000014/slg-20211231x10kex323a.htm" TargetMode="External"/><Relationship Id="rId199" Type="http://schemas.openxmlformats.org/officeDocument/2006/relationships/hyperlink" Target="http://www.sec.gov/Archives/edgar/data/1040971/000110465915053109/a15-15633_1ex10d1.htm" TargetMode="External"/><Relationship Id="rId200" Type="http://schemas.openxmlformats.org/officeDocument/2006/relationships/hyperlink" Target="http://www.sec.gov/Archives/edgar/data/1040971/000110465915053109/a15-15633_1ex10d2.htm" TargetMode="External"/><Relationship Id="rId201" Type="http://schemas.openxmlformats.org/officeDocument/2006/relationships/hyperlink" Target="http://www.sec.gov/Archives/edgar/data/1040971/000110465915061340/a15-17634_1ex10d1.htm" TargetMode="External"/><Relationship Id="rId202" Type="http://schemas.openxmlformats.org/officeDocument/2006/relationships/hyperlink" Target="http://www.sec.gov/Archives/edgar/data/1040971/000110465915061340/a15-17634_1ex10d2.htm" TargetMode="External"/><Relationship Id="rId203" Type="http://schemas.openxmlformats.org/officeDocument/2006/relationships/hyperlink" Target="http://www.sec.gov/Archives/edgar/data/1040971/000104097116000037/a16q3slgopamendment25ex31.htm" TargetMode="External"/><Relationship Id="rId204" Type="http://schemas.openxmlformats.org/officeDocument/2006/relationships/hyperlink" Target="http://www.sec.gov/Archives/edgar/data/1040971/000110465919026818/a19-8674_2ex10d1.htm" TargetMode="External"/><Relationship Id="rId205" Type="http://schemas.openxmlformats.org/officeDocument/2006/relationships/hyperlink" Target="http://www.sec.gov/Archives/edgar/data/1040971/000110465920003907/tm203223d1_ex10-1.htm" TargetMode="External"/><Relationship Id="rId206" Type="http://schemas.openxmlformats.org/officeDocument/2006/relationships/hyperlink" Target="https://www.sec.gov/Archives/edgar/data/1040971/000110465921152654/tm2136095d1_ex10-1.htm" TargetMode="External"/><Relationship Id="rId207" Type="http://schemas.openxmlformats.org/officeDocument/2006/relationships/hyperlink" Target="https://www.sec.gov/Archives/edgar/data/1040971/000110465922112499/tm2229193d1_ex10-1.htm" TargetMode="External"/><Relationship Id="rId208" Type="http://schemas.openxmlformats.org/officeDocument/2006/relationships/hyperlink" Target="http://www.sec.gov/Archives/edgar/data/1040971/0000912057-97-025107.txt" TargetMode="External"/><Relationship Id="rId209" Type="http://schemas.openxmlformats.org/officeDocument/2006/relationships/hyperlink" Target="http://www.sec.gov/Archives/edgar/data/930810/000110465911044350/a11-23855_1ex4d1.htm" TargetMode="External"/><Relationship Id="rId210" Type="http://schemas.openxmlformats.org/officeDocument/2006/relationships/hyperlink" Target="http://www.sec.gov/Archives/edgar/data/930810/000110465912078232/a12-26250_4ex4d1.htm" TargetMode="External"/><Relationship Id="rId211" Type="http://schemas.openxmlformats.org/officeDocument/2006/relationships/hyperlink" Target="http://www.sec.gov/Archives/edgar/data/930810/000110465919000085/a18-42181_1ex4d2.htm" TargetMode="External"/><Relationship Id="rId212" Type="http://schemas.openxmlformats.org/officeDocument/2006/relationships/hyperlink" Target="http://www.sec.gov/Archives/edgar/data/1040971/000110465905037994/a05-12719_1ex4d2.htm" TargetMode="External"/><Relationship Id="rId213" Type="http://schemas.openxmlformats.org/officeDocument/2006/relationships/hyperlink" Target="http://www.sec.gov/Archives/edgar/data/930810/000110465917061122/a17-22604_6ex4d1.htm" TargetMode="External"/><Relationship Id="rId215" Type="http://schemas.openxmlformats.org/officeDocument/2006/relationships/hyperlink" Target="http://www.sec.gov/Archives/edgar/data/930810/000110465917061122/a17-22604_6ex4d2.htm" TargetMode="External"/><Relationship Id="rId216" Type="http://schemas.openxmlformats.org/officeDocument/2006/relationships/hyperlink" Target="http://www.sec.gov/Archives/edgar/data/1040971/000104097118000006/slg2017123110kex101.htm" TargetMode="External"/><Relationship Id="rId217" Type="http://schemas.openxmlformats.org/officeDocument/2006/relationships/hyperlink" Target="http://www.sec.gov/Archives/edgar/data/930810/000104746908003869/a2184189zex-3_12.htm" TargetMode="External"/><Relationship Id="rId218" Type="http://schemas.openxmlformats.org/officeDocument/2006/relationships/hyperlink" Target="http://www.sec.gov/Archives/edgar/data/1040971/0000912057-97-020460.txt" TargetMode="External"/><Relationship Id="rId219" Type="http://schemas.openxmlformats.org/officeDocument/2006/relationships/hyperlink" Target="http://www.sec.gov/Archives/edgar/data/1040971/000110465905037994/a05-12719_1ex4d1.htm" TargetMode="External"/><Relationship Id="rId220" Type="http://schemas.openxmlformats.org/officeDocument/2006/relationships/hyperlink" Target="https://www.sec.gov/Archives/edgar/data/1040971/000120677422001179/slg3994901-def14a.htm" TargetMode="External"/><Relationship Id="rId221" Type="http://schemas.openxmlformats.org/officeDocument/2006/relationships/hyperlink" Target="http://www.sec.gov/Archives/edgar/data/1040971/000104097118000006/slg-20171231x10xkex109.htm" TargetMode="External"/><Relationship Id="rId222" Type="http://schemas.openxmlformats.org/officeDocument/2006/relationships/hyperlink" Target="http://www.sec.gov/Archives/edgar/data/1040971/000110465910064649/a10-24366_1ex10d1.htm" TargetMode="External"/><Relationship Id="rId223" Type="http://schemas.openxmlformats.org/officeDocument/2006/relationships/hyperlink" Target="http://www.sec.gov/Archives/edgar/data/1040971/000110465909071505/a09-36938_1ex10d3.htm" TargetMode="External"/><Relationship Id="rId224" Type="http://schemas.openxmlformats.org/officeDocument/2006/relationships/hyperlink" Target="http://www.sec.gov/Archives/edgar/data/1040971/000110465910064649/a10-24366_1ex10d2.htm" TargetMode="External"/><Relationship Id="rId225" Type="http://schemas.openxmlformats.org/officeDocument/2006/relationships/hyperlink" Target="http://www.sec.gov/Archives/edgar/data/1040971/000110465913069915/a13-20681_1ex10d2.htm" TargetMode="External"/><Relationship Id="rId226" Type="http://schemas.openxmlformats.org/officeDocument/2006/relationships/hyperlink" Target="http://www.sec.gov/Archives/edgar/data/1040971/000110465916096670/a16-4165_1ex10d2.htm" TargetMode="External"/><Relationship Id="rId227" Type="http://schemas.openxmlformats.org/officeDocument/2006/relationships/hyperlink" Target="http://www.sec.gov/Archives/edgar/data/1040971/000110465913082909/a13-23878_1ex10d2.htm" TargetMode="External"/><Relationship Id="rId228" Type="http://schemas.openxmlformats.org/officeDocument/2006/relationships/hyperlink" Target="http://www.sec.gov/Archives/edgar/data/1040971/000110465918006533/a18-5336_1ex10d1.htm" TargetMode="External"/><Relationship Id="rId229" Type="http://schemas.openxmlformats.org/officeDocument/2006/relationships/hyperlink" Target="https://www.sec.gov/Archives/edgar/data/1040971/000110465922001762/tm221582d2_ex10-1.htm" TargetMode="External"/><Relationship Id="rId230" Type="http://schemas.openxmlformats.org/officeDocument/2006/relationships/hyperlink" Target="http://www.sec.gov/Archives/edgar/data/1040971/000110465918030314/a18-12708_1ex10d2.htm" TargetMode="External"/><Relationship Id="rId231" Type="http://schemas.openxmlformats.org/officeDocument/2006/relationships/hyperlink" Target="https://www.sec.gov/Archives/edgar/data/1040971/000110465922001762/tm221582d2_ex10-2.htm" TargetMode="External"/><Relationship Id="rId233" Type="http://schemas.openxmlformats.org/officeDocument/2006/relationships/hyperlink" Target="https://www.sec.gov/Archives/edgar/data/1040971/000110465922001762/tm221582d2_ex10-3.htm" TargetMode="External"/><Relationship Id="rId234" Type="http://schemas.openxmlformats.org/officeDocument/2006/relationships/hyperlink" Target="http://www.sec.gov/Archives/edgar/data/1040971/000110465918075152/a18-42091_1ex10d3.htm" TargetMode="External"/><Relationship Id="rId235" Type="http://schemas.openxmlformats.org/officeDocument/2006/relationships/hyperlink" Target="https://www.sec.gov/Archives/edgar/data/1040971/000110465921147629/tm21347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2023-02-17T05:19:32Z</dcterms:created>
  <dcterms:modified xsi:type="dcterms:W3CDTF">2023-02-17T05:19:32Z</dcterms:modified>
</cp:coreProperties>
</file>