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UNITED STATES</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AND EXCHANGE COMMISSION</w:t>
      </w: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18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SCHEDULE 14A</w:t>
      </w:r>
    </w:p>
    <w:p>
      <w:pPr>
        <w:spacing w:after="0" w:line="21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Proxy Statement Pursuant to Section 14(a) of the</w:t>
      </w:r>
    </w:p>
    <w:p>
      <w:pPr>
        <w:spacing w:after="0" w:line="1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Securities Exchange Act of 1934 (Amendment No. )</w:t>
      </w:r>
    </w:p>
    <w:p>
      <w:pPr>
        <w:spacing w:after="0" w:line="146" w:lineRule="exact"/>
        <w:rPr>
          <w:sz w:val="24"/>
          <w:szCs w:val="24"/>
          <w:color w:val="auto"/>
        </w:rPr>
      </w:pPr>
    </w:p>
    <w:p>
      <w:pPr>
        <w:spacing w:after="0" w:line="242" w:lineRule="exact"/>
        <w:tabs>
          <w:tab w:leader="none" w:pos="320" w:val="left"/>
          <w:tab w:leader="none" w:pos="75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49"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50" w:lineRule="exact"/>
        <w:rPr>
          <w:rFonts w:ascii="MS PGothic" w:cs="MS PGothic" w:eastAsia="MS PGothic" w:hAnsi="MS PGothic"/>
          <w:sz w:val="22"/>
          <w:szCs w:val="22"/>
          <w:color w:val="auto"/>
        </w:rPr>
      </w:pPr>
    </w:p>
    <w:p>
      <w:pPr>
        <w:ind w:left="80" w:right="4460"/>
        <w:spacing w:after="0" w:line="256" w:lineRule="exact"/>
        <w:tabs>
          <w:tab w:leader="none" w:pos="547"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ind w:left="540" w:hanging="460"/>
        <w:spacing w:after="0" w:line="22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2" w:lineRule="exact"/>
        <w:rPr>
          <w:rFonts w:ascii="MS PGothic" w:cs="MS PGothic" w:eastAsia="MS PGothic" w:hAnsi="MS PGothic"/>
          <w:sz w:val="22"/>
          <w:szCs w:val="22"/>
          <w:color w:val="auto"/>
        </w:rPr>
      </w:pPr>
    </w:p>
    <w:p>
      <w:pPr>
        <w:ind w:left="540" w:hanging="460"/>
        <w:spacing w:after="0" w:line="22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246620" cy="821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1055"/>
                    </a:xfrm>
                    <a:prstGeom prst="rect">
                      <a:avLst/>
                    </a:prstGeom>
                    <a:noFill/>
                  </pic:spPr>
                </pic:pic>
              </a:graphicData>
            </a:graphic>
          </wp:anchor>
        </w:drawing>
        <w:drawing>
          <wp:anchor simplePos="0" relativeHeight="251657728" behindDoc="1" locked="0" layoutInCell="0" allowOverlap="1">
            <wp:simplePos x="0" y="0"/>
            <wp:positionH relativeFrom="column">
              <wp:posOffset>2871470</wp:posOffset>
            </wp:positionH>
            <wp:positionV relativeFrom="paragraph">
              <wp:posOffset>153035</wp:posOffset>
            </wp:positionV>
            <wp:extent cx="1514475" cy="479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4475" cy="4794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SL Green Realty Corp.</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3"/>
          <w:szCs w:val="13"/>
          <w:color w:val="auto"/>
        </w:rPr>
        <w:t>(Name of Registrant as Specified In Its Charter)</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10"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49"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694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694180"/>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20" w:lineRule="exact"/>
        <w:rPr>
          <w:rFonts w:ascii="MS PGothic" w:cs="MS PGothic" w:eastAsia="MS PGothic" w:hAnsi="MS PGothic"/>
          <w:sz w:val="22"/>
          <w:szCs w:val="22"/>
          <w:color w:val="auto"/>
        </w:rPr>
      </w:pPr>
    </w:p>
    <w:p>
      <w:pPr>
        <w:ind w:left="860" w:hanging="165"/>
        <w:spacing w:after="0" w:line="237"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ind w:left="860" w:hanging="165"/>
        <w:spacing w:after="0" w:line="237"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ind w:left="700" w:right="60" w:hanging="5"/>
        <w:spacing w:after="0" w:line="237" w:lineRule="auto"/>
        <w:tabs>
          <w:tab w:leader="none" w:pos="857"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3"/>
          <w:szCs w:val="13"/>
          <w:color w:val="auto"/>
        </w:rPr>
      </w:pPr>
    </w:p>
    <w:p>
      <w:pPr>
        <w:ind w:left="860" w:hanging="165"/>
        <w:spacing w:after="0" w:line="237"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ind w:left="860" w:hanging="165"/>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4" w:lineRule="exact"/>
        <w:rPr>
          <w:rFonts w:ascii="Arial" w:cs="Arial" w:eastAsia="Arial" w:hAnsi="Arial"/>
          <w:sz w:val="13"/>
          <w:szCs w:val="13"/>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0" w:lineRule="exact"/>
        <w:rPr>
          <w:rFonts w:ascii="MS PGothic" w:cs="MS PGothic" w:eastAsia="MS PGothic" w:hAnsi="MS PGothic"/>
          <w:sz w:val="22"/>
          <w:szCs w:val="22"/>
          <w:color w:val="auto"/>
        </w:rPr>
      </w:pPr>
    </w:p>
    <w:p>
      <w:pPr>
        <w:ind w:left="540" w:hanging="460"/>
        <w:spacing w:after="0" w:line="221"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60" w:hanging="165"/>
        <w:spacing w:after="0" w:line="237"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ind w:left="860" w:hanging="165"/>
        <w:spacing w:after="0" w:line="237"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ind w:left="860" w:hanging="165"/>
        <w:spacing w:after="0" w:line="237"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ind w:left="860" w:hanging="165"/>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228600</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260"/>
          </w:cols>
          <w:pgMar w:left="240" w:top="226" w:right="39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1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623570</wp:posOffset>
            </wp:positionV>
            <wp:extent cx="2036445" cy="624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36445" cy="624840"/>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2172335</wp:posOffset>
            </wp:positionV>
            <wp:extent cx="5989320" cy="322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89320" cy="3225800"/>
                    </a:xfrm>
                    <a:prstGeom prst="rect">
                      <a:avLst/>
                    </a:prstGeom>
                    <a:noFill/>
                  </pic:spPr>
                </pic:pic>
              </a:graphicData>
            </a:graphic>
          </wp:anchor>
        </w:drawing>
      </w:r>
    </w:p>
    <w:p>
      <w:pPr>
        <w:sectPr>
          <w:pgSz w:w="11900" w:h="16838" w:orient="portrait"/>
          <w:cols w:equalWidth="0" w:num="1">
            <w:col w:w="10219"/>
          </w:cols>
          <w:pgMar w:left="240" w:top="1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59"/>
        <w:spacing w:after="0"/>
        <w:rPr>
          <w:sz w:val="20"/>
          <w:szCs w:val="20"/>
          <w:color w:val="auto"/>
        </w:rPr>
      </w:pPr>
      <w:r>
        <w:rPr>
          <w:rFonts w:ascii="Arial" w:cs="Arial" w:eastAsia="Arial" w:hAnsi="Arial"/>
          <w:sz w:val="108"/>
          <w:szCs w:val="108"/>
          <w:b w:val="1"/>
          <w:bCs w:val="1"/>
          <w:color w:val="345988"/>
        </w:rPr>
        <w:t>2018</w:t>
      </w:r>
    </w:p>
    <w:p>
      <w:pPr>
        <w:spacing w:after="0" w:line="148" w:lineRule="exact"/>
        <w:rPr>
          <w:sz w:val="20"/>
          <w:szCs w:val="20"/>
          <w:color w:val="auto"/>
        </w:rPr>
      </w:pPr>
    </w:p>
    <w:p>
      <w:pPr>
        <w:jc w:val="right"/>
        <w:ind w:right="59"/>
        <w:spacing w:after="0"/>
        <w:rPr>
          <w:sz w:val="20"/>
          <w:szCs w:val="20"/>
          <w:color w:val="auto"/>
        </w:rPr>
      </w:pPr>
      <w:r>
        <w:rPr>
          <w:rFonts w:ascii="Arial" w:cs="Arial" w:eastAsia="Arial" w:hAnsi="Arial"/>
          <w:sz w:val="72"/>
          <w:szCs w:val="72"/>
          <w:color w:val="345988"/>
        </w:rPr>
        <w:t>Proxy</w:t>
      </w:r>
    </w:p>
    <w:p>
      <w:pPr>
        <w:jc w:val="right"/>
        <w:ind w:right="59"/>
        <w:spacing w:after="0" w:line="236" w:lineRule="auto"/>
        <w:rPr>
          <w:sz w:val="20"/>
          <w:szCs w:val="20"/>
          <w:color w:val="auto"/>
        </w:rPr>
      </w:pPr>
      <w:r>
        <w:rPr>
          <w:rFonts w:ascii="Arial" w:cs="Arial" w:eastAsia="Arial" w:hAnsi="Arial"/>
          <w:sz w:val="72"/>
          <w:szCs w:val="72"/>
          <w:color w:val="345988"/>
        </w:rPr>
        <w:t>Statement</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32"/>
          <w:szCs w:val="32"/>
          <w:color w:val="345988"/>
        </w:rPr>
        <w:t>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532130</wp:posOffset>
            </wp:positionV>
            <wp:extent cx="726821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119" w:right="1440"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2018 PROXY STATEMENT HIGHLIGHTS</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800"/>
              <w:spacing w:after="0"/>
              <w:rPr>
                <w:sz w:val="20"/>
                <w:szCs w:val="20"/>
                <w:color w:val="auto"/>
              </w:rPr>
            </w:pPr>
            <w:r>
              <w:rPr>
                <w:rFonts w:ascii="Arial" w:cs="Arial" w:eastAsia="Arial" w:hAnsi="Arial"/>
                <w:sz w:val="20"/>
                <w:szCs w:val="20"/>
                <w:b w:val="1"/>
                <w:bCs w:val="1"/>
                <w:color w:val="345988"/>
              </w:rPr>
              <w:t>Date &amp; Time</w:t>
            </w:r>
          </w:p>
        </w:tc>
        <w:tc>
          <w:tcPr>
            <w:tcW w:w="3960" w:type="dxa"/>
            <w:vAlign w:val="bottom"/>
          </w:tcPr>
          <w:p>
            <w:pPr>
              <w:ind w:left="680"/>
              <w:spacing w:after="0"/>
              <w:rPr>
                <w:sz w:val="20"/>
                <w:szCs w:val="20"/>
                <w:color w:val="auto"/>
              </w:rPr>
            </w:pPr>
            <w:r>
              <w:rPr>
                <w:rFonts w:ascii="Arial" w:cs="Arial" w:eastAsia="Arial" w:hAnsi="Arial"/>
                <w:sz w:val="20"/>
                <w:szCs w:val="20"/>
                <w:b w:val="1"/>
                <w:bCs w:val="1"/>
                <w:color w:val="345988"/>
              </w:rPr>
              <w:t>Location</w:t>
            </w:r>
          </w:p>
        </w:tc>
        <w:tc>
          <w:tcPr>
            <w:tcW w:w="3420" w:type="dxa"/>
            <w:vAlign w:val="bottom"/>
          </w:tcPr>
          <w:p>
            <w:pPr>
              <w:ind w:left="660"/>
              <w:spacing w:after="0"/>
              <w:rPr>
                <w:sz w:val="20"/>
                <w:szCs w:val="20"/>
                <w:color w:val="auto"/>
              </w:rPr>
            </w:pPr>
            <w:r>
              <w:rPr>
                <w:rFonts w:ascii="Arial" w:cs="Arial" w:eastAsia="Arial" w:hAnsi="Arial"/>
                <w:sz w:val="20"/>
                <w:szCs w:val="20"/>
                <w:b w:val="1"/>
                <w:bCs w:val="1"/>
                <w:color w:val="345988"/>
              </w:rPr>
              <w:t>Record Date</w:t>
            </w:r>
          </w:p>
        </w:tc>
      </w:tr>
      <w:tr>
        <w:trPr>
          <w:trHeight w:val="202"/>
        </w:trPr>
        <w:tc>
          <w:tcPr>
            <w:tcW w:w="4040" w:type="dxa"/>
            <w:vAlign w:val="bottom"/>
          </w:tcPr>
          <w:p>
            <w:pPr>
              <w:ind w:left="800"/>
              <w:spacing w:after="0" w:line="202" w:lineRule="exact"/>
              <w:rPr>
                <w:sz w:val="20"/>
                <w:szCs w:val="20"/>
                <w:color w:val="auto"/>
              </w:rPr>
            </w:pPr>
            <w:r>
              <w:rPr>
                <w:rFonts w:ascii="Arial" w:cs="Arial" w:eastAsia="Arial" w:hAnsi="Arial"/>
                <w:sz w:val="18"/>
                <w:szCs w:val="18"/>
                <w:color w:val="auto"/>
              </w:rPr>
              <w:t>Thursday, May 31, 2018 at 10:00</w:t>
            </w:r>
          </w:p>
        </w:tc>
        <w:tc>
          <w:tcPr>
            <w:tcW w:w="3960" w:type="dxa"/>
            <w:vAlign w:val="bottom"/>
          </w:tcPr>
          <w:p>
            <w:pPr>
              <w:ind w:left="680"/>
              <w:spacing w:after="0" w:line="202" w:lineRule="exact"/>
              <w:rPr>
                <w:sz w:val="20"/>
                <w:szCs w:val="20"/>
                <w:color w:val="auto"/>
              </w:rPr>
            </w:pPr>
            <w:r>
              <w:rPr>
                <w:rFonts w:ascii="Arial" w:cs="Arial" w:eastAsia="Arial" w:hAnsi="Arial"/>
                <w:sz w:val="18"/>
                <w:szCs w:val="18"/>
                <w:color w:val="auto"/>
              </w:rPr>
              <w:t>Andaz Hotel, 485 5th Avenue (at</w:t>
            </w:r>
          </w:p>
        </w:tc>
        <w:tc>
          <w:tcPr>
            <w:tcW w:w="3420" w:type="dxa"/>
            <w:vAlign w:val="bottom"/>
          </w:tcPr>
          <w:p>
            <w:pPr>
              <w:ind w:left="660"/>
              <w:spacing w:after="0" w:line="202" w:lineRule="exact"/>
              <w:rPr>
                <w:sz w:val="20"/>
                <w:szCs w:val="20"/>
                <w:color w:val="auto"/>
              </w:rPr>
            </w:pPr>
            <w:r>
              <w:rPr>
                <w:rFonts w:ascii="Arial" w:cs="Arial" w:eastAsia="Arial" w:hAnsi="Arial"/>
                <w:sz w:val="18"/>
                <w:szCs w:val="18"/>
                <w:color w:val="auto"/>
              </w:rPr>
              <w:t>March 29, 2018</w:t>
            </w:r>
          </w:p>
        </w:tc>
      </w:tr>
      <w:tr>
        <w:trPr>
          <w:trHeight w:val="202"/>
        </w:trPr>
        <w:tc>
          <w:tcPr>
            <w:tcW w:w="4040" w:type="dxa"/>
            <w:vAlign w:val="bottom"/>
          </w:tcPr>
          <w:p>
            <w:pPr>
              <w:ind w:left="800"/>
              <w:spacing w:after="0" w:line="202" w:lineRule="exact"/>
              <w:rPr>
                <w:sz w:val="20"/>
                <w:szCs w:val="20"/>
                <w:color w:val="auto"/>
              </w:rPr>
            </w:pPr>
            <w:r>
              <w:rPr>
                <w:rFonts w:ascii="Arial" w:cs="Arial" w:eastAsia="Arial" w:hAnsi="Arial"/>
                <w:sz w:val="18"/>
                <w:szCs w:val="18"/>
                <w:color w:val="auto"/>
              </w:rPr>
              <w:t>a.m., local time</w:t>
            </w:r>
          </w:p>
        </w:tc>
        <w:tc>
          <w:tcPr>
            <w:tcW w:w="3960" w:type="dxa"/>
            <w:vAlign w:val="bottom"/>
          </w:tcPr>
          <w:p>
            <w:pPr>
              <w:ind w:left="680"/>
              <w:spacing w:after="0" w:line="202" w:lineRule="exact"/>
              <w:rPr>
                <w:sz w:val="20"/>
                <w:szCs w:val="20"/>
                <w:color w:val="auto"/>
              </w:rPr>
            </w:pPr>
            <w:r>
              <w:rPr>
                <w:rFonts w:ascii="Arial" w:cs="Arial" w:eastAsia="Arial" w:hAnsi="Arial"/>
                <w:sz w:val="18"/>
                <w:szCs w:val="18"/>
                <w:color w:val="auto"/>
              </w:rPr>
              <w:t>41st Street), 2nd Floor, New York,</w:t>
            </w:r>
          </w:p>
        </w:tc>
        <w:tc>
          <w:tcPr>
            <w:tcW w:w="3420" w:type="dxa"/>
            <w:vAlign w:val="bottom"/>
          </w:tcPr>
          <w:p>
            <w:pPr>
              <w:spacing w:after="0"/>
              <w:rPr>
                <w:sz w:val="17"/>
                <w:szCs w:val="17"/>
                <w:color w:val="auto"/>
              </w:rPr>
            </w:pPr>
          </w:p>
        </w:tc>
      </w:tr>
      <w:tr>
        <w:trPr>
          <w:trHeight w:val="237"/>
        </w:trPr>
        <w:tc>
          <w:tcPr>
            <w:tcW w:w="4040" w:type="dxa"/>
            <w:vAlign w:val="bottom"/>
          </w:tcPr>
          <w:p>
            <w:pPr>
              <w:spacing w:after="0"/>
              <w:rPr>
                <w:sz w:val="20"/>
                <w:szCs w:val="20"/>
                <w:color w:val="auto"/>
              </w:rPr>
            </w:pPr>
          </w:p>
        </w:tc>
        <w:tc>
          <w:tcPr>
            <w:tcW w:w="3960" w:type="dxa"/>
            <w:vAlign w:val="bottom"/>
          </w:tcPr>
          <w:p>
            <w:pPr>
              <w:ind w:left="680"/>
              <w:spacing w:after="0"/>
              <w:rPr>
                <w:sz w:val="20"/>
                <w:szCs w:val="20"/>
                <w:color w:val="auto"/>
              </w:rPr>
            </w:pPr>
            <w:r>
              <w:rPr>
                <w:rFonts w:ascii="Arial" w:cs="Arial" w:eastAsia="Arial" w:hAnsi="Arial"/>
                <w:sz w:val="18"/>
                <w:szCs w:val="18"/>
                <w:color w:val="auto"/>
              </w:rPr>
              <w:t>NY 10017</w:t>
            </w:r>
          </w:p>
        </w:tc>
        <w:tc>
          <w:tcPr>
            <w:tcW w:w="3420" w:type="dxa"/>
            <w:vAlign w:val="bottom"/>
          </w:tcPr>
          <w:p>
            <w:pPr>
              <w:spacing w:after="0"/>
              <w:rPr>
                <w:sz w:val="20"/>
                <w:szCs w:val="20"/>
                <w:color w:val="auto"/>
              </w:rPr>
            </w:pPr>
          </w:p>
        </w:tc>
      </w:tr>
      <w:tr>
        <w:trPr>
          <w:trHeight w:val="557"/>
        </w:trPr>
        <w:tc>
          <w:tcPr>
            <w:tcW w:w="4040" w:type="dxa"/>
            <w:vAlign w:val="bottom"/>
            <w:tcBorders>
              <w:bottom w:val="single" w:sz="8" w:color="auto"/>
            </w:tcBorders>
          </w:tcPr>
          <w:p>
            <w:pPr>
              <w:spacing w:after="0"/>
              <w:rPr>
                <w:sz w:val="20"/>
                <w:szCs w:val="20"/>
                <w:color w:val="auto"/>
              </w:rPr>
            </w:pPr>
            <w:r>
              <w:rPr>
                <w:rFonts w:ascii="Arial" w:cs="Arial" w:eastAsia="Arial" w:hAnsi="Arial"/>
                <w:sz w:val="25"/>
                <w:szCs w:val="25"/>
                <w:b w:val="1"/>
                <w:bCs w:val="1"/>
                <w:color w:val="auto"/>
              </w:rPr>
              <w:t>Roadmap of Voting Matters</w:t>
            </w:r>
          </w:p>
        </w:tc>
        <w:tc>
          <w:tcPr>
            <w:tcW w:w="39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367665"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7665" cy="316865"/>
                    </a:xfrm>
                    <a:prstGeom prst="rect">
                      <a:avLst/>
                    </a:prstGeom>
                    <a:noFill/>
                  </pic:spPr>
                </pic:pic>
              </a:graphicData>
            </a:graphic>
          </wp:anchor>
        </w:drawing>
        <w:drawing>
          <wp:anchor simplePos="0" relativeHeight="251657728" behindDoc="1" locked="0" layoutInCell="0" allowOverlap="1">
            <wp:simplePos x="0" y="0"/>
            <wp:positionH relativeFrom="column">
              <wp:posOffset>2494915</wp:posOffset>
            </wp:positionH>
            <wp:positionV relativeFrom="paragraph">
              <wp:posOffset>-897890</wp:posOffset>
            </wp:positionV>
            <wp:extent cx="367665"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7665" cy="316865"/>
                    </a:xfrm>
                    <a:prstGeom prst="rect">
                      <a:avLst/>
                    </a:prstGeom>
                    <a:noFill/>
                  </pic:spPr>
                </pic:pic>
              </a:graphicData>
            </a:graphic>
          </wp:anchor>
        </w:drawing>
        <w:drawing>
          <wp:anchor simplePos="0" relativeHeight="251657728" behindDoc="1" locked="0" layoutInCell="0" allowOverlap="1">
            <wp:simplePos x="0" y="0"/>
            <wp:positionH relativeFrom="column">
              <wp:posOffset>4984750</wp:posOffset>
            </wp:positionH>
            <wp:positionV relativeFrom="paragraph">
              <wp:posOffset>-897890</wp:posOffset>
            </wp:positionV>
            <wp:extent cx="376555" cy="325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6555" cy="32512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You are being asked to vote on the following matters: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 w:type="dxa"/>
            <w:vAlign w:val="bottom"/>
            <w:shd w:val="clear" w:color="auto" w:fill="F5F5F5"/>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9120" w:type="dxa"/>
            <w:vAlign w:val="bottom"/>
            <w:vMerge w:val="restart"/>
            <w:shd w:val="clear" w:color="auto" w:fill="F5F5F5"/>
          </w:tcPr>
          <w:p>
            <w:pPr>
              <w:ind w:left="160"/>
              <w:spacing w:after="0"/>
              <w:rPr>
                <w:sz w:val="20"/>
                <w:szCs w:val="20"/>
                <w:color w:val="auto"/>
              </w:rPr>
            </w:pPr>
            <w:r>
              <w:rPr>
                <w:rFonts w:ascii="Arial" w:cs="Arial" w:eastAsia="Arial" w:hAnsi="Arial"/>
                <w:sz w:val="13"/>
                <w:szCs w:val="13"/>
                <w:b w:val="1"/>
                <w:bCs w:val="1"/>
                <w:color w:val="345988"/>
              </w:rPr>
              <w:t>Proposal</w:t>
            </w:r>
          </w:p>
        </w:tc>
        <w:tc>
          <w:tcPr>
            <w:tcW w:w="1440" w:type="dxa"/>
            <w:vAlign w:val="bottom"/>
            <w:shd w:val="clear" w:color="auto" w:fill="F5F5F5"/>
          </w:tcPr>
          <w:p>
            <w:pPr>
              <w:ind w:left="180"/>
              <w:spacing w:after="0"/>
              <w:rPr>
                <w:sz w:val="20"/>
                <w:szCs w:val="20"/>
                <w:color w:val="auto"/>
              </w:rPr>
            </w:pPr>
            <w:r>
              <w:rPr>
                <w:rFonts w:ascii="Arial" w:cs="Arial" w:eastAsia="Arial" w:hAnsi="Arial"/>
                <w:sz w:val="13"/>
                <w:szCs w:val="13"/>
                <w:b w:val="1"/>
                <w:bCs w:val="1"/>
                <w:color w:val="345988"/>
              </w:rPr>
              <w:t>Board</w:t>
            </w:r>
          </w:p>
        </w:tc>
        <w:tc>
          <w:tcPr>
            <w:tcW w:w="540" w:type="dxa"/>
            <w:vAlign w:val="bottom"/>
            <w:gridSpan w:val="2"/>
            <w:shd w:val="clear" w:color="auto" w:fill="F5F5F5"/>
          </w:tcPr>
          <w:p>
            <w:pPr>
              <w:ind w:left="140"/>
              <w:spacing w:after="0"/>
              <w:rPr>
                <w:sz w:val="20"/>
                <w:szCs w:val="20"/>
                <w:color w:val="auto"/>
              </w:rPr>
            </w:pPr>
            <w:r>
              <w:rPr>
                <w:rFonts w:ascii="Arial" w:cs="Arial" w:eastAsia="Arial" w:hAnsi="Arial"/>
                <w:sz w:val="13"/>
                <w:szCs w:val="13"/>
                <w:b w:val="1"/>
                <w:bCs w:val="1"/>
                <w:color w:val="345988"/>
              </w:rPr>
              <w:t>See</w:t>
            </w:r>
          </w:p>
        </w:tc>
        <w:tc>
          <w:tcPr>
            <w:tcW w:w="0" w:type="dxa"/>
            <w:vAlign w:val="bottom"/>
          </w:tcPr>
          <w:p>
            <w:pPr>
              <w:spacing w:after="0"/>
              <w:rPr>
                <w:sz w:val="1"/>
                <w:szCs w:val="1"/>
                <w:color w:val="auto"/>
              </w:rPr>
            </w:pPr>
          </w:p>
        </w:tc>
      </w:tr>
      <w:tr>
        <w:trPr>
          <w:trHeight w:val="201"/>
        </w:trPr>
        <w:tc>
          <w:tcPr>
            <w:tcW w:w="80" w:type="dxa"/>
            <w:vAlign w:val="bottom"/>
            <w:shd w:val="clear" w:color="auto" w:fill="F5F5F5"/>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9120" w:type="dxa"/>
            <w:vAlign w:val="bottom"/>
            <w:vMerge w:val="continue"/>
            <w:shd w:val="clear" w:color="auto" w:fill="F5F5F5"/>
          </w:tcPr>
          <w:p>
            <w:pPr>
              <w:spacing w:after="0"/>
              <w:rPr>
                <w:sz w:val="17"/>
                <w:szCs w:val="17"/>
                <w:color w:val="auto"/>
              </w:rPr>
            </w:pPr>
          </w:p>
        </w:tc>
        <w:tc>
          <w:tcPr>
            <w:tcW w:w="1440" w:type="dxa"/>
            <w:vAlign w:val="bottom"/>
            <w:shd w:val="clear" w:color="auto" w:fill="F5F5F5"/>
          </w:tcPr>
          <w:p>
            <w:pPr>
              <w:ind w:left="180"/>
              <w:spacing w:after="0"/>
              <w:rPr>
                <w:sz w:val="20"/>
                <w:szCs w:val="20"/>
                <w:color w:val="auto"/>
              </w:rPr>
            </w:pPr>
            <w:r>
              <w:rPr>
                <w:rFonts w:ascii="Arial" w:cs="Arial" w:eastAsia="Arial" w:hAnsi="Arial"/>
                <w:sz w:val="13"/>
                <w:szCs w:val="13"/>
                <w:b w:val="1"/>
                <w:bCs w:val="1"/>
                <w:color w:val="345988"/>
              </w:rPr>
              <w:t>Recommendation</w:t>
            </w:r>
          </w:p>
        </w:tc>
        <w:tc>
          <w:tcPr>
            <w:tcW w:w="540" w:type="dxa"/>
            <w:vAlign w:val="bottom"/>
            <w:gridSpan w:val="2"/>
            <w:shd w:val="clear" w:color="auto" w:fill="F5F5F5"/>
          </w:tcPr>
          <w:p>
            <w:pPr>
              <w:ind w:left="140"/>
              <w:spacing w:after="0"/>
              <w:rPr>
                <w:sz w:val="20"/>
                <w:szCs w:val="20"/>
                <w:color w:val="auto"/>
              </w:rPr>
            </w:pPr>
            <w:r>
              <w:rPr>
                <w:rFonts w:ascii="Arial" w:cs="Arial" w:eastAsia="Arial" w:hAnsi="Arial"/>
                <w:sz w:val="13"/>
                <w:szCs w:val="13"/>
                <w:b w:val="1"/>
                <w:bCs w:val="1"/>
                <w:color w:val="345988"/>
              </w:rPr>
              <w:t>Page</w:t>
            </w:r>
          </w:p>
        </w:tc>
        <w:tc>
          <w:tcPr>
            <w:tcW w:w="0" w:type="dxa"/>
            <w:vAlign w:val="bottom"/>
          </w:tcPr>
          <w:p>
            <w:pPr>
              <w:spacing w:after="0"/>
              <w:rPr>
                <w:sz w:val="1"/>
                <w:szCs w:val="1"/>
                <w:color w:val="auto"/>
              </w:rPr>
            </w:pPr>
          </w:p>
        </w:tc>
      </w:tr>
      <w:tr>
        <w:trPr>
          <w:trHeight w:val="224"/>
        </w:trPr>
        <w:tc>
          <w:tcPr>
            <w:tcW w:w="80" w:type="dxa"/>
            <w:vAlign w:val="bottom"/>
            <w:tcBorders>
              <w:top w:val="single" w:sz="8" w:color="F5F5F5"/>
            </w:tcBorders>
            <w:shd w:val="clear" w:color="auto" w:fill="F5F5F5"/>
          </w:tcPr>
          <w:p>
            <w:pPr>
              <w:spacing w:after="0"/>
              <w:rPr>
                <w:sz w:val="19"/>
                <w:szCs w:val="19"/>
                <w:color w:val="auto"/>
              </w:rPr>
            </w:pPr>
          </w:p>
        </w:tc>
        <w:tc>
          <w:tcPr>
            <w:tcW w:w="240" w:type="dxa"/>
            <w:vAlign w:val="bottom"/>
            <w:tcBorders>
              <w:top w:val="single" w:sz="8" w:color="345988"/>
            </w:tcBorders>
            <w:shd w:val="clear" w:color="auto" w:fill="F5F5F5"/>
          </w:tcPr>
          <w:p>
            <w:pPr>
              <w:jc w:val="right"/>
              <w:ind w:right="41"/>
              <w:spacing w:after="0" w:line="224" w:lineRule="exact"/>
              <w:rPr>
                <w:sz w:val="20"/>
                <w:szCs w:val="20"/>
                <w:color w:val="auto"/>
              </w:rPr>
            </w:pPr>
            <w:r>
              <w:rPr>
                <w:rFonts w:ascii="Arial" w:cs="Arial" w:eastAsia="Arial" w:hAnsi="Arial"/>
                <w:sz w:val="20"/>
                <w:szCs w:val="20"/>
                <w:b w:val="1"/>
                <w:bCs w:val="1"/>
                <w:color w:val="345988"/>
                <w:w w:val="71"/>
              </w:rPr>
              <w:t>1</w:t>
            </w:r>
          </w:p>
        </w:tc>
        <w:tc>
          <w:tcPr>
            <w:tcW w:w="9120" w:type="dxa"/>
            <w:vAlign w:val="bottom"/>
            <w:tcBorders>
              <w:top w:val="single" w:sz="8" w:color="345988"/>
            </w:tcBorders>
            <w:shd w:val="clear" w:color="auto" w:fill="F5F5F5"/>
          </w:tcPr>
          <w:p>
            <w:pPr>
              <w:ind w:left="160"/>
              <w:spacing w:after="0" w:line="224" w:lineRule="exact"/>
              <w:rPr>
                <w:sz w:val="20"/>
                <w:szCs w:val="20"/>
                <w:color w:val="auto"/>
              </w:rPr>
            </w:pPr>
            <w:r>
              <w:rPr>
                <w:rFonts w:ascii="Arial" w:cs="Arial" w:eastAsia="Arial" w:hAnsi="Arial"/>
                <w:sz w:val="20"/>
                <w:szCs w:val="20"/>
                <w:b w:val="1"/>
                <w:bCs w:val="1"/>
                <w:color w:val="345988"/>
              </w:rPr>
              <w:t>Election of Directors</w:t>
            </w:r>
          </w:p>
        </w:tc>
        <w:tc>
          <w:tcPr>
            <w:tcW w:w="1440" w:type="dxa"/>
            <w:vAlign w:val="bottom"/>
            <w:tcBorders>
              <w:top w:val="single" w:sz="8" w:color="345988"/>
            </w:tcBorders>
            <w:vMerge w:val="restart"/>
            <w:shd w:val="clear" w:color="auto" w:fill="F5F5F5"/>
          </w:tcPr>
          <w:p>
            <w:pPr>
              <w:ind w:left="180"/>
              <w:spacing w:after="0" w:line="207" w:lineRule="exact"/>
              <w:rPr>
                <w:sz w:val="20"/>
                <w:szCs w:val="20"/>
                <w:color w:val="auto"/>
              </w:rPr>
            </w:pPr>
            <w:r>
              <w:rPr>
                <w:rFonts w:ascii="MS PGothic" w:cs="MS PGothic" w:eastAsia="MS PGothic" w:hAnsi="MS PGothic"/>
                <w:sz w:val="18"/>
                <w:szCs w:val="18"/>
                <w:color w:val="000000"/>
                <w:shd w:val="clear" w:color="auto" w:fill="345988"/>
              </w:rPr>
              <w:t>✓</w:t>
            </w:r>
            <w:r>
              <w:rPr>
                <w:rFonts w:ascii="Arial" w:cs="Arial" w:eastAsia="Arial" w:hAnsi="Arial"/>
                <w:sz w:val="18"/>
                <w:szCs w:val="18"/>
                <w:b w:val="1"/>
                <w:bCs w:val="1"/>
                <w:color w:val="345988"/>
              </w:rPr>
              <w:t xml:space="preserve"> FOR</w:t>
            </w:r>
          </w:p>
        </w:tc>
        <w:tc>
          <w:tcPr>
            <w:tcW w:w="460" w:type="dxa"/>
            <w:vAlign w:val="bottom"/>
            <w:tcBorders>
              <w:top w:val="single" w:sz="8" w:color="345988"/>
            </w:tcBorders>
            <w:shd w:val="clear" w:color="auto" w:fill="F5F5F5"/>
          </w:tcPr>
          <w:p>
            <w:pPr>
              <w:spacing w:after="0"/>
              <w:rPr>
                <w:sz w:val="19"/>
                <w:szCs w:val="19"/>
                <w:color w:val="auto"/>
              </w:rPr>
            </w:pPr>
          </w:p>
        </w:tc>
        <w:tc>
          <w:tcPr>
            <w:tcW w:w="80" w:type="dxa"/>
            <w:vAlign w:val="bottom"/>
            <w:tcBorders>
              <w:top w:val="single" w:sz="8" w:color="F5F5F5"/>
            </w:tcBorders>
            <w:shd w:val="clear" w:color="auto" w:fill="F5F5F5"/>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 w:type="dxa"/>
            <w:vAlign w:val="bottom"/>
            <w:shd w:val="clear" w:color="auto" w:fill="F5F5F5"/>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9120" w:type="dxa"/>
            <w:vAlign w:val="bottom"/>
            <w:shd w:val="clear" w:color="auto" w:fill="F5F5F5"/>
          </w:tcPr>
          <w:p>
            <w:pPr>
              <w:ind w:left="160"/>
              <w:spacing w:after="0" w:line="202" w:lineRule="exact"/>
              <w:rPr>
                <w:sz w:val="20"/>
                <w:szCs w:val="20"/>
                <w:color w:val="auto"/>
              </w:rPr>
            </w:pPr>
            <w:r>
              <w:rPr>
                <w:rFonts w:ascii="Arial" w:cs="Arial" w:eastAsia="Arial" w:hAnsi="Arial"/>
                <w:sz w:val="18"/>
                <w:szCs w:val="18"/>
                <w:color w:val="auto"/>
              </w:rPr>
              <w:t>The Board unanimously recommends a vote for each of John H. Alschuler, Lauren B. Dillard and Stephen L.</w:t>
            </w:r>
          </w:p>
        </w:tc>
        <w:tc>
          <w:tcPr>
            <w:tcW w:w="1440" w:type="dxa"/>
            <w:vAlign w:val="bottom"/>
            <w:vMerge w:val="continue"/>
            <w:shd w:val="clear" w:color="auto" w:fill="F5F5F5"/>
          </w:tcPr>
          <w:p>
            <w:pPr>
              <w:spacing w:after="0"/>
              <w:rPr>
                <w:sz w:val="17"/>
                <w:szCs w:val="17"/>
                <w:color w:val="auto"/>
              </w:rPr>
            </w:pPr>
          </w:p>
        </w:tc>
        <w:tc>
          <w:tcPr>
            <w:tcW w:w="460" w:type="dxa"/>
            <w:vAlign w:val="bottom"/>
            <w:shd w:val="clear" w:color="auto" w:fill="F5F5F5"/>
          </w:tcPr>
          <w:p>
            <w:pPr>
              <w:ind w:left="140"/>
              <w:spacing w:after="0" w:line="202" w:lineRule="exact"/>
              <w:rPr>
                <w:sz w:val="20"/>
                <w:szCs w:val="20"/>
                <w:color w:val="auto"/>
              </w:rPr>
            </w:pPr>
            <w:r>
              <w:rPr>
                <w:rFonts w:ascii="Arial" w:cs="Arial" w:eastAsia="Arial" w:hAnsi="Arial"/>
                <w:sz w:val="18"/>
                <w:szCs w:val="18"/>
                <w:color w:val="auto"/>
              </w:rPr>
              <w:t>9</w:t>
            </w:r>
          </w:p>
        </w:tc>
        <w:tc>
          <w:tcPr>
            <w:tcW w:w="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shd w:val="clear" w:color="auto" w:fill="F5F5F5"/>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9120" w:type="dxa"/>
            <w:vAlign w:val="bottom"/>
            <w:shd w:val="clear" w:color="auto" w:fill="F5F5F5"/>
          </w:tcPr>
          <w:p>
            <w:pPr>
              <w:ind w:left="160"/>
              <w:spacing w:after="0" w:line="202" w:lineRule="exact"/>
              <w:rPr>
                <w:sz w:val="20"/>
                <w:szCs w:val="20"/>
                <w:color w:val="auto"/>
              </w:rPr>
            </w:pPr>
            <w:r>
              <w:rPr>
                <w:rFonts w:ascii="Arial" w:cs="Arial" w:eastAsia="Arial" w:hAnsi="Arial"/>
                <w:sz w:val="18"/>
                <w:szCs w:val="18"/>
                <w:color w:val="auto"/>
              </w:rPr>
              <w:t>Green to serve as directors until the 2019 annual meeting of stockholders and until their successors are duly</w:t>
            </w:r>
          </w:p>
        </w:tc>
        <w:tc>
          <w:tcPr>
            <w:tcW w:w="1440" w:type="dxa"/>
            <w:vAlign w:val="bottom"/>
            <w:shd w:val="clear" w:color="auto" w:fill="F5F5F5"/>
          </w:tcPr>
          <w:p>
            <w:pPr>
              <w:ind w:left="460"/>
              <w:spacing w:after="0" w:line="202" w:lineRule="exact"/>
              <w:rPr>
                <w:sz w:val="20"/>
                <w:szCs w:val="20"/>
                <w:color w:val="auto"/>
              </w:rPr>
            </w:pPr>
            <w:r>
              <w:rPr>
                <w:rFonts w:ascii="Arial" w:cs="Arial" w:eastAsia="Arial" w:hAnsi="Arial"/>
                <w:sz w:val="18"/>
                <w:szCs w:val="18"/>
                <w:color w:val="auto"/>
              </w:rPr>
              <w:t>Each</w:t>
            </w:r>
          </w:p>
        </w:tc>
        <w:tc>
          <w:tcPr>
            <w:tcW w:w="460" w:type="dxa"/>
            <w:vAlign w:val="bottom"/>
            <w:shd w:val="clear" w:color="auto" w:fill="F5F5F5"/>
          </w:tcPr>
          <w:p>
            <w:pPr>
              <w:spacing w:after="0"/>
              <w:rPr>
                <w:sz w:val="17"/>
                <w:szCs w:val="17"/>
                <w:color w:val="auto"/>
              </w:rPr>
            </w:pPr>
          </w:p>
        </w:tc>
        <w:tc>
          <w:tcPr>
            <w:tcW w:w="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 w:type="dxa"/>
            <w:vAlign w:val="bottom"/>
            <w:shd w:val="clear" w:color="auto" w:fill="F5F5F5"/>
          </w:tcPr>
          <w:p>
            <w:pPr>
              <w:spacing w:after="0"/>
              <w:rPr>
                <w:sz w:val="20"/>
                <w:szCs w:val="20"/>
                <w:color w:val="auto"/>
              </w:rPr>
            </w:pPr>
          </w:p>
        </w:tc>
        <w:tc>
          <w:tcPr>
            <w:tcW w:w="240" w:type="dxa"/>
            <w:vAlign w:val="bottom"/>
            <w:shd w:val="clear" w:color="auto" w:fill="F5F5F5"/>
          </w:tcPr>
          <w:p>
            <w:pPr>
              <w:spacing w:after="0"/>
              <w:rPr>
                <w:sz w:val="20"/>
                <w:szCs w:val="20"/>
                <w:color w:val="auto"/>
              </w:rPr>
            </w:pPr>
          </w:p>
        </w:tc>
        <w:tc>
          <w:tcPr>
            <w:tcW w:w="9120" w:type="dxa"/>
            <w:vAlign w:val="bottom"/>
            <w:shd w:val="clear" w:color="auto" w:fill="F5F5F5"/>
          </w:tcPr>
          <w:p>
            <w:pPr>
              <w:ind w:left="160"/>
              <w:spacing w:after="0"/>
              <w:rPr>
                <w:sz w:val="20"/>
                <w:szCs w:val="20"/>
                <w:color w:val="auto"/>
              </w:rPr>
            </w:pPr>
            <w:r>
              <w:rPr>
                <w:rFonts w:ascii="Arial" w:cs="Arial" w:eastAsia="Arial" w:hAnsi="Arial"/>
                <w:sz w:val="18"/>
                <w:szCs w:val="18"/>
                <w:color w:val="auto"/>
              </w:rPr>
              <w:t>elected and qualify.</w:t>
            </w:r>
          </w:p>
        </w:tc>
        <w:tc>
          <w:tcPr>
            <w:tcW w:w="1440" w:type="dxa"/>
            <w:vAlign w:val="bottom"/>
            <w:shd w:val="clear" w:color="auto" w:fill="F5F5F5"/>
          </w:tcPr>
          <w:p>
            <w:pPr>
              <w:ind w:left="460"/>
              <w:spacing w:after="0"/>
              <w:rPr>
                <w:sz w:val="20"/>
                <w:szCs w:val="20"/>
                <w:color w:val="auto"/>
              </w:rPr>
            </w:pPr>
            <w:r>
              <w:rPr>
                <w:rFonts w:ascii="Arial" w:cs="Arial" w:eastAsia="Arial" w:hAnsi="Arial"/>
                <w:sz w:val="18"/>
                <w:szCs w:val="18"/>
                <w:color w:val="auto"/>
              </w:rPr>
              <w:t>Nominee</w:t>
            </w:r>
          </w:p>
        </w:tc>
        <w:tc>
          <w:tcPr>
            <w:tcW w:w="460" w:type="dxa"/>
            <w:vAlign w:val="bottom"/>
            <w:shd w:val="clear" w:color="auto" w:fill="F5F5F5"/>
          </w:tcPr>
          <w:p>
            <w:pPr>
              <w:spacing w:after="0"/>
              <w:rPr>
                <w:sz w:val="20"/>
                <w:szCs w:val="20"/>
                <w:color w:val="auto"/>
              </w:rPr>
            </w:pPr>
          </w:p>
        </w:tc>
        <w:tc>
          <w:tcPr>
            <w:tcW w:w="80" w:type="dxa"/>
            <w:vAlign w:val="bottom"/>
            <w:shd w:val="clear" w:color="auto" w:fill="F5F5F5"/>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320" w:type="dxa"/>
            <w:vAlign w:val="bottom"/>
            <w:gridSpan w:val="2"/>
            <w:shd w:val="clear" w:color="auto" w:fill="F5F5F5"/>
          </w:tcPr>
          <w:p>
            <w:pPr>
              <w:jc w:val="right"/>
              <w:ind w:right="41"/>
              <w:spacing w:after="0"/>
              <w:rPr>
                <w:sz w:val="20"/>
                <w:szCs w:val="20"/>
                <w:color w:val="auto"/>
              </w:rPr>
            </w:pPr>
            <w:r>
              <w:rPr>
                <w:rFonts w:ascii="Arial" w:cs="Arial" w:eastAsia="Arial" w:hAnsi="Arial"/>
                <w:sz w:val="20"/>
                <w:szCs w:val="20"/>
                <w:b w:val="1"/>
                <w:bCs w:val="1"/>
                <w:color w:val="345988"/>
              </w:rPr>
              <w:t>2</w:t>
            </w:r>
          </w:p>
        </w:tc>
        <w:tc>
          <w:tcPr>
            <w:tcW w:w="9120" w:type="dxa"/>
            <w:vAlign w:val="bottom"/>
            <w:shd w:val="clear" w:color="auto" w:fill="F5F5F5"/>
          </w:tcPr>
          <w:p>
            <w:pPr>
              <w:ind w:left="160"/>
              <w:spacing w:after="0"/>
              <w:rPr>
                <w:sz w:val="20"/>
                <w:szCs w:val="20"/>
                <w:color w:val="auto"/>
              </w:rPr>
            </w:pPr>
            <w:r>
              <w:rPr>
                <w:rFonts w:ascii="Arial" w:cs="Arial" w:eastAsia="Arial" w:hAnsi="Arial"/>
                <w:sz w:val="20"/>
                <w:szCs w:val="20"/>
                <w:b w:val="1"/>
                <w:bCs w:val="1"/>
                <w:color w:val="345988"/>
              </w:rPr>
              <w:t>Advisory Approval of Executive Compensation</w:t>
            </w:r>
          </w:p>
        </w:tc>
        <w:tc>
          <w:tcPr>
            <w:tcW w:w="1440" w:type="dxa"/>
            <w:vAlign w:val="bottom"/>
            <w:vMerge w:val="restart"/>
            <w:shd w:val="clear" w:color="auto" w:fill="F5F5F5"/>
          </w:tcPr>
          <w:p>
            <w:pPr>
              <w:ind w:left="180"/>
              <w:spacing w:after="0" w:line="207" w:lineRule="exact"/>
              <w:rPr>
                <w:sz w:val="20"/>
                <w:szCs w:val="20"/>
                <w:color w:val="auto"/>
              </w:rPr>
            </w:pPr>
            <w:r>
              <w:rPr>
                <w:rFonts w:ascii="MS PGothic" w:cs="MS PGothic" w:eastAsia="MS PGothic" w:hAnsi="MS PGothic"/>
                <w:sz w:val="18"/>
                <w:szCs w:val="18"/>
                <w:color w:val="000000"/>
                <w:shd w:val="clear" w:color="auto" w:fill="345988"/>
              </w:rPr>
              <w:t>✓</w:t>
            </w:r>
            <w:r>
              <w:rPr>
                <w:rFonts w:ascii="Arial" w:cs="Arial" w:eastAsia="Arial" w:hAnsi="Arial"/>
                <w:sz w:val="18"/>
                <w:szCs w:val="18"/>
                <w:b w:val="1"/>
                <w:bCs w:val="1"/>
                <w:color w:val="345988"/>
              </w:rPr>
              <w:t xml:space="preserve"> FOR</w:t>
            </w:r>
          </w:p>
        </w:tc>
        <w:tc>
          <w:tcPr>
            <w:tcW w:w="460" w:type="dxa"/>
            <w:vAlign w:val="bottom"/>
            <w:shd w:val="clear" w:color="auto" w:fill="F5F5F5"/>
          </w:tcPr>
          <w:p>
            <w:pPr>
              <w:spacing w:after="0"/>
              <w:rPr>
                <w:sz w:val="24"/>
                <w:szCs w:val="24"/>
                <w:color w:val="auto"/>
              </w:rPr>
            </w:pPr>
          </w:p>
        </w:tc>
        <w:tc>
          <w:tcPr>
            <w:tcW w:w="8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0" w:type="dxa"/>
            <w:vAlign w:val="bottom"/>
            <w:shd w:val="clear" w:color="auto" w:fill="F5F5F5"/>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9120" w:type="dxa"/>
            <w:vAlign w:val="bottom"/>
            <w:shd w:val="clear" w:color="auto" w:fill="F5F5F5"/>
          </w:tcPr>
          <w:p>
            <w:pPr>
              <w:ind w:left="160"/>
              <w:spacing w:after="0" w:line="202" w:lineRule="exact"/>
              <w:rPr>
                <w:sz w:val="20"/>
                <w:szCs w:val="20"/>
                <w:color w:val="auto"/>
              </w:rPr>
            </w:pPr>
            <w:r>
              <w:rPr>
                <w:rFonts w:ascii="Arial" w:cs="Arial" w:eastAsia="Arial" w:hAnsi="Arial"/>
                <w:sz w:val="18"/>
                <w:szCs w:val="18"/>
                <w:color w:val="auto"/>
              </w:rPr>
              <w:t>The Company seeks non-binding stockholder approval of the compensation of the company’s named executive</w:t>
            </w:r>
          </w:p>
        </w:tc>
        <w:tc>
          <w:tcPr>
            <w:tcW w:w="1440" w:type="dxa"/>
            <w:vAlign w:val="bottom"/>
            <w:vMerge w:val="continue"/>
            <w:shd w:val="clear" w:color="auto" w:fill="F5F5F5"/>
          </w:tcPr>
          <w:p>
            <w:pPr>
              <w:spacing w:after="0"/>
              <w:rPr>
                <w:sz w:val="17"/>
                <w:szCs w:val="17"/>
                <w:color w:val="auto"/>
              </w:rPr>
            </w:pPr>
          </w:p>
        </w:tc>
        <w:tc>
          <w:tcPr>
            <w:tcW w:w="460" w:type="dxa"/>
            <w:vAlign w:val="bottom"/>
            <w:shd w:val="clear" w:color="auto" w:fill="F5F5F5"/>
          </w:tcPr>
          <w:p>
            <w:pPr>
              <w:ind w:left="140"/>
              <w:spacing w:after="0" w:line="202" w:lineRule="exact"/>
              <w:rPr>
                <w:sz w:val="20"/>
                <w:szCs w:val="20"/>
                <w:color w:val="auto"/>
              </w:rPr>
            </w:pPr>
            <w:r>
              <w:rPr>
                <w:rFonts w:ascii="Arial" w:cs="Arial" w:eastAsia="Arial" w:hAnsi="Arial"/>
                <w:sz w:val="18"/>
                <w:szCs w:val="18"/>
                <w:color w:val="auto"/>
              </w:rPr>
              <w:t>28</w:t>
            </w:r>
          </w:p>
        </w:tc>
        <w:tc>
          <w:tcPr>
            <w:tcW w:w="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shd w:val="clear" w:color="auto" w:fill="F5F5F5"/>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9120" w:type="dxa"/>
            <w:vAlign w:val="bottom"/>
            <w:shd w:val="clear" w:color="auto" w:fill="F5F5F5"/>
          </w:tcPr>
          <w:p>
            <w:pPr>
              <w:ind w:left="160"/>
              <w:spacing w:after="0" w:line="202" w:lineRule="exact"/>
              <w:rPr>
                <w:sz w:val="20"/>
                <w:szCs w:val="20"/>
                <w:color w:val="auto"/>
              </w:rPr>
            </w:pPr>
            <w:r>
              <w:rPr>
                <w:rFonts w:ascii="Arial" w:cs="Arial" w:eastAsia="Arial" w:hAnsi="Arial"/>
                <w:sz w:val="18"/>
                <w:szCs w:val="18"/>
                <w:color w:val="auto"/>
                <w:w w:val="99"/>
              </w:rPr>
              <w:t>officers, as described in the Compensation Discussion and Analysis section and compensation tables included in</w:t>
            </w:r>
          </w:p>
        </w:tc>
        <w:tc>
          <w:tcPr>
            <w:tcW w:w="1440" w:type="dxa"/>
            <w:vAlign w:val="bottom"/>
            <w:shd w:val="clear" w:color="auto" w:fill="F5F5F5"/>
          </w:tcPr>
          <w:p>
            <w:pPr>
              <w:spacing w:after="0"/>
              <w:rPr>
                <w:sz w:val="17"/>
                <w:szCs w:val="17"/>
                <w:color w:val="auto"/>
              </w:rPr>
            </w:pPr>
          </w:p>
        </w:tc>
        <w:tc>
          <w:tcPr>
            <w:tcW w:w="460" w:type="dxa"/>
            <w:vAlign w:val="bottom"/>
            <w:shd w:val="clear" w:color="auto" w:fill="F5F5F5"/>
          </w:tcPr>
          <w:p>
            <w:pPr>
              <w:spacing w:after="0"/>
              <w:rPr>
                <w:sz w:val="17"/>
                <w:szCs w:val="17"/>
                <w:color w:val="auto"/>
              </w:rPr>
            </w:pPr>
          </w:p>
        </w:tc>
        <w:tc>
          <w:tcPr>
            <w:tcW w:w="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 w:type="dxa"/>
            <w:vAlign w:val="bottom"/>
            <w:shd w:val="clear" w:color="auto" w:fill="F5F5F5"/>
          </w:tcPr>
          <w:p>
            <w:pPr>
              <w:spacing w:after="0"/>
              <w:rPr>
                <w:sz w:val="20"/>
                <w:szCs w:val="20"/>
                <w:color w:val="auto"/>
              </w:rPr>
            </w:pPr>
          </w:p>
        </w:tc>
        <w:tc>
          <w:tcPr>
            <w:tcW w:w="240" w:type="dxa"/>
            <w:vAlign w:val="bottom"/>
            <w:shd w:val="clear" w:color="auto" w:fill="F5F5F5"/>
          </w:tcPr>
          <w:p>
            <w:pPr>
              <w:spacing w:after="0"/>
              <w:rPr>
                <w:sz w:val="20"/>
                <w:szCs w:val="20"/>
                <w:color w:val="auto"/>
              </w:rPr>
            </w:pPr>
          </w:p>
        </w:tc>
        <w:tc>
          <w:tcPr>
            <w:tcW w:w="9120" w:type="dxa"/>
            <w:vAlign w:val="bottom"/>
            <w:shd w:val="clear" w:color="auto" w:fill="F5F5F5"/>
          </w:tcPr>
          <w:p>
            <w:pPr>
              <w:ind w:left="160"/>
              <w:spacing w:after="0"/>
              <w:rPr>
                <w:sz w:val="20"/>
                <w:szCs w:val="20"/>
                <w:color w:val="auto"/>
              </w:rPr>
            </w:pPr>
            <w:r>
              <w:rPr>
                <w:rFonts w:ascii="Arial" w:cs="Arial" w:eastAsia="Arial" w:hAnsi="Arial"/>
                <w:sz w:val="18"/>
                <w:szCs w:val="18"/>
                <w:color w:val="auto"/>
              </w:rPr>
              <w:t>this proxy statement.</w:t>
            </w:r>
          </w:p>
        </w:tc>
        <w:tc>
          <w:tcPr>
            <w:tcW w:w="1440" w:type="dxa"/>
            <w:vAlign w:val="bottom"/>
            <w:shd w:val="clear" w:color="auto" w:fill="F5F5F5"/>
          </w:tcPr>
          <w:p>
            <w:pPr>
              <w:spacing w:after="0"/>
              <w:rPr>
                <w:sz w:val="20"/>
                <w:szCs w:val="20"/>
                <w:color w:val="auto"/>
              </w:rPr>
            </w:pPr>
          </w:p>
        </w:tc>
        <w:tc>
          <w:tcPr>
            <w:tcW w:w="460" w:type="dxa"/>
            <w:vAlign w:val="bottom"/>
            <w:shd w:val="clear" w:color="auto" w:fill="F5F5F5"/>
          </w:tcPr>
          <w:p>
            <w:pPr>
              <w:spacing w:after="0"/>
              <w:rPr>
                <w:sz w:val="20"/>
                <w:szCs w:val="20"/>
                <w:color w:val="auto"/>
              </w:rPr>
            </w:pPr>
          </w:p>
        </w:tc>
        <w:tc>
          <w:tcPr>
            <w:tcW w:w="80" w:type="dxa"/>
            <w:vAlign w:val="bottom"/>
            <w:shd w:val="clear" w:color="auto" w:fill="F5F5F5"/>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320" w:type="dxa"/>
            <w:vAlign w:val="bottom"/>
            <w:gridSpan w:val="2"/>
            <w:shd w:val="clear" w:color="auto" w:fill="F5F5F5"/>
          </w:tcPr>
          <w:p>
            <w:pPr>
              <w:jc w:val="right"/>
              <w:ind w:right="41"/>
              <w:spacing w:after="0"/>
              <w:rPr>
                <w:sz w:val="20"/>
                <w:szCs w:val="20"/>
                <w:color w:val="auto"/>
              </w:rPr>
            </w:pPr>
            <w:r>
              <w:rPr>
                <w:rFonts w:ascii="Arial" w:cs="Arial" w:eastAsia="Arial" w:hAnsi="Arial"/>
                <w:sz w:val="20"/>
                <w:szCs w:val="20"/>
                <w:b w:val="1"/>
                <w:bCs w:val="1"/>
                <w:color w:val="345988"/>
              </w:rPr>
              <w:t>3</w:t>
            </w:r>
          </w:p>
        </w:tc>
        <w:tc>
          <w:tcPr>
            <w:tcW w:w="9120" w:type="dxa"/>
            <w:vAlign w:val="bottom"/>
            <w:shd w:val="clear" w:color="auto" w:fill="F5F5F5"/>
          </w:tcPr>
          <w:p>
            <w:pPr>
              <w:ind w:left="160"/>
              <w:spacing w:after="0"/>
              <w:rPr>
                <w:sz w:val="20"/>
                <w:szCs w:val="20"/>
                <w:color w:val="auto"/>
              </w:rPr>
            </w:pPr>
            <w:r>
              <w:rPr>
                <w:rFonts w:ascii="Arial" w:cs="Arial" w:eastAsia="Arial" w:hAnsi="Arial"/>
                <w:sz w:val="20"/>
                <w:szCs w:val="20"/>
                <w:b w:val="1"/>
                <w:bCs w:val="1"/>
                <w:color w:val="345988"/>
              </w:rPr>
              <w:t>Ratification of Independent Registered Public Accounting Firm</w:t>
            </w:r>
          </w:p>
        </w:tc>
        <w:tc>
          <w:tcPr>
            <w:tcW w:w="1440" w:type="dxa"/>
            <w:vAlign w:val="bottom"/>
            <w:vMerge w:val="restart"/>
            <w:shd w:val="clear" w:color="auto" w:fill="F5F5F5"/>
          </w:tcPr>
          <w:p>
            <w:pPr>
              <w:ind w:left="180"/>
              <w:spacing w:after="0" w:line="207" w:lineRule="exact"/>
              <w:rPr>
                <w:sz w:val="20"/>
                <w:szCs w:val="20"/>
                <w:color w:val="auto"/>
              </w:rPr>
            </w:pPr>
            <w:r>
              <w:rPr>
                <w:rFonts w:ascii="MS PGothic" w:cs="MS PGothic" w:eastAsia="MS PGothic" w:hAnsi="MS PGothic"/>
                <w:sz w:val="18"/>
                <w:szCs w:val="18"/>
                <w:color w:val="000000"/>
                <w:shd w:val="clear" w:color="auto" w:fill="345988"/>
              </w:rPr>
              <w:t>✓</w:t>
            </w:r>
            <w:r>
              <w:rPr>
                <w:rFonts w:ascii="Arial" w:cs="Arial" w:eastAsia="Arial" w:hAnsi="Arial"/>
                <w:sz w:val="18"/>
                <w:szCs w:val="18"/>
                <w:b w:val="1"/>
                <w:bCs w:val="1"/>
                <w:color w:val="345988"/>
              </w:rPr>
              <w:t xml:space="preserve"> FOR</w:t>
            </w:r>
          </w:p>
        </w:tc>
        <w:tc>
          <w:tcPr>
            <w:tcW w:w="460" w:type="dxa"/>
            <w:vAlign w:val="bottom"/>
            <w:shd w:val="clear" w:color="auto" w:fill="F5F5F5"/>
          </w:tcPr>
          <w:p>
            <w:pPr>
              <w:spacing w:after="0"/>
              <w:rPr>
                <w:sz w:val="24"/>
                <w:szCs w:val="24"/>
                <w:color w:val="auto"/>
              </w:rPr>
            </w:pPr>
          </w:p>
        </w:tc>
        <w:tc>
          <w:tcPr>
            <w:tcW w:w="8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0" w:type="dxa"/>
            <w:vAlign w:val="bottom"/>
            <w:shd w:val="clear" w:color="auto" w:fill="F5F5F5"/>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9120" w:type="dxa"/>
            <w:vAlign w:val="bottom"/>
            <w:shd w:val="clear" w:color="auto" w:fill="F5F5F5"/>
          </w:tcPr>
          <w:p>
            <w:pPr>
              <w:ind w:left="160"/>
              <w:spacing w:after="0" w:line="202" w:lineRule="exact"/>
              <w:rPr>
                <w:sz w:val="20"/>
                <w:szCs w:val="20"/>
                <w:color w:val="auto"/>
              </w:rPr>
            </w:pPr>
            <w:r>
              <w:rPr>
                <w:rFonts w:ascii="Arial" w:cs="Arial" w:eastAsia="Arial" w:hAnsi="Arial"/>
                <w:sz w:val="18"/>
                <w:szCs w:val="18"/>
                <w:color w:val="auto"/>
                <w:w w:val="98"/>
              </w:rPr>
              <w:t>The Audit Committee and the Board believe that the continued appointment of Ernst &amp; Young LLP to serve as our</w:t>
            </w:r>
          </w:p>
        </w:tc>
        <w:tc>
          <w:tcPr>
            <w:tcW w:w="1440" w:type="dxa"/>
            <w:vAlign w:val="bottom"/>
            <w:vMerge w:val="continue"/>
            <w:shd w:val="clear" w:color="auto" w:fill="F5F5F5"/>
          </w:tcPr>
          <w:p>
            <w:pPr>
              <w:spacing w:after="0"/>
              <w:rPr>
                <w:sz w:val="17"/>
                <w:szCs w:val="17"/>
                <w:color w:val="auto"/>
              </w:rPr>
            </w:pPr>
          </w:p>
        </w:tc>
        <w:tc>
          <w:tcPr>
            <w:tcW w:w="460" w:type="dxa"/>
            <w:vAlign w:val="bottom"/>
            <w:shd w:val="clear" w:color="auto" w:fill="F5F5F5"/>
          </w:tcPr>
          <w:p>
            <w:pPr>
              <w:ind w:left="140"/>
              <w:spacing w:after="0" w:line="202" w:lineRule="exact"/>
              <w:rPr>
                <w:sz w:val="20"/>
                <w:szCs w:val="20"/>
                <w:color w:val="auto"/>
              </w:rPr>
            </w:pPr>
            <w:r>
              <w:rPr>
                <w:rFonts w:ascii="Arial" w:cs="Arial" w:eastAsia="Arial" w:hAnsi="Arial"/>
                <w:sz w:val="18"/>
                <w:szCs w:val="18"/>
                <w:color w:val="auto"/>
              </w:rPr>
              <w:t>58</w:t>
            </w:r>
          </w:p>
        </w:tc>
        <w:tc>
          <w:tcPr>
            <w:tcW w:w="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shd w:val="clear" w:color="auto" w:fill="F5F5F5"/>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9120" w:type="dxa"/>
            <w:vAlign w:val="bottom"/>
            <w:shd w:val="clear" w:color="auto" w:fill="F5F5F5"/>
          </w:tcPr>
          <w:p>
            <w:pPr>
              <w:ind w:left="160"/>
              <w:spacing w:after="0" w:line="202" w:lineRule="exact"/>
              <w:rPr>
                <w:sz w:val="20"/>
                <w:szCs w:val="20"/>
                <w:color w:val="auto"/>
              </w:rPr>
            </w:pPr>
            <w:r>
              <w:rPr>
                <w:rFonts w:ascii="Arial" w:cs="Arial" w:eastAsia="Arial" w:hAnsi="Arial"/>
                <w:sz w:val="18"/>
                <w:szCs w:val="18"/>
                <w:color w:val="auto"/>
                <w:w w:val="99"/>
              </w:rPr>
              <w:t>independent registered public accounting firm for the fiscal year ending December 31, 2018 is in the best interest</w:t>
            </w:r>
          </w:p>
        </w:tc>
        <w:tc>
          <w:tcPr>
            <w:tcW w:w="1440" w:type="dxa"/>
            <w:vAlign w:val="bottom"/>
            <w:shd w:val="clear" w:color="auto" w:fill="F5F5F5"/>
          </w:tcPr>
          <w:p>
            <w:pPr>
              <w:spacing w:after="0"/>
              <w:rPr>
                <w:sz w:val="17"/>
                <w:szCs w:val="17"/>
                <w:color w:val="auto"/>
              </w:rPr>
            </w:pPr>
          </w:p>
        </w:tc>
        <w:tc>
          <w:tcPr>
            <w:tcW w:w="460" w:type="dxa"/>
            <w:vAlign w:val="bottom"/>
            <w:shd w:val="clear" w:color="auto" w:fill="F5F5F5"/>
          </w:tcPr>
          <w:p>
            <w:pPr>
              <w:spacing w:after="0"/>
              <w:rPr>
                <w:sz w:val="17"/>
                <w:szCs w:val="17"/>
                <w:color w:val="auto"/>
              </w:rPr>
            </w:pPr>
          </w:p>
        </w:tc>
        <w:tc>
          <w:tcPr>
            <w:tcW w:w="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 w:type="dxa"/>
            <w:vAlign w:val="bottom"/>
            <w:shd w:val="clear" w:color="auto" w:fill="F5F5F5"/>
          </w:tcPr>
          <w:p>
            <w:pPr>
              <w:spacing w:after="0"/>
              <w:rPr>
                <w:sz w:val="20"/>
                <w:szCs w:val="20"/>
                <w:color w:val="auto"/>
              </w:rPr>
            </w:pPr>
          </w:p>
        </w:tc>
        <w:tc>
          <w:tcPr>
            <w:tcW w:w="240" w:type="dxa"/>
            <w:vAlign w:val="bottom"/>
            <w:shd w:val="clear" w:color="auto" w:fill="F5F5F5"/>
          </w:tcPr>
          <w:p>
            <w:pPr>
              <w:spacing w:after="0"/>
              <w:rPr>
                <w:sz w:val="20"/>
                <w:szCs w:val="20"/>
                <w:color w:val="auto"/>
              </w:rPr>
            </w:pPr>
          </w:p>
        </w:tc>
        <w:tc>
          <w:tcPr>
            <w:tcW w:w="9120" w:type="dxa"/>
            <w:vAlign w:val="bottom"/>
            <w:shd w:val="clear" w:color="auto" w:fill="F5F5F5"/>
          </w:tcPr>
          <w:p>
            <w:pPr>
              <w:ind w:left="160"/>
              <w:spacing w:after="0"/>
              <w:rPr>
                <w:sz w:val="20"/>
                <w:szCs w:val="20"/>
                <w:color w:val="auto"/>
              </w:rPr>
            </w:pPr>
            <w:r>
              <w:rPr>
                <w:rFonts w:ascii="Arial" w:cs="Arial" w:eastAsia="Arial" w:hAnsi="Arial"/>
                <w:sz w:val="18"/>
                <w:szCs w:val="18"/>
                <w:color w:val="auto"/>
              </w:rPr>
              <w:t>of the Company and its stockholders.</w:t>
            </w:r>
          </w:p>
        </w:tc>
        <w:tc>
          <w:tcPr>
            <w:tcW w:w="1440" w:type="dxa"/>
            <w:vAlign w:val="bottom"/>
            <w:shd w:val="clear" w:color="auto" w:fill="F5F5F5"/>
          </w:tcPr>
          <w:p>
            <w:pPr>
              <w:spacing w:after="0"/>
              <w:rPr>
                <w:sz w:val="20"/>
                <w:szCs w:val="20"/>
                <w:color w:val="auto"/>
              </w:rPr>
            </w:pPr>
          </w:p>
        </w:tc>
        <w:tc>
          <w:tcPr>
            <w:tcW w:w="460" w:type="dxa"/>
            <w:vAlign w:val="bottom"/>
            <w:shd w:val="clear" w:color="auto" w:fill="F5F5F5"/>
          </w:tcPr>
          <w:p>
            <w:pPr>
              <w:spacing w:after="0"/>
              <w:rPr>
                <w:sz w:val="20"/>
                <w:szCs w:val="20"/>
                <w:color w:val="auto"/>
              </w:rPr>
            </w:pPr>
          </w:p>
        </w:tc>
        <w:tc>
          <w:tcPr>
            <w:tcW w:w="80" w:type="dxa"/>
            <w:vAlign w:val="bottom"/>
            <w:shd w:val="clear" w:color="auto" w:fill="F5F5F5"/>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80" w:type="dxa"/>
            <w:vAlign w:val="bottom"/>
            <w:shd w:val="clear" w:color="auto" w:fill="F5F5F5"/>
          </w:tcPr>
          <w:p>
            <w:pPr>
              <w:spacing w:after="0"/>
              <w:rPr>
                <w:sz w:val="5"/>
                <w:szCs w:val="5"/>
                <w:color w:val="auto"/>
              </w:rPr>
            </w:pPr>
          </w:p>
        </w:tc>
        <w:tc>
          <w:tcPr>
            <w:tcW w:w="240" w:type="dxa"/>
            <w:vAlign w:val="bottom"/>
            <w:shd w:val="clear" w:color="auto" w:fill="F5F5F5"/>
          </w:tcPr>
          <w:p>
            <w:pPr>
              <w:spacing w:after="0"/>
              <w:rPr>
                <w:sz w:val="5"/>
                <w:szCs w:val="5"/>
                <w:color w:val="auto"/>
              </w:rPr>
            </w:pPr>
          </w:p>
        </w:tc>
        <w:tc>
          <w:tcPr>
            <w:tcW w:w="9120" w:type="dxa"/>
            <w:vAlign w:val="bottom"/>
            <w:shd w:val="clear" w:color="auto" w:fill="F5F5F5"/>
          </w:tcPr>
          <w:p>
            <w:pPr>
              <w:spacing w:after="0"/>
              <w:rPr>
                <w:sz w:val="5"/>
                <w:szCs w:val="5"/>
                <w:color w:val="auto"/>
              </w:rPr>
            </w:pPr>
          </w:p>
        </w:tc>
        <w:tc>
          <w:tcPr>
            <w:tcW w:w="1440" w:type="dxa"/>
            <w:vAlign w:val="bottom"/>
            <w:shd w:val="clear" w:color="auto" w:fill="F5F5F5"/>
          </w:tcPr>
          <w:p>
            <w:pPr>
              <w:spacing w:after="0"/>
              <w:rPr>
                <w:sz w:val="5"/>
                <w:szCs w:val="5"/>
                <w:color w:val="auto"/>
              </w:rPr>
            </w:pPr>
          </w:p>
        </w:tc>
        <w:tc>
          <w:tcPr>
            <w:tcW w:w="460" w:type="dxa"/>
            <w:vAlign w:val="bottom"/>
            <w:shd w:val="clear" w:color="auto" w:fill="F5F5F5"/>
          </w:tcPr>
          <w:p>
            <w:pPr>
              <w:spacing w:after="0"/>
              <w:rPr>
                <w:sz w:val="5"/>
                <w:szCs w:val="5"/>
                <w:color w:val="auto"/>
              </w:rPr>
            </w:pPr>
          </w:p>
        </w:tc>
        <w:tc>
          <w:tcPr>
            <w:tcW w:w="80" w:type="dxa"/>
            <w:vAlign w:val="bottom"/>
            <w:shd w:val="clear" w:color="auto" w:fill="F5F5F5"/>
          </w:tcPr>
          <w:p>
            <w:pPr>
              <w:spacing w:after="0"/>
              <w:rPr>
                <w:sz w:val="5"/>
                <w:szCs w:val="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Your Vote is Important—Vote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Your vote is very important to us. Please vote as soon as possible by one of the methods shown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820"/>
              <w:spacing w:after="0"/>
              <w:rPr>
                <w:sz w:val="20"/>
                <w:szCs w:val="20"/>
                <w:color w:val="auto"/>
              </w:rPr>
            </w:pPr>
            <w:r>
              <w:rPr>
                <w:rFonts w:ascii="Arial" w:cs="Arial" w:eastAsia="Arial" w:hAnsi="Arial"/>
                <w:sz w:val="20"/>
                <w:szCs w:val="20"/>
                <w:b w:val="1"/>
                <w:bCs w:val="1"/>
                <w:color w:val="345988"/>
              </w:rPr>
              <w:t>By Internet</w:t>
            </w:r>
          </w:p>
        </w:tc>
        <w:tc>
          <w:tcPr>
            <w:tcW w:w="4280" w:type="dxa"/>
            <w:vAlign w:val="bottom"/>
          </w:tcPr>
          <w:p>
            <w:pPr>
              <w:ind w:left="980"/>
              <w:spacing w:after="0"/>
              <w:rPr>
                <w:sz w:val="20"/>
                <w:szCs w:val="20"/>
                <w:color w:val="auto"/>
              </w:rPr>
            </w:pPr>
            <w:r>
              <w:rPr>
                <w:rFonts w:ascii="Arial" w:cs="Arial" w:eastAsia="Arial" w:hAnsi="Arial"/>
                <w:sz w:val="20"/>
                <w:szCs w:val="20"/>
                <w:b w:val="1"/>
                <w:bCs w:val="1"/>
                <w:color w:val="345988"/>
              </w:rPr>
              <w:t>By Tablet or Smartphone</w:t>
            </w:r>
          </w:p>
        </w:tc>
        <w:tc>
          <w:tcPr>
            <w:tcW w:w="3400" w:type="dxa"/>
            <w:vAlign w:val="bottom"/>
          </w:tcPr>
          <w:p>
            <w:pPr>
              <w:ind w:left="520"/>
              <w:spacing w:after="0"/>
              <w:rPr>
                <w:sz w:val="20"/>
                <w:szCs w:val="20"/>
                <w:color w:val="auto"/>
              </w:rPr>
            </w:pPr>
            <w:r>
              <w:rPr>
                <w:rFonts w:ascii="Arial" w:cs="Arial" w:eastAsia="Arial" w:hAnsi="Arial"/>
                <w:sz w:val="20"/>
                <w:szCs w:val="20"/>
                <w:b w:val="1"/>
                <w:bCs w:val="1"/>
                <w:color w:val="345988"/>
              </w:rPr>
              <w:t>By Telephone</w:t>
            </w:r>
          </w:p>
        </w:tc>
      </w:tr>
      <w:tr>
        <w:trPr>
          <w:trHeight w:val="202"/>
        </w:trPr>
        <w:tc>
          <w:tcPr>
            <w:tcW w:w="3760" w:type="dxa"/>
            <w:vAlign w:val="bottom"/>
          </w:tcPr>
          <w:p>
            <w:pPr>
              <w:ind w:left="820"/>
              <w:spacing w:after="0" w:line="202" w:lineRule="exact"/>
              <w:rPr>
                <w:sz w:val="20"/>
                <w:szCs w:val="20"/>
                <w:color w:val="auto"/>
              </w:rPr>
            </w:pPr>
            <w:r>
              <w:rPr>
                <w:rFonts w:ascii="Arial" w:cs="Arial" w:eastAsia="Arial" w:hAnsi="Arial"/>
                <w:sz w:val="18"/>
                <w:szCs w:val="18"/>
                <w:color w:val="auto"/>
              </w:rPr>
              <w:t>Visit www.proxyvote.com</w:t>
            </w:r>
          </w:p>
        </w:tc>
        <w:tc>
          <w:tcPr>
            <w:tcW w:w="4280" w:type="dxa"/>
            <w:vAlign w:val="bottom"/>
          </w:tcPr>
          <w:p>
            <w:pPr>
              <w:ind w:left="980"/>
              <w:spacing w:after="0" w:line="202" w:lineRule="exact"/>
              <w:rPr>
                <w:sz w:val="20"/>
                <w:szCs w:val="20"/>
                <w:color w:val="auto"/>
              </w:rPr>
            </w:pPr>
            <w:r>
              <w:rPr>
                <w:rFonts w:ascii="Arial" w:cs="Arial" w:eastAsia="Arial" w:hAnsi="Arial"/>
                <w:sz w:val="18"/>
                <w:szCs w:val="18"/>
                <w:color w:val="auto"/>
              </w:rPr>
              <w:t>Scan this QR code to vote with your</w:t>
            </w:r>
          </w:p>
        </w:tc>
        <w:tc>
          <w:tcPr>
            <w:tcW w:w="3400" w:type="dxa"/>
            <w:vAlign w:val="bottom"/>
          </w:tcPr>
          <w:p>
            <w:pPr>
              <w:ind w:left="520"/>
              <w:spacing w:after="0" w:line="202" w:lineRule="exact"/>
              <w:rPr>
                <w:sz w:val="20"/>
                <w:szCs w:val="20"/>
                <w:color w:val="auto"/>
              </w:rPr>
            </w:pPr>
            <w:r>
              <w:rPr>
                <w:rFonts w:ascii="Arial" w:cs="Arial" w:eastAsia="Arial" w:hAnsi="Arial"/>
                <w:sz w:val="18"/>
                <w:szCs w:val="18"/>
                <w:color w:val="auto"/>
              </w:rPr>
              <w:t>Call 1-800-454-8683 24h/7</w:t>
            </w:r>
          </w:p>
        </w:tc>
      </w:tr>
      <w:tr>
        <w:trPr>
          <w:trHeight w:val="237"/>
        </w:trPr>
        <w:tc>
          <w:tcPr>
            <w:tcW w:w="3760" w:type="dxa"/>
            <w:vAlign w:val="bottom"/>
          </w:tcPr>
          <w:p>
            <w:pPr>
              <w:spacing w:after="0"/>
              <w:rPr>
                <w:sz w:val="20"/>
                <w:szCs w:val="20"/>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mobile device</w:t>
            </w:r>
          </w:p>
        </w:tc>
        <w:tc>
          <w:tcPr>
            <w:tcW w:w="3400" w:type="dxa"/>
            <w:vAlign w:val="bottom"/>
          </w:tcPr>
          <w:p>
            <w:pPr>
              <w:spacing w:after="0"/>
              <w:rPr>
                <w:sz w:val="20"/>
                <w:szCs w:val="20"/>
                <w:color w:val="auto"/>
              </w:rPr>
            </w:pPr>
          </w:p>
        </w:tc>
      </w:tr>
      <w:tr>
        <w:trPr>
          <w:trHeight w:val="418"/>
        </w:trPr>
        <w:tc>
          <w:tcPr>
            <w:tcW w:w="37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00" w:type="dxa"/>
            <w:vAlign w:val="bottom"/>
          </w:tcPr>
          <w:p>
            <w:pPr>
              <w:ind w:left="1460"/>
              <w:spacing w:after="0"/>
              <w:rPr>
                <w:sz w:val="20"/>
                <w:szCs w:val="20"/>
                <w:color w:val="auto"/>
              </w:rPr>
            </w:pPr>
            <w:r>
              <w:rPr>
                <w:rFonts w:ascii="Arial" w:cs="Arial" w:eastAsia="Arial" w:hAnsi="Arial"/>
                <w:sz w:val="18"/>
                <w:szCs w:val="18"/>
                <w:color w:val="auto"/>
                <w:w w:val="99"/>
              </w:rPr>
              <w:t xml:space="preserve">2018 Proxy Statement </w:t>
            </w:r>
            <w:r>
              <w:rPr>
                <w:rFonts w:ascii="Arial" w:cs="Arial" w:eastAsia="Arial" w:hAnsi="Arial"/>
                <w:sz w:val="18"/>
                <w:szCs w:val="18"/>
                <w:color w:val="325889"/>
                <w:w w:val="99"/>
              </w:rPr>
              <w:t>1</w:t>
            </w:r>
          </w:p>
        </w:tc>
      </w:tr>
      <w:tr>
        <w:trPr>
          <w:trHeight w:val="210"/>
        </w:trPr>
        <w:tc>
          <w:tcPr>
            <w:tcW w:w="3760" w:type="dxa"/>
            <w:vAlign w:val="bottom"/>
            <w:tcBorders>
              <w:bottom w:val="single" w:sz="8" w:color="808080"/>
            </w:tcBorders>
          </w:tcPr>
          <w:p>
            <w:pPr>
              <w:spacing w:after="0"/>
              <w:rPr>
                <w:sz w:val="18"/>
                <w:szCs w:val="18"/>
                <w:color w:val="auto"/>
              </w:rPr>
            </w:pPr>
          </w:p>
        </w:tc>
        <w:tc>
          <w:tcPr>
            <w:tcW w:w="4280" w:type="dxa"/>
            <w:vAlign w:val="bottom"/>
            <w:tcBorders>
              <w:bottom w:val="single" w:sz="8" w:color="808080"/>
            </w:tcBorders>
          </w:tcPr>
          <w:p>
            <w:pPr>
              <w:spacing w:after="0"/>
              <w:rPr>
                <w:sz w:val="18"/>
                <w:szCs w:val="18"/>
                <w:color w:val="auto"/>
              </w:rPr>
            </w:pPr>
          </w:p>
        </w:tc>
        <w:tc>
          <w:tcPr>
            <w:tcW w:w="34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384810" cy="342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4810" cy="34226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-814070</wp:posOffset>
            </wp:positionV>
            <wp:extent cx="32512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120" cy="31686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-814070</wp:posOffset>
            </wp:positionV>
            <wp:extent cx="213995" cy="325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995" cy="325120"/>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2018 PROXY STATEMENT HIGHLIGHTS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Business Overview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b w:val="1"/>
                <w:bCs w:val="1"/>
                <w:color w:val="auto"/>
              </w:rPr>
              <w:t>Our Mission</w:t>
            </w:r>
          </w:p>
        </w:tc>
        <w:tc>
          <w:tcPr>
            <w:tcW w:w="10100" w:type="dxa"/>
            <w:vAlign w:val="bottom"/>
            <w:gridSpan w:val="5"/>
          </w:tcPr>
          <w:p>
            <w:pPr>
              <w:ind w:left="200"/>
              <w:spacing w:after="0"/>
              <w:rPr>
                <w:sz w:val="20"/>
                <w:szCs w:val="20"/>
                <w:color w:val="auto"/>
              </w:rPr>
            </w:pPr>
            <w:r>
              <w:rPr>
                <w:rFonts w:ascii="Arial" w:cs="Arial" w:eastAsia="Arial" w:hAnsi="Arial"/>
                <w:sz w:val="13"/>
                <w:szCs w:val="13"/>
                <w:color w:val="auto"/>
              </w:rPr>
              <w:t>We are a fully integrated REIT focused on maximizing total return to stockholders through strategically acquiring, redeveloping, repositioning and managing</w:t>
            </w:r>
          </w:p>
        </w:tc>
        <w:tc>
          <w:tcPr>
            <w:tcW w:w="0" w:type="dxa"/>
            <w:vAlign w:val="bottom"/>
          </w:tcPr>
          <w:p>
            <w:pPr>
              <w:spacing w:after="0"/>
              <w:rPr>
                <w:sz w:val="1"/>
                <w:szCs w:val="1"/>
                <w:color w:val="auto"/>
              </w:rPr>
            </w:pPr>
          </w:p>
        </w:tc>
      </w:tr>
      <w:tr>
        <w:trPr>
          <w:trHeight w:val="180"/>
        </w:trPr>
        <w:tc>
          <w:tcPr>
            <w:tcW w:w="1320" w:type="dxa"/>
            <w:vAlign w:val="bottom"/>
          </w:tcPr>
          <w:p>
            <w:pPr>
              <w:spacing w:after="0"/>
              <w:rPr>
                <w:sz w:val="15"/>
                <w:szCs w:val="15"/>
                <w:color w:val="auto"/>
              </w:rPr>
            </w:pPr>
          </w:p>
        </w:tc>
        <w:tc>
          <w:tcPr>
            <w:tcW w:w="7680" w:type="dxa"/>
            <w:vAlign w:val="bottom"/>
            <w:gridSpan w:val="4"/>
          </w:tcPr>
          <w:p>
            <w:pPr>
              <w:ind w:left="200"/>
              <w:spacing w:after="0"/>
              <w:rPr>
                <w:sz w:val="20"/>
                <w:szCs w:val="20"/>
                <w:color w:val="auto"/>
              </w:rPr>
            </w:pPr>
            <w:r>
              <w:rPr>
                <w:rFonts w:ascii="Arial" w:cs="Arial" w:eastAsia="Arial" w:hAnsi="Arial"/>
                <w:sz w:val="13"/>
                <w:szCs w:val="13"/>
                <w:color w:val="auto"/>
              </w:rPr>
              <w:t>commercial properties, located primarily in Manhattan, in order to generate cash flow and create value.</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1320" w:type="dxa"/>
            <w:vAlign w:val="bottom"/>
          </w:tcPr>
          <w:p>
            <w:pPr>
              <w:spacing w:after="0" w:line="249" w:lineRule="exact"/>
              <w:rPr>
                <w:sz w:val="20"/>
                <w:szCs w:val="20"/>
                <w:color w:val="auto"/>
              </w:rPr>
            </w:pPr>
            <w:r>
              <w:rPr>
                <w:rFonts w:ascii="Arial" w:cs="Arial" w:eastAsia="Arial" w:hAnsi="Arial"/>
                <w:sz w:val="17"/>
                <w:szCs w:val="17"/>
                <w:b w:val="1"/>
                <w:bCs w:val="1"/>
                <w:color w:val="auto"/>
              </w:rPr>
              <w:t>Who We Are</w:t>
            </w:r>
            <w:r>
              <w:rPr>
                <w:rFonts w:ascii="Arial" w:cs="Arial" w:eastAsia="Arial" w:hAnsi="Arial"/>
                <w:sz w:val="28"/>
                <w:szCs w:val="28"/>
                <w:b w:val="1"/>
                <w:bCs w:val="1"/>
                <w:color w:val="auto"/>
                <w:vertAlign w:val="superscript"/>
              </w:rPr>
              <w:t>1</w:t>
            </w:r>
          </w:p>
        </w:tc>
        <w:tc>
          <w:tcPr>
            <w:tcW w:w="200" w:type="dxa"/>
            <w:vAlign w:val="bottom"/>
          </w:tcPr>
          <w:p>
            <w:pPr>
              <w:spacing w:after="0"/>
              <w:rPr>
                <w:sz w:val="21"/>
                <w:szCs w:val="21"/>
                <w:color w:val="auto"/>
              </w:rPr>
            </w:pPr>
          </w:p>
        </w:tc>
        <w:tc>
          <w:tcPr>
            <w:tcW w:w="2460" w:type="dxa"/>
            <w:vAlign w:val="bottom"/>
            <w:vMerge w:val="restart"/>
            <w:shd w:val="clear" w:color="auto" w:fill="98A0B5"/>
          </w:tcPr>
          <w:p>
            <w:pPr>
              <w:jc w:val="center"/>
              <w:spacing w:after="0"/>
              <w:rPr>
                <w:sz w:val="20"/>
                <w:szCs w:val="20"/>
                <w:color w:val="auto"/>
              </w:rPr>
            </w:pPr>
            <w:r>
              <w:rPr>
                <w:rFonts w:ascii="Arial" w:cs="Arial" w:eastAsia="Arial" w:hAnsi="Arial"/>
                <w:sz w:val="22"/>
                <w:szCs w:val="22"/>
                <w:b w:val="1"/>
                <w:bCs w:val="1"/>
                <w:color w:val="FFFFFF"/>
                <w:w w:val="98"/>
              </w:rPr>
              <w:t>$1.8 Billion</w:t>
            </w:r>
          </w:p>
        </w:tc>
        <w:tc>
          <w:tcPr>
            <w:tcW w:w="2580" w:type="dxa"/>
            <w:vAlign w:val="bottom"/>
            <w:shd w:val="clear" w:color="auto" w:fill="98A0B5"/>
          </w:tcPr>
          <w:p>
            <w:pPr>
              <w:jc w:val="center"/>
              <w:spacing w:after="0" w:line="248" w:lineRule="exact"/>
              <w:rPr>
                <w:sz w:val="20"/>
                <w:szCs w:val="20"/>
                <w:color w:val="auto"/>
              </w:rPr>
            </w:pPr>
            <w:r>
              <w:rPr>
                <w:rFonts w:ascii="Arial" w:cs="Arial" w:eastAsia="Arial" w:hAnsi="Arial"/>
                <w:sz w:val="22"/>
                <w:szCs w:val="22"/>
                <w:b w:val="1"/>
                <w:bCs w:val="1"/>
                <w:color w:val="FFFFFF"/>
                <w:w w:val="97"/>
              </w:rPr>
              <w:t>#1</w:t>
            </w:r>
          </w:p>
        </w:tc>
        <w:tc>
          <w:tcPr>
            <w:tcW w:w="2440" w:type="dxa"/>
            <w:vAlign w:val="bottom"/>
            <w:vMerge w:val="restart"/>
            <w:shd w:val="clear" w:color="auto" w:fill="98A0B5"/>
          </w:tcPr>
          <w:p>
            <w:pPr>
              <w:jc w:val="center"/>
              <w:ind w:right="22"/>
              <w:spacing w:after="0"/>
              <w:rPr>
                <w:sz w:val="20"/>
                <w:szCs w:val="20"/>
                <w:color w:val="auto"/>
              </w:rPr>
            </w:pPr>
            <w:r>
              <w:rPr>
                <w:rFonts w:ascii="Arial" w:cs="Arial" w:eastAsia="Arial" w:hAnsi="Arial"/>
                <w:sz w:val="22"/>
                <w:szCs w:val="22"/>
                <w:b w:val="1"/>
                <w:bCs w:val="1"/>
                <w:color w:val="FFFFFF"/>
                <w:w w:val="97"/>
              </w:rPr>
              <w:t>53.7 Million</w:t>
            </w:r>
          </w:p>
        </w:tc>
        <w:tc>
          <w:tcPr>
            <w:tcW w:w="2420" w:type="dxa"/>
            <w:vAlign w:val="bottom"/>
            <w:vMerge w:val="restart"/>
            <w:shd w:val="clear" w:color="auto" w:fill="98A0B5"/>
          </w:tcPr>
          <w:p>
            <w:pPr>
              <w:jc w:val="center"/>
              <w:spacing w:after="0"/>
              <w:rPr>
                <w:sz w:val="20"/>
                <w:szCs w:val="20"/>
                <w:color w:val="auto"/>
              </w:rPr>
            </w:pPr>
            <w:r>
              <w:rPr>
                <w:rFonts w:ascii="Arial" w:cs="Arial" w:eastAsia="Arial" w:hAnsi="Arial"/>
                <w:sz w:val="22"/>
                <w:szCs w:val="22"/>
                <w:b w:val="1"/>
                <w:bCs w:val="1"/>
                <w:color w:val="FFFFFF"/>
                <w:w w:val="98"/>
              </w:rPr>
              <w:t>$20.4 Billion</w:t>
            </w:r>
          </w:p>
        </w:tc>
        <w:tc>
          <w:tcPr>
            <w:tcW w:w="0" w:type="dxa"/>
            <w:vAlign w:val="bottom"/>
          </w:tcPr>
          <w:p>
            <w:pPr>
              <w:spacing w:after="0"/>
              <w:rPr>
                <w:sz w:val="1"/>
                <w:szCs w:val="1"/>
                <w:color w:val="auto"/>
              </w:rPr>
            </w:pPr>
          </w:p>
        </w:tc>
      </w:tr>
      <w:tr>
        <w:trPr>
          <w:trHeight w:val="84"/>
        </w:trPr>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vMerge w:val="continue"/>
            <w:shd w:val="clear" w:color="auto" w:fill="98A0B5"/>
          </w:tcPr>
          <w:p>
            <w:pPr>
              <w:spacing w:after="0"/>
              <w:rPr>
                <w:sz w:val="7"/>
                <w:szCs w:val="7"/>
                <w:color w:val="auto"/>
              </w:rPr>
            </w:pPr>
          </w:p>
        </w:tc>
        <w:tc>
          <w:tcPr>
            <w:tcW w:w="2580" w:type="dxa"/>
            <w:vAlign w:val="bottom"/>
            <w:vMerge w:val="restart"/>
            <w:shd w:val="clear" w:color="auto" w:fill="98A0B5"/>
          </w:tcPr>
          <w:p>
            <w:pPr>
              <w:jc w:val="center"/>
              <w:spacing w:after="0" w:line="202" w:lineRule="exact"/>
              <w:rPr>
                <w:sz w:val="20"/>
                <w:szCs w:val="20"/>
                <w:color w:val="auto"/>
              </w:rPr>
            </w:pPr>
            <w:r>
              <w:rPr>
                <w:rFonts w:ascii="Arial" w:cs="Arial" w:eastAsia="Arial" w:hAnsi="Arial"/>
                <w:sz w:val="18"/>
                <w:szCs w:val="18"/>
                <w:b w:val="1"/>
                <w:bCs w:val="1"/>
                <w:color w:val="345988"/>
                <w:w w:val="96"/>
              </w:rPr>
              <w:t>Owner of Office</w:t>
            </w:r>
          </w:p>
        </w:tc>
        <w:tc>
          <w:tcPr>
            <w:tcW w:w="2440" w:type="dxa"/>
            <w:vAlign w:val="bottom"/>
            <w:vMerge w:val="continue"/>
            <w:shd w:val="clear" w:color="auto" w:fill="98A0B5"/>
          </w:tcPr>
          <w:p>
            <w:pPr>
              <w:spacing w:after="0"/>
              <w:rPr>
                <w:sz w:val="7"/>
                <w:szCs w:val="7"/>
                <w:color w:val="auto"/>
              </w:rPr>
            </w:pPr>
          </w:p>
        </w:tc>
        <w:tc>
          <w:tcPr>
            <w:tcW w:w="2420" w:type="dxa"/>
            <w:vAlign w:val="bottom"/>
            <w:vMerge w:val="continue"/>
            <w:shd w:val="clear" w:color="auto" w:fill="98A0B5"/>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vMerge w:val="restart"/>
            <w:shd w:val="clear" w:color="auto" w:fill="98A0B5"/>
          </w:tcPr>
          <w:p>
            <w:pPr>
              <w:jc w:val="center"/>
              <w:spacing w:after="0"/>
              <w:rPr>
                <w:sz w:val="20"/>
                <w:szCs w:val="20"/>
                <w:color w:val="auto"/>
              </w:rPr>
            </w:pPr>
            <w:r>
              <w:rPr>
                <w:rFonts w:ascii="Arial" w:cs="Arial" w:eastAsia="Arial" w:hAnsi="Arial"/>
                <w:sz w:val="18"/>
                <w:szCs w:val="18"/>
                <w:b w:val="1"/>
                <w:bCs w:val="1"/>
                <w:color w:val="345988"/>
                <w:w w:val="96"/>
              </w:rPr>
              <w:t>Combined Revenues</w:t>
            </w:r>
          </w:p>
        </w:tc>
        <w:tc>
          <w:tcPr>
            <w:tcW w:w="2580" w:type="dxa"/>
            <w:vAlign w:val="bottom"/>
            <w:vMerge w:val="continue"/>
            <w:shd w:val="clear" w:color="auto" w:fill="98A0B5"/>
          </w:tcPr>
          <w:p>
            <w:pPr>
              <w:spacing w:after="0"/>
              <w:rPr>
                <w:sz w:val="10"/>
                <w:szCs w:val="10"/>
                <w:color w:val="auto"/>
              </w:rPr>
            </w:pPr>
          </w:p>
        </w:tc>
        <w:tc>
          <w:tcPr>
            <w:tcW w:w="2440" w:type="dxa"/>
            <w:vAlign w:val="bottom"/>
            <w:vMerge w:val="restart"/>
            <w:shd w:val="clear" w:color="auto" w:fill="98A0B5"/>
          </w:tcPr>
          <w:p>
            <w:pPr>
              <w:jc w:val="center"/>
              <w:ind w:right="2"/>
              <w:spacing w:after="0" w:line="301" w:lineRule="exact"/>
              <w:rPr>
                <w:sz w:val="20"/>
                <w:szCs w:val="20"/>
                <w:color w:val="auto"/>
              </w:rPr>
            </w:pPr>
            <w:r>
              <w:rPr>
                <w:rFonts w:ascii="Arial" w:cs="Arial" w:eastAsia="Arial" w:hAnsi="Arial"/>
                <w:sz w:val="18"/>
                <w:szCs w:val="18"/>
                <w:b w:val="1"/>
                <w:bCs w:val="1"/>
                <w:color w:val="345988"/>
                <w:w w:val="95"/>
              </w:rPr>
              <w:t>Total Square Feet</w:t>
            </w:r>
            <w:r>
              <w:rPr>
                <w:rFonts w:ascii="Arial" w:cs="Arial" w:eastAsia="Arial" w:hAnsi="Arial"/>
                <w:sz w:val="29"/>
                <w:szCs w:val="29"/>
                <w:b w:val="1"/>
                <w:bCs w:val="1"/>
                <w:color w:val="345988"/>
                <w:w w:val="95"/>
                <w:vertAlign w:val="superscript"/>
              </w:rPr>
              <w:t>2</w:t>
            </w:r>
          </w:p>
        </w:tc>
        <w:tc>
          <w:tcPr>
            <w:tcW w:w="2420" w:type="dxa"/>
            <w:vAlign w:val="bottom"/>
            <w:vMerge w:val="restart"/>
            <w:shd w:val="clear" w:color="auto" w:fill="98A0B5"/>
          </w:tcPr>
          <w:p>
            <w:pPr>
              <w:jc w:val="center"/>
              <w:spacing w:after="0"/>
              <w:rPr>
                <w:sz w:val="20"/>
                <w:szCs w:val="20"/>
                <w:color w:val="auto"/>
              </w:rPr>
            </w:pPr>
            <w:r>
              <w:rPr>
                <w:rFonts w:ascii="Arial" w:cs="Arial" w:eastAsia="Arial" w:hAnsi="Arial"/>
                <w:sz w:val="18"/>
                <w:szCs w:val="18"/>
                <w:b w:val="1"/>
                <w:bCs w:val="1"/>
                <w:color w:val="345988"/>
                <w:w w:val="97"/>
              </w:rPr>
              <w:t>Enterprise Value</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vMerge w:val="continue"/>
            <w:shd w:val="clear" w:color="auto" w:fill="98A0B5"/>
          </w:tcPr>
          <w:p>
            <w:pPr>
              <w:spacing w:after="0"/>
              <w:rPr>
                <w:sz w:val="15"/>
                <w:szCs w:val="15"/>
                <w:color w:val="auto"/>
              </w:rPr>
            </w:pPr>
          </w:p>
        </w:tc>
        <w:tc>
          <w:tcPr>
            <w:tcW w:w="2580" w:type="dxa"/>
            <w:vAlign w:val="bottom"/>
            <w:vMerge w:val="restart"/>
            <w:shd w:val="clear" w:color="auto" w:fill="98A0B5"/>
          </w:tcPr>
          <w:p>
            <w:pPr>
              <w:jc w:val="center"/>
              <w:spacing w:after="0"/>
              <w:rPr>
                <w:sz w:val="20"/>
                <w:szCs w:val="20"/>
                <w:color w:val="auto"/>
              </w:rPr>
            </w:pPr>
            <w:r>
              <w:rPr>
                <w:rFonts w:ascii="Arial" w:cs="Arial" w:eastAsia="Arial" w:hAnsi="Arial"/>
                <w:sz w:val="18"/>
                <w:szCs w:val="18"/>
                <w:b w:val="1"/>
                <w:bCs w:val="1"/>
                <w:color w:val="345988"/>
                <w:w w:val="96"/>
              </w:rPr>
              <w:t>Property in Manhattan</w:t>
            </w:r>
          </w:p>
        </w:tc>
        <w:tc>
          <w:tcPr>
            <w:tcW w:w="2440" w:type="dxa"/>
            <w:vAlign w:val="bottom"/>
            <w:vMerge w:val="continue"/>
            <w:shd w:val="clear" w:color="auto" w:fill="98A0B5"/>
          </w:tcPr>
          <w:p>
            <w:pPr>
              <w:spacing w:after="0"/>
              <w:rPr>
                <w:sz w:val="15"/>
                <w:szCs w:val="15"/>
                <w:color w:val="auto"/>
              </w:rPr>
            </w:pPr>
          </w:p>
        </w:tc>
        <w:tc>
          <w:tcPr>
            <w:tcW w:w="2420" w:type="dxa"/>
            <w:vAlign w:val="bottom"/>
            <w:vMerge w:val="continue"/>
            <w:shd w:val="clear" w:color="auto" w:fill="98A0B5"/>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1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shd w:val="clear" w:color="auto" w:fill="98A0B5"/>
          </w:tcPr>
          <w:p>
            <w:pPr>
              <w:spacing w:after="0"/>
              <w:rPr>
                <w:sz w:val="5"/>
                <w:szCs w:val="5"/>
                <w:color w:val="auto"/>
              </w:rPr>
            </w:pPr>
          </w:p>
        </w:tc>
        <w:tc>
          <w:tcPr>
            <w:tcW w:w="2580" w:type="dxa"/>
            <w:vAlign w:val="bottom"/>
            <w:vMerge w:val="continue"/>
            <w:shd w:val="clear" w:color="auto" w:fill="98A0B5"/>
          </w:tcPr>
          <w:p>
            <w:pPr>
              <w:spacing w:after="0"/>
              <w:rPr>
                <w:sz w:val="5"/>
                <w:szCs w:val="5"/>
                <w:color w:val="auto"/>
              </w:rPr>
            </w:pPr>
          </w:p>
        </w:tc>
        <w:tc>
          <w:tcPr>
            <w:tcW w:w="2440" w:type="dxa"/>
            <w:vAlign w:val="bottom"/>
            <w:shd w:val="clear" w:color="auto" w:fill="98A0B5"/>
          </w:tcPr>
          <w:p>
            <w:pPr>
              <w:spacing w:after="0"/>
              <w:rPr>
                <w:sz w:val="5"/>
                <w:szCs w:val="5"/>
                <w:color w:val="auto"/>
              </w:rPr>
            </w:pPr>
          </w:p>
        </w:tc>
        <w:tc>
          <w:tcPr>
            <w:tcW w:w="2420" w:type="dxa"/>
            <w:vAlign w:val="bottom"/>
            <w:shd w:val="clear" w:color="auto" w:fill="98A0B5"/>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5685790</wp:posOffset>
            </wp:positionH>
            <wp:positionV relativeFrom="paragraph">
              <wp:posOffset>-444500</wp:posOffset>
            </wp:positionV>
            <wp:extent cx="8255" cy="445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-444500</wp:posOffset>
            </wp:positionV>
            <wp:extent cx="8255" cy="4451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-444500</wp:posOffset>
            </wp:positionV>
            <wp:extent cx="8255" cy="4451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44513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differentiate ourselves from our peers and competitors in three key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061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61845"/>
                    </a:xfrm>
                    <a:prstGeom prst="rect">
                      <a:avLst/>
                    </a:prstGeom>
                    <a:noFill/>
                  </pic:spPr>
                </pic:pic>
              </a:graphicData>
            </a:graphic>
          </wp:anchor>
        </w:drawing>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45988"/>
        </w:rPr>
        <w:t>Active and Engaged Business Strategy</w:t>
      </w:r>
    </w:p>
    <w:p>
      <w:pPr>
        <w:spacing w:after="0" w:line="78" w:lineRule="exact"/>
        <w:rPr>
          <w:sz w:val="20"/>
          <w:szCs w:val="20"/>
          <w:color w:val="auto"/>
        </w:rPr>
      </w:pPr>
    </w:p>
    <w:p>
      <w:pPr>
        <w:ind w:left="340" w:hanging="202"/>
        <w:spacing w:after="0"/>
        <w:tabs>
          <w:tab w:leader="none" w:pos="340" w:val="left"/>
        </w:tabs>
        <w:numPr>
          <w:ilvl w:val="0"/>
          <w:numId w:val="4"/>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In any given year, we execute more transactions than many of our competitors do over a much longer, multi-year period</w:t>
      </w:r>
    </w:p>
    <w:p>
      <w:pPr>
        <w:spacing w:after="0" w:line="65" w:lineRule="exact"/>
        <w:rPr>
          <w:rFonts w:ascii="Times New Roman" w:cs="Times New Roman" w:eastAsia="Times New Roman" w:hAnsi="Times New Roman"/>
          <w:sz w:val="13"/>
          <w:szCs w:val="13"/>
          <w:color w:val="FFFFFF"/>
        </w:rPr>
      </w:pPr>
    </w:p>
    <w:p>
      <w:pPr>
        <w:ind w:left="340" w:hanging="202"/>
        <w:spacing w:after="0"/>
        <w:tabs>
          <w:tab w:leader="none" w:pos="340" w:val="left"/>
        </w:tabs>
        <w:numPr>
          <w:ilvl w:val="0"/>
          <w:numId w:val="4"/>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SLG does not subscribe to a traditional “buy and hold” strategy and is a very active transaction-oriented company</w:t>
      </w:r>
    </w:p>
    <w:p>
      <w:pPr>
        <w:spacing w:after="0" w:line="78" w:lineRule="exact"/>
        <w:rPr>
          <w:rFonts w:ascii="Times New Roman" w:cs="Times New Roman" w:eastAsia="Times New Roman" w:hAnsi="Times New Roman"/>
          <w:sz w:val="13"/>
          <w:szCs w:val="13"/>
          <w:color w:val="FFFFFF"/>
        </w:rPr>
      </w:pPr>
    </w:p>
    <w:p>
      <w:pPr>
        <w:ind w:left="340" w:hanging="202"/>
        <w:spacing w:after="0"/>
        <w:tabs>
          <w:tab w:leader="none" w:pos="340" w:val="left"/>
        </w:tabs>
        <w:numPr>
          <w:ilvl w:val="0"/>
          <w:numId w:val="4"/>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Accordingly, we frequently capitalize on opportunities in the market, maximizing returns</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45988"/>
        </w:rPr>
        <w:t>Operations on Multiple Platforms</w:t>
      </w:r>
    </w:p>
    <w:p>
      <w:pPr>
        <w:spacing w:after="0" w:line="78" w:lineRule="exact"/>
        <w:rPr>
          <w:sz w:val="20"/>
          <w:szCs w:val="20"/>
          <w:color w:val="auto"/>
        </w:rPr>
      </w:pPr>
    </w:p>
    <w:p>
      <w:pPr>
        <w:ind w:left="340" w:hanging="202"/>
        <w:spacing w:after="0"/>
        <w:tabs>
          <w:tab w:leader="none" w:pos="340" w:val="left"/>
        </w:tabs>
        <w:numPr>
          <w:ilvl w:val="0"/>
          <w:numId w:val="5"/>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Buy and sell properties independently and collaborate with other organizations through joint ventures when advantageous</w:t>
      </w:r>
    </w:p>
    <w:p>
      <w:pPr>
        <w:spacing w:after="0" w:line="65" w:lineRule="exact"/>
        <w:rPr>
          <w:rFonts w:ascii="Times New Roman" w:cs="Times New Roman" w:eastAsia="Times New Roman" w:hAnsi="Times New Roman"/>
          <w:sz w:val="13"/>
          <w:szCs w:val="13"/>
          <w:color w:val="FFFFFF"/>
        </w:rPr>
      </w:pPr>
    </w:p>
    <w:p>
      <w:pPr>
        <w:ind w:left="340" w:hanging="202"/>
        <w:spacing w:after="0"/>
        <w:tabs>
          <w:tab w:leader="none" w:pos="340" w:val="left"/>
        </w:tabs>
        <w:numPr>
          <w:ilvl w:val="0"/>
          <w:numId w:val="5"/>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Invest in redeveloping existing assets and develop projects from the ground up (e.g. One Vanderbilt)</w:t>
      </w:r>
    </w:p>
    <w:p>
      <w:pPr>
        <w:spacing w:after="0" w:line="78" w:lineRule="exact"/>
        <w:rPr>
          <w:rFonts w:ascii="Times New Roman" w:cs="Times New Roman" w:eastAsia="Times New Roman" w:hAnsi="Times New Roman"/>
          <w:sz w:val="13"/>
          <w:szCs w:val="13"/>
          <w:color w:val="FFFFFF"/>
        </w:rPr>
      </w:pPr>
    </w:p>
    <w:p>
      <w:pPr>
        <w:ind w:left="380" w:right="220" w:hanging="242"/>
        <w:spacing w:after="0" w:line="301" w:lineRule="auto"/>
        <w:tabs>
          <w:tab w:leader="none" w:pos="357" w:val="left"/>
        </w:tabs>
        <w:numPr>
          <w:ilvl w:val="0"/>
          <w:numId w:val="5"/>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Provide financing for other real estate investors through our debt and preferred equity platform – a unique service that we offer at a scale unmatched by our peers, which provides us a diversified source of revenue and market intelligence</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45988"/>
        </w:rPr>
        <w:t>NYC-Focused Business Model</w:t>
      </w:r>
    </w:p>
    <w:p>
      <w:pPr>
        <w:spacing w:after="0" w:line="78" w:lineRule="exact"/>
        <w:rPr>
          <w:sz w:val="20"/>
          <w:szCs w:val="20"/>
          <w:color w:val="auto"/>
        </w:rPr>
      </w:pPr>
    </w:p>
    <w:p>
      <w:pPr>
        <w:ind w:left="340" w:hanging="202"/>
        <w:spacing w:after="0"/>
        <w:tabs>
          <w:tab w:leader="none" w:pos="340" w:val="left"/>
        </w:tabs>
        <w:numPr>
          <w:ilvl w:val="0"/>
          <w:numId w:val="6"/>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Singularly focused on New York City real estate – one of the most resilient markets through business cycles, but also one of the most complex</w:t>
      </w:r>
    </w:p>
    <w:p>
      <w:pPr>
        <w:spacing w:after="0" w:line="65" w:lineRule="exact"/>
        <w:rPr>
          <w:rFonts w:ascii="Times New Roman" w:cs="Times New Roman" w:eastAsia="Times New Roman" w:hAnsi="Times New Roman"/>
          <w:sz w:val="13"/>
          <w:szCs w:val="13"/>
          <w:color w:val="FFFFFF"/>
        </w:rPr>
      </w:pPr>
    </w:p>
    <w:p>
      <w:pPr>
        <w:ind w:left="340" w:hanging="202"/>
        <w:spacing w:after="0"/>
        <w:tabs>
          <w:tab w:leader="none" w:pos="340" w:val="left"/>
        </w:tabs>
        <w:numPr>
          <w:ilvl w:val="0"/>
          <w:numId w:val="6"/>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Presence and operations in this market necessitate a top level of talent in our executive ranks</w:t>
      </w:r>
    </w:p>
    <w:p>
      <w:pPr>
        <w:spacing w:after="0" w:line="78" w:lineRule="exact"/>
        <w:rPr>
          <w:rFonts w:ascii="Times New Roman" w:cs="Times New Roman" w:eastAsia="Times New Roman" w:hAnsi="Times New Roman"/>
          <w:sz w:val="13"/>
          <w:szCs w:val="13"/>
          <w:color w:val="FFFFFF"/>
        </w:rPr>
      </w:pPr>
    </w:p>
    <w:p>
      <w:pPr>
        <w:ind w:left="380" w:right="360" w:hanging="242"/>
        <w:spacing w:after="0" w:line="301" w:lineRule="auto"/>
        <w:tabs>
          <w:tab w:leader="none" w:pos="357" w:val="left"/>
        </w:tabs>
        <w:numPr>
          <w:ilvl w:val="0"/>
          <w:numId w:val="6"/>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Our leadership team manages our cost base, allowing us to be very efficient, with an employee base much smaller than other fully-integrated “gateway city” real estate companies that transact far less business than SLG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1480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80185"/>
                    </a:xfrm>
                    <a:prstGeom prst="rect">
                      <a:avLst/>
                    </a:prstGeom>
                    <a:noFill/>
                  </pic:spPr>
                </pic:pic>
              </a:graphicData>
            </a:graphic>
          </wp:anchor>
        </w:drawing>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Growth in FFO Per Share</w:t>
      </w:r>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Arial" w:cs="Arial" w:eastAsia="Arial" w:hAnsi="Arial"/>
          <w:sz w:val="36"/>
          <w:szCs w:val="36"/>
          <w:b w:val="1"/>
          <w:bCs w:val="1"/>
          <w:color w:val="FFFFFF"/>
        </w:rPr>
        <w:t>25%</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345988"/>
        </w:rPr>
        <w:t>growth in normalized FFO per</w:t>
      </w:r>
    </w:p>
    <w:p>
      <w:pPr>
        <w:ind w:left="400"/>
        <w:spacing w:after="0"/>
        <w:rPr>
          <w:sz w:val="20"/>
          <w:szCs w:val="20"/>
          <w:color w:val="auto"/>
        </w:rPr>
      </w:pPr>
      <w:r>
        <w:rPr>
          <w:rFonts w:ascii="Arial" w:cs="Arial" w:eastAsia="Arial" w:hAnsi="Arial"/>
          <w:sz w:val="22"/>
          <w:szCs w:val="22"/>
          <w:b w:val="1"/>
          <w:bCs w:val="1"/>
          <w:color w:val="345988"/>
        </w:rPr>
        <w:t>share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7246620" cy="1557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5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40"/>
        <w:spacing w:after="0"/>
        <w:rPr>
          <w:sz w:val="20"/>
          <w:szCs w:val="20"/>
          <w:color w:val="auto"/>
        </w:rPr>
      </w:pPr>
      <w:r>
        <w:rPr>
          <w:rFonts w:ascii="Arial" w:cs="Arial" w:eastAsia="Arial" w:hAnsi="Arial"/>
          <w:sz w:val="13"/>
          <w:szCs w:val="13"/>
          <w:b w:val="1"/>
          <w:bCs w:val="1"/>
          <w:color w:val="345988"/>
        </w:rPr>
        <w:t>SLG TSR % vs. MSCI U.S. REIT Index Total Return</w:t>
      </w:r>
      <w:r>
        <w:rPr>
          <w:rFonts w:ascii="Arial" w:cs="Arial" w:eastAsia="Arial" w:hAnsi="Arial"/>
          <w:sz w:val="22"/>
          <w:szCs w:val="22"/>
          <w:b w:val="1"/>
          <w:bCs w:val="1"/>
          <w:color w:val="345988"/>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900" w:right="500"/>
        <w:spacing w:after="0" w:line="280" w:lineRule="auto"/>
        <w:rPr>
          <w:sz w:val="20"/>
          <w:szCs w:val="20"/>
          <w:color w:val="auto"/>
        </w:rPr>
      </w:pPr>
      <w:r>
        <w:rPr>
          <w:rFonts w:ascii="Arial" w:cs="Arial" w:eastAsia="Arial" w:hAnsi="Arial"/>
          <w:sz w:val="18"/>
          <w:szCs w:val="18"/>
          <w:b w:val="1"/>
          <w:bCs w:val="1"/>
          <w:color w:val="FFFFFF"/>
        </w:rPr>
        <w:t>We have continued to deliver superior long-term return to stockholders, or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3"/>
          <w:szCs w:val="13"/>
          <w:color w:val="auto"/>
        </w:rPr>
        <w:t>Data as of 12/31/2017</w:t>
      </w:r>
    </w:p>
    <w:p>
      <w:pPr>
        <w:spacing w:after="0" w:line="28"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3"/>
          <w:szCs w:val="13"/>
          <w:color w:val="auto"/>
        </w:rPr>
        <w:t>Includes debt and preferred equity investments and suburban properties</w:t>
      </w:r>
    </w:p>
    <w:p>
      <w:pPr>
        <w:spacing w:after="0" w:line="12"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1"/>
          <w:szCs w:val="11"/>
          <w:color w:val="auto"/>
        </w:rPr>
      </w:pPr>
      <w:r>
        <w:rPr>
          <w:rFonts w:ascii="Arial" w:cs="Arial" w:eastAsia="Arial" w:hAnsi="Arial"/>
          <w:sz w:val="13"/>
          <w:szCs w:val="13"/>
          <w:color w:val="auto"/>
        </w:rPr>
        <w:t>Refer to Appendix A to this proxy statement for a reconciliation of Normalized FFO</w:t>
      </w:r>
    </w:p>
    <w:p>
      <w:pPr>
        <w:spacing w:after="0" w:line="12"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4   </w:t>
      </w:r>
      <w:r>
        <w:rPr>
          <w:rFonts w:ascii="Arial" w:cs="Arial" w:eastAsia="Arial" w:hAnsi="Arial"/>
          <w:sz w:val="13"/>
          <w:szCs w:val="13"/>
          <w:color w:val="auto"/>
        </w:rPr>
        <w:t>Source: Bloomberg; August 14, 1997 – December 29, 2017</w:t>
      </w:r>
    </w:p>
    <w:p>
      <w:pPr>
        <w:spacing w:after="0" w:line="210"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2018 PROXY STATEMENT HIGHLIGHTS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0610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061085"/>
                    </a:xfrm>
                    <a:prstGeom prst="rect">
                      <a:avLst/>
                    </a:prstGeom>
                    <a:noFill/>
                  </pic:spPr>
                </pic:pic>
              </a:graphicData>
            </a:graphic>
          </wp:anchor>
        </w:drawing>
      </w:r>
    </w:p>
    <w:p>
      <w:pPr>
        <w:spacing w:after="0" w:line="3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45988"/>
        </w:rPr>
        <w:t>Stockholder Engagement and Demonstrated Responsiveness</w:t>
      </w:r>
    </w:p>
    <w:p>
      <w:pPr>
        <w:spacing w:after="0" w:line="78" w:lineRule="exact"/>
        <w:rPr>
          <w:sz w:val="20"/>
          <w:szCs w:val="20"/>
          <w:color w:val="auto"/>
        </w:rPr>
      </w:pPr>
    </w:p>
    <w:p>
      <w:pPr>
        <w:ind w:left="360" w:hanging="222"/>
        <w:spacing w:after="0"/>
        <w:tabs>
          <w:tab w:leader="none" w:pos="360" w:val="left"/>
        </w:tabs>
        <w:numPr>
          <w:ilvl w:val="0"/>
          <w:numId w:val="11"/>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We have reached out to at least 65% of stockholders in each of the past three years</w:t>
      </w:r>
    </w:p>
    <w:p>
      <w:pPr>
        <w:spacing w:after="0" w:line="65" w:lineRule="exact"/>
        <w:rPr>
          <w:rFonts w:ascii="Times New Roman" w:cs="Times New Roman" w:eastAsia="Times New Roman" w:hAnsi="Times New Roman"/>
          <w:sz w:val="13"/>
          <w:szCs w:val="13"/>
          <w:color w:val="FFFFFF"/>
        </w:rPr>
      </w:pPr>
    </w:p>
    <w:p>
      <w:pPr>
        <w:ind w:left="380" w:right="320" w:hanging="242"/>
        <w:spacing w:after="0" w:line="269" w:lineRule="auto"/>
        <w:tabs>
          <w:tab w:leader="none" w:pos="371" w:val="left"/>
        </w:tabs>
        <w:numPr>
          <w:ilvl w:val="0"/>
          <w:numId w:val="11"/>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In response to the significant shareholder outreach we conducted, the Compensation Committee completed a new employment agreement, to be effective in 2019, that redesigns our CEO’s compensation to provide for a simpler structure, enhanced transparency and stronger alignment with corporate governance best practices. Going forward, the Compensation Committee intends to align the rest of the executive team with the CEO’s redesigned compensation structure.</w:t>
      </w:r>
    </w:p>
    <w:p>
      <w:pPr>
        <w:spacing w:after="0" w:line="22" w:lineRule="exact"/>
        <w:rPr>
          <w:rFonts w:ascii="Times New Roman" w:cs="Times New Roman" w:eastAsia="Times New Roman" w:hAnsi="Times New Roman"/>
          <w:sz w:val="13"/>
          <w:szCs w:val="13"/>
          <w:color w:val="FFFFFF"/>
        </w:rPr>
      </w:pPr>
    </w:p>
    <w:p>
      <w:pPr>
        <w:ind w:left="360" w:hanging="222"/>
        <w:spacing w:after="0"/>
        <w:tabs>
          <w:tab w:leader="none" w:pos="360" w:val="left"/>
        </w:tabs>
        <w:numPr>
          <w:ilvl w:val="0"/>
          <w:numId w:val="11"/>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These changes reflect stockholder feedback and the Committee’s mission to align pay with performance and the stockholder experience.</w:t>
      </w:r>
    </w:p>
    <w:p>
      <w:pPr>
        <w:spacing w:after="0" w:line="65" w:lineRule="exact"/>
        <w:rPr>
          <w:rFonts w:ascii="Times New Roman" w:cs="Times New Roman" w:eastAsia="Times New Roman" w:hAnsi="Times New Roman"/>
          <w:sz w:val="13"/>
          <w:szCs w:val="13"/>
          <w:color w:val="FFFFFF"/>
        </w:rPr>
      </w:pPr>
    </w:p>
    <w:p>
      <w:pPr>
        <w:ind w:left="380" w:right="120" w:hanging="242"/>
        <w:spacing w:after="0" w:line="301" w:lineRule="auto"/>
        <w:tabs>
          <w:tab w:leader="none" w:pos="371" w:val="left"/>
        </w:tabs>
        <w:numPr>
          <w:ilvl w:val="0"/>
          <w:numId w:val="11"/>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In addition, to refresh our Board Committee chairs and bring new perspectives to those leadership positions, Lauren Dillard became chair of the Compensation Committee in February 2018, succeeding John Alschuler.</w:t>
      </w:r>
    </w:p>
    <w:p>
      <w:pPr>
        <w:spacing w:after="0" w:line="20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response to feedback we received from stockholders, the Committee fundamentally redesigned our CEO’s compensation as governed by his employment agreement, significantly simplifying the structure of our compensation program by reducing the overall components and enhancing the transparency of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2301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301240"/>
                    </a:xfrm>
                    <a:prstGeom prst="rect">
                      <a:avLst/>
                    </a:prstGeom>
                    <a:noFill/>
                  </pic:spPr>
                </pic:pic>
              </a:graphicData>
            </a:graphic>
          </wp:anchor>
        </w:drawing>
      </w:r>
    </w:p>
    <w:p>
      <w:pPr>
        <w:spacing w:after="0" w:line="220" w:lineRule="exact"/>
        <w:rPr>
          <w:sz w:val="20"/>
          <w:szCs w:val="20"/>
          <w:color w:val="auto"/>
        </w:rPr>
      </w:pPr>
    </w:p>
    <w:p>
      <w:pPr>
        <w:ind w:left="100"/>
        <w:spacing w:after="0"/>
        <w:tabs>
          <w:tab w:leader="none" w:pos="4860" w:val="left"/>
        </w:tabs>
        <w:rPr>
          <w:sz w:val="20"/>
          <w:szCs w:val="20"/>
          <w:color w:val="auto"/>
        </w:rPr>
      </w:pPr>
      <w:r>
        <w:rPr>
          <w:rFonts w:ascii="Arial" w:cs="Arial" w:eastAsia="Arial" w:hAnsi="Arial"/>
          <w:sz w:val="13"/>
          <w:szCs w:val="13"/>
          <w:b w:val="1"/>
          <w:bCs w:val="1"/>
          <w:color w:val="345988"/>
        </w:rPr>
        <w:t>What We Heard</w:t>
      </w:r>
      <w:r>
        <w:rPr>
          <w:sz w:val="20"/>
          <w:szCs w:val="20"/>
          <w:color w:val="auto"/>
        </w:rPr>
        <w:tab/>
      </w:r>
      <w:r>
        <w:rPr>
          <w:rFonts w:ascii="Arial" w:cs="Arial" w:eastAsia="Arial" w:hAnsi="Arial"/>
          <w:sz w:val="13"/>
          <w:szCs w:val="13"/>
          <w:b w:val="1"/>
          <w:bCs w:val="1"/>
          <w:color w:val="345988"/>
        </w:rPr>
        <w:t>What We Did</w:t>
      </w:r>
    </w:p>
    <w:p>
      <w:pPr>
        <w:sectPr>
          <w:pgSz w:w="11900" w:h="16838" w:orient="portrait"/>
          <w:cols w:equalWidth="0" w:num="1">
            <w:col w:w="11420"/>
          </w:cols>
          <w:pgMar w:left="240" w:top="119" w:right="239" w:bottom="1440" w:gutter="0" w:footer="0" w:header="0"/>
        </w:sectPr>
      </w:pPr>
    </w:p>
    <w:p>
      <w:pPr>
        <w:spacing w:after="0" w:line="80" w:lineRule="exact"/>
        <w:rPr>
          <w:sz w:val="20"/>
          <w:szCs w:val="20"/>
          <w:color w:val="auto"/>
        </w:rPr>
      </w:pPr>
    </w:p>
    <w:p>
      <w:pPr>
        <w:ind w:left="380" w:right="180" w:hanging="242"/>
        <w:spacing w:after="0" w:line="291" w:lineRule="auto"/>
        <w:tabs>
          <w:tab w:leader="none" w:pos="371" w:val="left"/>
        </w:tabs>
        <w:numPr>
          <w:ilvl w:val="0"/>
          <w:numId w:val="12"/>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The compensation program is overly complicated and contains too many elements</w:t>
      </w:r>
    </w:p>
    <w:p>
      <w:pPr>
        <w:ind w:left="380" w:right="80" w:hanging="242"/>
        <w:spacing w:after="0" w:line="291" w:lineRule="auto"/>
        <w:tabs>
          <w:tab w:leader="none" w:pos="371" w:val="left"/>
        </w:tabs>
        <w:numPr>
          <w:ilvl w:val="0"/>
          <w:numId w:val="12"/>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Base salary and deferred compensation provide two overlapping “fixed pay” vehicles for CEO</w:t>
      </w:r>
    </w:p>
    <w:p>
      <w:pPr>
        <w:ind w:left="380" w:hanging="242"/>
        <w:spacing w:after="0" w:line="291" w:lineRule="auto"/>
        <w:tabs>
          <w:tab w:leader="none" w:pos="371" w:val="left"/>
        </w:tabs>
        <w:numPr>
          <w:ilvl w:val="0"/>
          <w:numId w:val="12"/>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Align performance incentives with metrics that are focus areas for management and are in their direct control</w:t>
      </w:r>
    </w:p>
    <w:p>
      <w:pPr>
        <w:ind w:left="360" w:hanging="222"/>
        <w:spacing w:after="0"/>
        <w:tabs>
          <w:tab w:leader="none" w:pos="360" w:val="left"/>
        </w:tabs>
        <w:numPr>
          <w:ilvl w:val="0"/>
          <w:numId w:val="12"/>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Process for determining annual equity bonus is not clear</w:t>
      </w:r>
    </w:p>
    <w:p>
      <w:pPr>
        <w:spacing w:after="0" w:line="92" w:lineRule="exact"/>
        <w:rPr>
          <w:rFonts w:ascii="Times New Roman" w:cs="Times New Roman" w:eastAsia="Times New Roman" w:hAnsi="Times New Roman"/>
          <w:sz w:val="13"/>
          <w:szCs w:val="13"/>
          <w:color w:val="FFFFFF"/>
        </w:rPr>
      </w:pPr>
    </w:p>
    <w:p>
      <w:pPr>
        <w:ind w:left="380" w:right="280" w:hanging="242"/>
        <w:spacing w:after="0" w:line="301" w:lineRule="auto"/>
        <w:tabs>
          <w:tab w:leader="none" w:pos="371" w:val="left"/>
        </w:tabs>
        <w:numPr>
          <w:ilvl w:val="0"/>
          <w:numId w:val="12"/>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Performance period for performance-based awards should be longer than one year</w:t>
      </w:r>
    </w:p>
    <w:p>
      <w:pPr>
        <w:spacing w:after="0" w:line="136" w:lineRule="exact"/>
        <w:rPr>
          <w:rFonts w:ascii="Times New Roman" w:cs="Times New Roman" w:eastAsia="Times New Roman" w:hAnsi="Times New Roman"/>
          <w:sz w:val="13"/>
          <w:szCs w:val="13"/>
          <w:color w:val="FFFFFF"/>
        </w:rPr>
      </w:pPr>
    </w:p>
    <w:p>
      <w:pPr>
        <w:ind w:left="380" w:right="500" w:hanging="242"/>
        <w:spacing w:after="0" w:line="291" w:lineRule="auto"/>
        <w:tabs>
          <w:tab w:leader="none" w:pos="371" w:val="left"/>
        </w:tabs>
        <w:numPr>
          <w:ilvl w:val="0"/>
          <w:numId w:val="12"/>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Eliminate multiple performance retesting opportunities for performance-based LTIP units</w:t>
      </w:r>
    </w:p>
    <w:p>
      <w:pPr>
        <w:ind w:left="380" w:right="20" w:hanging="242"/>
        <w:spacing w:after="0" w:line="291" w:lineRule="auto"/>
        <w:tabs>
          <w:tab w:leader="none" w:pos="371" w:val="left"/>
        </w:tabs>
        <w:numPr>
          <w:ilvl w:val="0"/>
          <w:numId w:val="12"/>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CEO contract guarantees annual equity grant amounts on a multi-year basis</w:t>
      </w:r>
    </w:p>
    <w:p>
      <w:pPr>
        <w:ind w:left="360" w:hanging="222"/>
        <w:spacing w:after="0"/>
        <w:tabs>
          <w:tab w:leader="none" w:pos="360" w:val="left"/>
        </w:tabs>
        <w:numPr>
          <w:ilvl w:val="0"/>
          <w:numId w:val="12"/>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Reduce compensation for Executive Chairman</w:t>
      </w:r>
    </w:p>
    <w:p>
      <w:pPr>
        <w:spacing w:after="0" w:line="361" w:lineRule="exact"/>
        <w:rPr>
          <w:rFonts w:ascii="Times New Roman" w:cs="Times New Roman" w:eastAsia="Times New Roman" w:hAnsi="Times New Roman"/>
          <w:sz w:val="13"/>
          <w:szCs w:val="13"/>
          <w:color w:val="FFFFFF"/>
        </w:rPr>
      </w:pPr>
    </w:p>
    <w:p>
      <w:pPr>
        <w:ind w:left="360" w:hanging="222"/>
        <w:spacing w:after="0"/>
        <w:tabs>
          <w:tab w:leader="none" w:pos="360" w:val="left"/>
        </w:tabs>
        <w:numPr>
          <w:ilvl w:val="0"/>
          <w:numId w:val="12"/>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Director compensation is high relative to peers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239" w:right="360" w:hanging="239"/>
        <w:spacing w:after="0" w:line="291" w:lineRule="auto"/>
        <w:tabs>
          <w:tab w:leader="none" w:pos="229" w:val="left"/>
        </w:tabs>
        <w:numPr>
          <w:ilvl w:val="0"/>
          <w:numId w:val="13"/>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Simplified the program by reducing the number of compensation components from seven to four</w:t>
      </w:r>
    </w:p>
    <w:p>
      <w:pPr>
        <w:ind w:left="239" w:right="140" w:hanging="239"/>
        <w:spacing w:after="0" w:line="291" w:lineRule="auto"/>
        <w:tabs>
          <w:tab w:leader="none" w:pos="229" w:val="left"/>
        </w:tabs>
        <w:numPr>
          <w:ilvl w:val="0"/>
          <w:numId w:val="13"/>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Under new CEO contract, eliminating deferred compensation from CEO compensation package; reduced CEO base salary to $1.25 million from $1.35 million, effective January 18, 2018</w:t>
      </w:r>
    </w:p>
    <w:p>
      <w:pPr>
        <w:ind w:left="239" w:right="480" w:hanging="239"/>
        <w:spacing w:after="0" w:line="291" w:lineRule="auto"/>
        <w:tabs>
          <w:tab w:leader="none" w:pos="229" w:val="left"/>
        </w:tabs>
        <w:numPr>
          <w:ilvl w:val="0"/>
          <w:numId w:val="13"/>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Eliminated TSR as a metric from annual cash bonus program for 2018; instituted G&amp;A as a metric and increased weighting of dividend growth metric</w:t>
      </w:r>
    </w:p>
    <w:p>
      <w:pPr>
        <w:ind w:left="219" w:hanging="219"/>
        <w:spacing w:after="0"/>
        <w:tabs>
          <w:tab w:leader="none" w:pos="219" w:val="left"/>
        </w:tabs>
        <w:numPr>
          <w:ilvl w:val="0"/>
          <w:numId w:val="13"/>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Under new CEO contract, eliminating discretionary equity bonuses</w:t>
      </w:r>
    </w:p>
    <w:p>
      <w:pPr>
        <w:spacing w:after="0" w:line="92" w:lineRule="exact"/>
        <w:rPr>
          <w:rFonts w:ascii="Times New Roman" w:cs="Times New Roman" w:eastAsia="Times New Roman" w:hAnsi="Times New Roman"/>
          <w:sz w:val="13"/>
          <w:szCs w:val="13"/>
          <w:color w:val="FFFFFF"/>
        </w:rPr>
      </w:pPr>
    </w:p>
    <w:p>
      <w:pPr>
        <w:ind w:left="239" w:right="260" w:hanging="239"/>
        <w:spacing w:after="0" w:line="269" w:lineRule="auto"/>
        <w:tabs>
          <w:tab w:leader="none" w:pos="229" w:val="left"/>
        </w:tabs>
        <w:numPr>
          <w:ilvl w:val="0"/>
          <w:numId w:val="13"/>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Under new CEO contract, performance-based LTIP units will be split between awards with one year operational goals modified by 3-year absolute TSR and awards based on 3-year relative TSR; no performance awards will vest until the conclusion of the 3-year performance period</w:t>
      </w:r>
    </w:p>
    <w:p>
      <w:pPr>
        <w:spacing w:after="0" w:line="8" w:lineRule="exact"/>
        <w:rPr>
          <w:rFonts w:ascii="Times New Roman" w:cs="Times New Roman" w:eastAsia="Times New Roman" w:hAnsi="Times New Roman"/>
          <w:sz w:val="13"/>
          <w:szCs w:val="13"/>
          <w:color w:val="FFFFFF"/>
        </w:rPr>
      </w:pPr>
    </w:p>
    <w:p>
      <w:pPr>
        <w:ind w:left="239" w:right="180" w:hanging="239"/>
        <w:spacing w:after="0" w:line="291" w:lineRule="auto"/>
        <w:tabs>
          <w:tab w:leader="none" w:pos="229" w:val="left"/>
        </w:tabs>
        <w:numPr>
          <w:ilvl w:val="0"/>
          <w:numId w:val="13"/>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Under new CEO contract, performance-based LTIP units can be earned at the conclusion of the 3-year performance period, without any additional performance retesting periods</w:t>
      </w:r>
    </w:p>
    <w:p>
      <w:pPr>
        <w:ind w:left="239" w:right="440" w:hanging="239"/>
        <w:spacing w:after="0" w:line="291" w:lineRule="auto"/>
        <w:tabs>
          <w:tab w:leader="none" w:pos="229" w:val="left"/>
        </w:tabs>
        <w:numPr>
          <w:ilvl w:val="0"/>
          <w:numId w:val="13"/>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Under new CEO contract, target amounts for a time-based and a performance-based equity grant are provided for, without any contractual guarantees</w:t>
      </w:r>
    </w:p>
    <w:p>
      <w:pPr>
        <w:ind w:left="239" w:right="240" w:hanging="239"/>
        <w:spacing w:after="0" w:line="269" w:lineRule="auto"/>
        <w:tabs>
          <w:tab w:leader="none" w:pos="229" w:val="left"/>
        </w:tabs>
        <w:numPr>
          <w:ilvl w:val="0"/>
          <w:numId w:val="13"/>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Reduced total compensation awarded to Stephen L. Green for third consecutive year to reflect his role and responsibilities as Executive Chairman; Mr. Green will step down as Executive Chairman and as an employee in January 2019 and will assume the role of Chairman Emeritus</w:t>
      </w:r>
    </w:p>
    <w:p>
      <w:pPr>
        <w:spacing w:after="0" w:line="8" w:lineRule="exact"/>
        <w:rPr>
          <w:rFonts w:ascii="Times New Roman" w:cs="Times New Roman" w:eastAsia="Times New Roman" w:hAnsi="Times New Roman"/>
          <w:sz w:val="13"/>
          <w:szCs w:val="13"/>
          <w:color w:val="FFFFFF"/>
        </w:rPr>
      </w:pPr>
    </w:p>
    <w:p>
      <w:pPr>
        <w:ind w:left="219" w:hanging="219"/>
        <w:spacing w:after="0"/>
        <w:tabs>
          <w:tab w:leader="none" w:pos="219" w:val="left"/>
        </w:tabs>
        <w:numPr>
          <w:ilvl w:val="0"/>
          <w:numId w:val="13"/>
        </w:numPr>
        <w:rPr>
          <w:rFonts w:ascii="Times New Roman" w:cs="Times New Roman" w:eastAsia="Times New Roman" w:hAnsi="Times New Roman"/>
          <w:sz w:val="13"/>
          <w:szCs w:val="13"/>
          <w:color w:val="FFFFFF"/>
        </w:rPr>
      </w:pPr>
      <w:r>
        <w:rPr>
          <w:rFonts w:ascii="Arial" w:cs="Arial" w:eastAsia="Arial" w:hAnsi="Arial"/>
          <w:sz w:val="13"/>
          <w:szCs w:val="13"/>
          <w:b w:val="1"/>
          <w:bCs w:val="1"/>
          <w:color w:val="345988"/>
        </w:rPr>
        <w:t>Compensation for all non-employee directors will be reduced by approximately $50,000</w:t>
      </w:r>
    </w:p>
    <w:p>
      <w:pPr>
        <w:spacing w:after="0" w:line="200" w:lineRule="exact"/>
        <w:rPr>
          <w:sz w:val="20"/>
          <w:szCs w:val="20"/>
          <w:color w:val="auto"/>
        </w:rPr>
      </w:pPr>
    </w:p>
    <w:p>
      <w:pPr>
        <w:sectPr>
          <w:pgSz w:w="11900" w:h="16838" w:orient="portrait"/>
          <w:cols w:equalWidth="0" w:num="2">
            <w:col w:w="4600" w:space="321"/>
            <w:col w:w="6499"/>
          </w:cols>
          <w:pgMar w:left="240" w:top="119" w:right="239" w:bottom="1440" w:gutter="0" w:footer="0" w:header="0"/>
          <w:type w:val="continuous"/>
        </w:sectPr>
      </w:pPr>
    </w:p>
    <w:p>
      <w:pPr>
        <w:spacing w:after="0" w:line="108" w:lineRule="exact"/>
        <w:rPr>
          <w:sz w:val="20"/>
          <w:szCs w:val="20"/>
          <w:color w:val="auto"/>
        </w:rPr>
      </w:pPr>
    </w:p>
    <w:p>
      <w:pPr>
        <w:ind w:left="95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2018 PROXY STATEMENT HIGHLIGHTS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2017 Pay Outcomes Demonstrate Pay-for-Performance Alignment</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2017 Annual Cash Bonus Program</w:t>
      </w:r>
    </w:p>
    <w:p>
      <w:pPr>
        <w:spacing w:after="0" w:line="216" w:lineRule="exact"/>
        <w:rPr>
          <w:sz w:val="20"/>
          <w:szCs w:val="20"/>
          <w:color w:val="auto"/>
        </w:rPr>
      </w:pPr>
    </w:p>
    <w:p>
      <w:pPr>
        <w:ind w:right="260"/>
        <w:spacing w:after="0" w:line="262" w:lineRule="auto"/>
        <w:rPr>
          <w:sz w:val="20"/>
          <w:szCs w:val="20"/>
          <w:color w:val="auto"/>
        </w:rPr>
      </w:pPr>
      <w:r>
        <w:rPr>
          <w:rFonts w:ascii="Arial" w:cs="Arial" w:eastAsia="Arial" w:hAnsi="Arial"/>
          <w:sz w:val="13"/>
          <w:szCs w:val="13"/>
          <w:color w:val="auto"/>
        </w:rPr>
        <w:t>The following table reflects the 2017 cash bonuses awarded to Messrs. Holliday, Green and Mathias pursuant to our annual cash bonus program. As a result of the rigor of the performance targets established by the Committee for our annual cash bonus program, the amounts paid to Messrs. Holliday, Green and Mathias were below target and significantly reduced for 2017 compared to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345988"/>
              </w:rPr>
              <w:t>Actual Cash</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345988"/>
              </w:rPr>
              <w:t>2017 Actual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45988"/>
              </w:rPr>
              <w:t>2016 Actual</w:t>
            </w: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345988"/>
              </w:rPr>
              <w:t>% Change</w:t>
            </w:r>
          </w:p>
        </w:tc>
        <w:tc>
          <w:tcPr>
            <w:tcW w:w="0" w:type="dxa"/>
            <w:vAlign w:val="bottom"/>
          </w:tcPr>
          <w:p>
            <w:pPr>
              <w:spacing w:after="0"/>
              <w:rPr>
                <w:sz w:val="1"/>
                <w:szCs w:val="1"/>
                <w:color w:val="auto"/>
              </w:rPr>
            </w:pPr>
          </w:p>
        </w:tc>
      </w:tr>
      <w:tr>
        <w:trPr>
          <w:trHeight w:val="148"/>
        </w:trPr>
        <w:tc>
          <w:tcPr>
            <w:tcW w:w="7320" w:type="dxa"/>
            <w:vAlign w:val="bottom"/>
            <w:vMerge w:val="restart"/>
          </w:tcPr>
          <w:p>
            <w:pPr>
              <w:spacing w:after="0"/>
              <w:rPr>
                <w:sz w:val="20"/>
                <w:szCs w:val="20"/>
                <w:color w:val="auto"/>
              </w:rPr>
            </w:pPr>
            <w:r>
              <w:rPr>
                <w:rFonts w:ascii="Arial" w:cs="Arial" w:eastAsia="Arial" w:hAnsi="Arial"/>
                <w:sz w:val="13"/>
                <w:szCs w:val="13"/>
                <w:b w:val="1"/>
                <w:bCs w:val="1"/>
                <w:color w:val="auto"/>
              </w:rPr>
              <w:t>Executive</w:t>
            </w:r>
          </w:p>
        </w:tc>
        <w:tc>
          <w:tcPr>
            <w:tcW w:w="120" w:type="dxa"/>
            <w:vAlign w:val="bottom"/>
            <w:vMerge w:val="restart"/>
          </w:tcPr>
          <w:p>
            <w:pPr>
              <w:spacing w:after="0"/>
              <w:rPr>
                <w:sz w:val="12"/>
                <w:szCs w:val="12"/>
                <w:color w:val="auto"/>
              </w:rPr>
            </w:pPr>
          </w:p>
        </w:tc>
        <w:tc>
          <w:tcPr>
            <w:tcW w:w="84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345988"/>
              </w:rPr>
              <w:t>Bonus (%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345988"/>
              </w:rPr>
              <w:t>Cash Bonus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Cash Bonus</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3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345988"/>
              </w:rPr>
              <w:t>Target)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12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345988"/>
              </w:rPr>
              <w:t>2017 vs. 2016</w:t>
            </w:r>
          </w:p>
        </w:tc>
        <w:tc>
          <w:tcPr>
            <w:tcW w:w="0" w:type="dxa"/>
            <w:vAlign w:val="bottom"/>
          </w:tcPr>
          <w:p>
            <w:pPr>
              <w:spacing w:after="0"/>
              <w:rPr>
                <w:sz w:val="1"/>
                <w:szCs w:val="1"/>
                <w:color w:val="auto"/>
              </w:rPr>
            </w:pPr>
          </w:p>
        </w:tc>
      </w:tr>
      <w:tr>
        <w:trPr>
          <w:trHeight w:val="29"/>
        </w:trPr>
        <w:tc>
          <w:tcPr>
            <w:tcW w:w="732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345988"/>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860" w:type="dxa"/>
            <w:vAlign w:val="bottom"/>
            <w:shd w:val="clear" w:color="auto" w:fill="345988"/>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86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345988"/>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3"/>
                <w:szCs w:val="13"/>
                <w:color w:val="auto"/>
              </w:rPr>
              <w:t>Marc Holliday</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71.75%</w:t>
            </w:r>
          </w:p>
        </w:tc>
        <w:tc>
          <w:tcPr>
            <w:tcW w:w="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1,937,250</w:t>
            </w: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2,473,125</w:t>
            </w:r>
          </w:p>
        </w:tc>
        <w:tc>
          <w:tcPr>
            <w:tcW w:w="840" w:type="dxa"/>
            <w:vAlign w:val="bottom"/>
          </w:tcPr>
          <w:p>
            <w:pPr>
              <w:jc w:val="right"/>
              <w:spacing w:after="0"/>
              <w:rPr>
                <w:sz w:val="20"/>
                <w:szCs w:val="20"/>
                <w:color w:val="auto"/>
              </w:rPr>
            </w:pPr>
            <w:r>
              <w:rPr>
                <w:rFonts w:ascii="Arial" w:cs="Arial" w:eastAsia="Arial" w:hAnsi="Arial"/>
                <w:sz w:val="13"/>
                <w:szCs w:val="13"/>
                <w:color w:val="auto"/>
              </w:rPr>
              <w:t>-21.7%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7320" w:type="dxa"/>
            <w:vAlign w:val="bottom"/>
            <w:tcBorders>
              <w:bottom w:val="single" w:sz="8" w:color="8590A9"/>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8590A9"/>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8590A9"/>
            </w:tcBorders>
          </w:tcPr>
          <w:p>
            <w:pPr>
              <w:spacing w:after="0"/>
              <w:rPr>
                <w:sz w:val="3"/>
                <w:szCs w:val="3"/>
                <w:color w:val="auto"/>
              </w:rPr>
            </w:pPr>
          </w:p>
        </w:tc>
        <w:tc>
          <w:tcPr>
            <w:tcW w:w="860" w:type="dxa"/>
            <w:vAlign w:val="bottom"/>
            <w:tcBorders>
              <w:bottom w:val="single" w:sz="8" w:color="8590A9"/>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8590A9"/>
            </w:tcBorders>
          </w:tcPr>
          <w:p>
            <w:pPr>
              <w:spacing w:after="0"/>
              <w:rPr>
                <w:sz w:val="3"/>
                <w:szCs w:val="3"/>
                <w:color w:val="auto"/>
              </w:rPr>
            </w:pPr>
          </w:p>
        </w:tc>
        <w:tc>
          <w:tcPr>
            <w:tcW w:w="860" w:type="dxa"/>
            <w:vAlign w:val="bottom"/>
            <w:tcBorders>
              <w:bottom w:val="single" w:sz="8" w:color="8590A9"/>
            </w:tcBorders>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Borders>
              <w:bottom w:val="single" w:sz="8" w:color="8590A9"/>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7440" w:type="dxa"/>
            <w:vAlign w:val="bottom"/>
            <w:gridSpan w:val="2"/>
          </w:tcPr>
          <w:p>
            <w:pPr>
              <w:spacing w:after="0"/>
              <w:rPr>
                <w:sz w:val="20"/>
                <w:szCs w:val="20"/>
                <w:color w:val="auto"/>
              </w:rPr>
            </w:pPr>
            <w:r>
              <w:rPr>
                <w:rFonts w:ascii="Arial" w:cs="Arial" w:eastAsia="Arial" w:hAnsi="Arial"/>
                <w:sz w:val="13"/>
                <w:szCs w:val="13"/>
                <w:color w:val="auto"/>
              </w:rPr>
              <w:t>Stephen L. Green</w:t>
            </w:r>
          </w:p>
        </w:tc>
        <w:tc>
          <w:tcPr>
            <w:tcW w:w="780" w:type="dxa"/>
            <w:vAlign w:val="bottom"/>
          </w:tcPr>
          <w:p>
            <w:pPr>
              <w:jc w:val="right"/>
              <w:spacing w:after="0"/>
              <w:rPr>
                <w:sz w:val="20"/>
                <w:szCs w:val="20"/>
                <w:color w:val="auto"/>
              </w:rPr>
            </w:pPr>
            <w:r>
              <w:rPr>
                <w:rFonts w:ascii="Arial" w:cs="Arial" w:eastAsia="Arial" w:hAnsi="Arial"/>
                <w:sz w:val="13"/>
                <w:szCs w:val="13"/>
                <w:color w:val="auto"/>
              </w:rPr>
              <w:t>71.75%</w:t>
            </w:r>
          </w:p>
        </w:tc>
        <w:tc>
          <w:tcPr>
            <w:tcW w:w="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938,437</w:t>
            </w: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1,161,718</w:t>
            </w:r>
          </w:p>
        </w:tc>
        <w:tc>
          <w:tcPr>
            <w:tcW w:w="840" w:type="dxa"/>
            <w:vAlign w:val="bottom"/>
          </w:tcPr>
          <w:p>
            <w:pPr>
              <w:jc w:val="right"/>
              <w:spacing w:after="0"/>
              <w:rPr>
                <w:sz w:val="20"/>
                <w:szCs w:val="20"/>
                <w:color w:val="auto"/>
              </w:rPr>
            </w:pPr>
            <w:r>
              <w:rPr>
                <w:rFonts w:ascii="Arial" w:cs="Arial" w:eastAsia="Arial" w:hAnsi="Arial"/>
                <w:sz w:val="13"/>
                <w:szCs w:val="13"/>
                <w:color w:val="auto"/>
              </w:rPr>
              <w:t>-19.2%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7320" w:type="dxa"/>
            <w:vAlign w:val="bottom"/>
            <w:tcBorders>
              <w:bottom w:val="single" w:sz="8" w:color="8590A9"/>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8590A9"/>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8590A9"/>
            </w:tcBorders>
          </w:tcPr>
          <w:p>
            <w:pPr>
              <w:spacing w:after="0"/>
              <w:rPr>
                <w:sz w:val="3"/>
                <w:szCs w:val="3"/>
                <w:color w:val="auto"/>
              </w:rPr>
            </w:pPr>
          </w:p>
        </w:tc>
        <w:tc>
          <w:tcPr>
            <w:tcW w:w="860" w:type="dxa"/>
            <w:vAlign w:val="bottom"/>
            <w:tcBorders>
              <w:bottom w:val="single" w:sz="8" w:color="8590A9"/>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8590A9"/>
            </w:tcBorders>
          </w:tcPr>
          <w:p>
            <w:pPr>
              <w:spacing w:after="0"/>
              <w:rPr>
                <w:sz w:val="3"/>
                <w:szCs w:val="3"/>
                <w:color w:val="auto"/>
              </w:rPr>
            </w:pPr>
          </w:p>
        </w:tc>
        <w:tc>
          <w:tcPr>
            <w:tcW w:w="860" w:type="dxa"/>
            <w:vAlign w:val="bottom"/>
            <w:tcBorders>
              <w:bottom w:val="single" w:sz="8" w:color="8590A9"/>
            </w:tcBorders>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Borders>
              <w:bottom w:val="single" w:sz="8" w:color="8590A9"/>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7440" w:type="dxa"/>
            <w:vAlign w:val="bottom"/>
            <w:gridSpan w:val="2"/>
          </w:tcPr>
          <w:p>
            <w:pPr>
              <w:spacing w:after="0"/>
              <w:rPr>
                <w:sz w:val="20"/>
                <w:szCs w:val="20"/>
                <w:color w:val="auto"/>
              </w:rPr>
            </w:pPr>
            <w:r>
              <w:rPr>
                <w:rFonts w:ascii="Arial" w:cs="Arial" w:eastAsia="Arial" w:hAnsi="Arial"/>
                <w:sz w:val="13"/>
                <w:szCs w:val="13"/>
                <w:color w:val="auto"/>
              </w:rPr>
              <w:t>Andrew Mathias</w:t>
            </w:r>
          </w:p>
        </w:tc>
        <w:tc>
          <w:tcPr>
            <w:tcW w:w="780" w:type="dxa"/>
            <w:vAlign w:val="bottom"/>
          </w:tcPr>
          <w:p>
            <w:pPr>
              <w:jc w:val="right"/>
              <w:spacing w:after="0"/>
              <w:rPr>
                <w:sz w:val="20"/>
                <w:szCs w:val="20"/>
                <w:color w:val="auto"/>
              </w:rPr>
            </w:pPr>
            <w:r>
              <w:rPr>
                <w:rFonts w:ascii="Arial" w:cs="Arial" w:eastAsia="Arial" w:hAnsi="Arial"/>
                <w:sz w:val="13"/>
                <w:szCs w:val="13"/>
                <w:color w:val="auto"/>
              </w:rPr>
              <w:t>71.75%</w:t>
            </w:r>
          </w:p>
        </w:tc>
        <w:tc>
          <w:tcPr>
            <w:tcW w:w="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1,001,000</w:t>
            </w: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1,239,166</w:t>
            </w:r>
          </w:p>
        </w:tc>
        <w:tc>
          <w:tcPr>
            <w:tcW w:w="840" w:type="dxa"/>
            <w:vAlign w:val="bottom"/>
          </w:tcPr>
          <w:p>
            <w:pPr>
              <w:jc w:val="right"/>
              <w:spacing w:after="0"/>
              <w:rPr>
                <w:sz w:val="20"/>
                <w:szCs w:val="20"/>
                <w:color w:val="auto"/>
              </w:rPr>
            </w:pPr>
            <w:r>
              <w:rPr>
                <w:rFonts w:ascii="Arial" w:cs="Arial" w:eastAsia="Arial" w:hAnsi="Arial"/>
                <w:sz w:val="13"/>
                <w:szCs w:val="13"/>
                <w:color w:val="auto"/>
              </w:rPr>
              <w:t>-19.2%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7320" w:type="dxa"/>
            <w:vAlign w:val="bottom"/>
            <w:tcBorders>
              <w:bottom w:val="single" w:sz="8" w:color="345988"/>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345988"/>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345988"/>
            </w:tcBorders>
          </w:tcPr>
          <w:p>
            <w:pPr>
              <w:spacing w:after="0"/>
              <w:rPr>
                <w:sz w:val="3"/>
                <w:szCs w:val="3"/>
                <w:color w:val="auto"/>
              </w:rPr>
            </w:pPr>
          </w:p>
        </w:tc>
        <w:tc>
          <w:tcPr>
            <w:tcW w:w="860" w:type="dxa"/>
            <w:vAlign w:val="bottom"/>
            <w:tcBorders>
              <w:bottom w:val="single" w:sz="8" w:color="345988"/>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345988"/>
            </w:tcBorders>
          </w:tcPr>
          <w:p>
            <w:pPr>
              <w:spacing w:after="0"/>
              <w:rPr>
                <w:sz w:val="3"/>
                <w:szCs w:val="3"/>
                <w:color w:val="auto"/>
              </w:rPr>
            </w:pPr>
          </w:p>
        </w:tc>
        <w:tc>
          <w:tcPr>
            <w:tcW w:w="860" w:type="dxa"/>
            <w:vAlign w:val="bottom"/>
            <w:tcBorders>
              <w:bottom w:val="single" w:sz="8" w:color="345988"/>
            </w:tcBorders>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Borders>
              <w:bottom w:val="single" w:sz="8" w:color="345988"/>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Actual Results of the 2014 Outperformance Plan</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The performance period of the 2014 Outperformance Plan concluded August 31, 2017, with the following actual performance for the period from September 1, 2014 to August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345988"/>
              </w:rPr>
              <w:t>Results relative</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345988"/>
              </w:rPr>
              <w:t>Percentage</w:t>
            </w:r>
          </w:p>
        </w:tc>
        <w:tc>
          <w:tcPr>
            <w:tcW w:w="0" w:type="dxa"/>
            <w:vAlign w:val="bottom"/>
          </w:tcPr>
          <w:p>
            <w:pPr>
              <w:spacing w:after="0"/>
              <w:rPr>
                <w:sz w:val="1"/>
                <w:szCs w:val="1"/>
                <w:color w:val="auto"/>
              </w:rPr>
            </w:pPr>
          </w:p>
        </w:tc>
      </w:tr>
      <w:tr>
        <w:trPr>
          <w:trHeight w:val="148"/>
        </w:trPr>
        <w:tc>
          <w:tcPr>
            <w:tcW w:w="2520" w:type="dxa"/>
            <w:vAlign w:val="bottom"/>
            <w:vMerge w:val="restart"/>
          </w:tcPr>
          <w:p>
            <w:pPr>
              <w:spacing w:after="0"/>
              <w:rPr>
                <w:sz w:val="20"/>
                <w:szCs w:val="20"/>
                <w:color w:val="auto"/>
              </w:rPr>
            </w:pPr>
            <w:r>
              <w:rPr>
                <w:rFonts w:ascii="Arial" w:cs="Arial" w:eastAsia="Arial" w:hAnsi="Arial"/>
                <w:sz w:val="13"/>
                <w:szCs w:val="13"/>
                <w:b w:val="1"/>
                <w:bCs w:val="1"/>
                <w:color w:val="auto"/>
              </w:rPr>
              <w:t>Metric</w:t>
            </w: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345988"/>
              </w:rPr>
              <w:t>Results</w:t>
            </w: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b w:val="1"/>
                <w:bCs w:val="1"/>
                <w:color w:val="345988"/>
                <w:w w:val="99"/>
              </w:rPr>
              <w:t>of LTIP Units</w:t>
            </w:r>
          </w:p>
        </w:tc>
        <w:tc>
          <w:tcPr>
            <w:tcW w:w="0" w:type="dxa"/>
            <w:vAlign w:val="bottom"/>
          </w:tcPr>
          <w:p>
            <w:pPr>
              <w:spacing w:after="0"/>
              <w:rPr>
                <w:sz w:val="1"/>
                <w:szCs w:val="1"/>
                <w:color w:val="auto"/>
              </w:rPr>
            </w:pPr>
          </w:p>
        </w:tc>
      </w:tr>
      <w:tr>
        <w:trPr>
          <w:trHeight w:val="201"/>
        </w:trPr>
        <w:tc>
          <w:tcPr>
            <w:tcW w:w="2520" w:type="dxa"/>
            <w:vAlign w:val="bottom"/>
            <w:tcBorders>
              <w:bottom w:val="single" w:sz="8" w:color="345988"/>
            </w:tcBorders>
            <w:vMerge w:val="continue"/>
          </w:tcPr>
          <w:p>
            <w:pPr>
              <w:spacing w:after="0"/>
              <w:rPr>
                <w:sz w:val="17"/>
                <w:szCs w:val="17"/>
                <w:color w:val="auto"/>
              </w:rPr>
            </w:pPr>
          </w:p>
        </w:tc>
        <w:tc>
          <w:tcPr>
            <w:tcW w:w="4860" w:type="dxa"/>
            <w:vAlign w:val="bottom"/>
            <w:tcBorders>
              <w:bottom w:val="single" w:sz="8" w:color="345988"/>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345988"/>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bottom w:val="single" w:sz="8" w:color="345988"/>
            </w:tcBorders>
          </w:tcPr>
          <w:p>
            <w:pPr>
              <w:spacing w:after="0"/>
              <w:rPr>
                <w:sz w:val="17"/>
                <w:szCs w:val="17"/>
                <w:color w:val="auto"/>
              </w:rPr>
            </w:pPr>
          </w:p>
        </w:tc>
        <w:tc>
          <w:tcPr>
            <w:tcW w:w="1340" w:type="dxa"/>
            <w:vAlign w:val="bottom"/>
            <w:tcBorders>
              <w:bottom w:val="single" w:sz="8" w:color="345988"/>
            </w:tcBorders>
          </w:tcPr>
          <w:p>
            <w:pPr>
              <w:jc w:val="right"/>
              <w:spacing w:after="0"/>
              <w:rPr>
                <w:sz w:val="20"/>
                <w:szCs w:val="20"/>
                <w:color w:val="auto"/>
              </w:rPr>
            </w:pPr>
            <w:r>
              <w:rPr>
                <w:rFonts w:ascii="Arial" w:cs="Arial" w:eastAsia="Arial" w:hAnsi="Arial"/>
                <w:sz w:val="13"/>
                <w:szCs w:val="13"/>
                <w:b w:val="1"/>
                <w:bCs w:val="1"/>
                <w:color w:val="345988"/>
              </w:rPr>
              <w:t>to Target</w:t>
            </w:r>
          </w:p>
        </w:tc>
        <w:tc>
          <w:tcPr>
            <w:tcW w:w="100" w:type="dxa"/>
            <w:vAlign w:val="bottom"/>
          </w:tcPr>
          <w:p>
            <w:pPr>
              <w:spacing w:after="0"/>
              <w:rPr>
                <w:sz w:val="17"/>
                <w:szCs w:val="17"/>
                <w:color w:val="auto"/>
              </w:rPr>
            </w:pPr>
          </w:p>
        </w:tc>
        <w:tc>
          <w:tcPr>
            <w:tcW w:w="820" w:type="dxa"/>
            <w:vAlign w:val="bottom"/>
            <w:tcBorders>
              <w:bottom w:val="single" w:sz="8" w:color="345988"/>
            </w:tcBorders>
          </w:tcPr>
          <w:p>
            <w:pPr>
              <w:jc w:val="right"/>
              <w:spacing w:after="0"/>
              <w:rPr>
                <w:sz w:val="20"/>
                <w:szCs w:val="20"/>
                <w:color w:val="auto"/>
              </w:rPr>
            </w:pPr>
            <w:r>
              <w:rPr>
                <w:rFonts w:ascii="Arial" w:cs="Arial" w:eastAsia="Arial" w:hAnsi="Arial"/>
                <w:sz w:val="13"/>
                <w:szCs w:val="13"/>
                <w:b w:val="1"/>
                <w:bCs w:val="1"/>
                <w:color w:val="345988"/>
              </w:rPr>
              <w:t>Earned</w:t>
            </w:r>
          </w:p>
        </w:tc>
        <w:tc>
          <w:tcPr>
            <w:tcW w:w="0" w:type="dxa"/>
            <w:vAlign w:val="bottom"/>
          </w:tcPr>
          <w:p>
            <w:pPr>
              <w:spacing w:after="0"/>
              <w:rPr>
                <w:sz w:val="1"/>
                <w:szCs w:val="1"/>
                <w:color w:val="auto"/>
              </w:rPr>
            </w:pPr>
          </w:p>
        </w:tc>
      </w:tr>
      <w:tr>
        <w:trPr>
          <w:trHeight w:val="204"/>
        </w:trPr>
        <w:tc>
          <w:tcPr>
            <w:tcW w:w="2520" w:type="dxa"/>
            <w:vAlign w:val="bottom"/>
          </w:tcPr>
          <w:p>
            <w:pPr>
              <w:spacing w:after="0"/>
              <w:rPr>
                <w:sz w:val="20"/>
                <w:szCs w:val="20"/>
                <w:color w:val="auto"/>
              </w:rPr>
            </w:pPr>
            <w:r>
              <w:rPr>
                <w:rFonts w:ascii="Arial" w:cs="Arial" w:eastAsia="Arial" w:hAnsi="Arial"/>
                <w:sz w:val="13"/>
                <w:szCs w:val="13"/>
                <w:color w:val="auto"/>
              </w:rPr>
              <w:t>Cumulative Absolute TSR</w:t>
            </w:r>
          </w:p>
        </w:tc>
        <w:tc>
          <w:tcPr>
            <w:tcW w:w="5900" w:type="dxa"/>
            <w:vAlign w:val="bottom"/>
            <w:gridSpan w:val="4"/>
          </w:tcPr>
          <w:p>
            <w:pPr>
              <w:jc w:val="right"/>
              <w:ind w:right="40"/>
              <w:spacing w:after="0"/>
              <w:rPr>
                <w:sz w:val="20"/>
                <w:szCs w:val="20"/>
                <w:color w:val="auto"/>
              </w:rPr>
            </w:pPr>
            <w:r>
              <w:rPr>
                <w:rFonts w:ascii="Arial" w:cs="Arial" w:eastAsia="Arial" w:hAnsi="Arial"/>
                <w:sz w:val="13"/>
                <w:szCs w:val="13"/>
                <w:color w:val="auto"/>
              </w:rPr>
              <w:t>3.3%</w:t>
            </w:r>
          </w:p>
        </w:tc>
        <w:tc>
          <w:tcPr>
            <w:tcW w:w="2180" w:type="dxa"/>
            <w:vAlign w:val="bottom"/>
            <w:gridSpan w:val="4"/>
          </w:tcPr>
          <w:p>
            <w:pPr>
              <w:ind w:left="60"/>
              <w:spacing w:after="0"/>
              <w:rPr>
                <w:sz w:val="20"/>
                <w:szCs w:val="20"/>
                <w:color w:val="auto"/>
              </w:rPr>
            </w:pPr>
            <w:r>
              <w:rPr>
                <w:rFonts w:ascii="Arial" w:cs="Arial" w:eastAsia="Arial" w:hAnsi="Arial"/>
                <w:sz w:val="13"/>
                <w:szCs w:val="13"/>
                <w:color w:val="auto"/>
              </w:rPr>
              <w:t>Below threshold of 25%</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39"/>
        </w:trPr>
        <w:tc>
          <w:tcPr>
            <w:tcW w:w="2520" w:type="dxa"/>
            <w:vAlign w:val="bottom"/>
            <w:tcBorders>
              <w:bottom w:val="single" w:sz="8" w:color="8590A9"/>
            </w:tcBorders>
          </w:tcPr>
          <w:p>
            <w:pPr>
              <w:spacing w:after="0"/>
              <w:rPr>
                <w:sz w:val="3"/>
                <w:szCs w:val="3"/>
                <w:color w:val="auto"/>
              </w:rPr>
            </w:pPr>
          </w:p>
        </w:tc>
        <w:tc>
          <w:tcPr>
            <w:tcW w:w="4860" w:type="dxa"/>
            <w:vAlign w:val="bottom"/>
            <w:tcBorders>
              <w:bottom w:val="single" w:sz="8" w:color="8590A9"/>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8590A9"/>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20" w:type="dxa"/>
            <w:vAlign w:val="bottom"/>
            <w:tcBorders>
              <w:bottom w:val="single" w:sz="8" w:color="8590A9"/>
            </w:tcBorders>
            <w:gridSpan w:val="2"/>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8590A9"/>
            </w:tcBorders>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2520" w:type="dxa"/>
            <w:vAlign w:val="bottom"/>
            <w:tcBorders>
              <w:bottom w:val="single" w:sz="8" w:color="345988"/>
            </w:tcBorders>
          </w:tcPr>
          <w:p>
            <w:pPr>
              <w:spacing w:after="0"/>
              <w:rPr>
                <w:sz w:val="20"/>
                <w:szCs w:val="20"/>
                <w:color w:val="auto"/>
              </w:rPr>
            </w:pPr>
            <w:r>
              <w:rPr>
                <w:rFonts w:ascii="Arial" w:cs="Arial" w:eastAsia="Arial" w:hAnsi="Arial"/>
                <w:sz w:val="13"/>
                <w:szCs w:val="13"/>
                <w:color w:val="auto"/>
              </w:rPr>
              <w:t>Relative TSR</w:t>
            </w:r>
          </w:p>
        </w:tc>
        <w:tc>
          <w:tcPr>
            <w:tcW w:w="4860" w:type="dxa"/>
            <w:vAlign w:val="bottom"/>
            <w:tcBorders>
              <w:bottom w:val="single" w:sz="8" w:color="345988"/>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345988"/>
            </w:tcBorders>
          </w:tcPr>
          <w:p>
            <w:pPr>
              <w:jc w:val="right"/>
              <w:spacing w:after="0"/>
              <w:rPr>
                <w:sz w:val="20"/>
                <w:szCs w:val="20"/>
                <w:color w:val="auto"/>
              </w:rPr>
            </w:pPr>
            <w:r>
              <w:rPr>
                <w:rFonts w:ascii="Arial" w:cs="Arial" w:eastAsia="Arial" w:hAnsi="Arial"/>
                <w:sz w:val="13"/>
                <w:szCs w:val="13"/>
                <w:color w:val="auto"/>
                <w:w w:val="99"/>
              </w:rPr>
              <w:t>27</w:t>
            </w:r>
            <w:r>
              <w:rPr>
                <w:rFonts w:ascii="Arial" w:cs="Arial" w:eastAsia="Arial" w:hAnsi="Arial"/>
                <w:sz w:val="22"/>
                <w:szCs w:val="22"/>
                <w:color w:val="auto"/>
                <w:w w:val="99"/>
                <w:vertAlign w:val="superscript"/>
              </w:rPr>
              <w:t>th</w:t>
            </w:r>
            <w:r>
              <w:rPr>
                <w:rFonts w:ascii="Arial" w:cs="Arial" w:eastAsia="Arial" w:hAnsi="Arial"/>
                <w:sz w:val="13"/>
                <w:szCs w:val="13"/>
                <w:color w:val="auto"/>
                <w:w w:val="99"/>
              </w:rPr>
              <w:t xml:space="preserve"> Percentile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Borders>
              <w:bottom w:val="single" w:sz="8" w:color="345988"/>
            </w:tcBorders>
            <w:gridSpan w:val="2"/>
          </w:tcPr>
          <w:p>
            <w:pPr>
              <w:jc w:val="right"/>
              <w:spacing w:after="0"/>
              <w:rPr>
                <w:sz w:val="20"/>
                <w:szCs w:val="20"/>
                <w:color w:val="auto"/>
              </w:rPr>
            </w:pPr>
            <w:r>
              <w:rPr>
                <w:rFonts w:ascii="Arial" w:cs="Arial" w:eastAsia="Arial" w:hAnsi="Arial"/>
                <w:sz w:val="13"/>
                <w:szCs w:val="13"/>
                <w:color w:val="auto"/>
              </w:rPr>
              <w:t>Below threshold of 50</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100" w:type="dxa"/>
            <w:vAlign w:val="bottom"/>
          </w:tcPr>
          <w:p>
            <w:pPr>
              <w:spacing w:after="0"/>
              <w:rPr>
                <w:sz w:val="24"/>
                <w:szCs w:val="24"/>
                <w:color w:val="auto"/>
              </w:rPr>
            </w:pPr>
          </w:p>
        </w:tc>
        <w:tc>
          <w:tcPr>
            <w:tcW w:w="820" w:type="dxa"/>
            <w:vAlign w:val="bottom"/>
            <w:tcBorders>
              <w:bottom w:val="single" w:sz="8" w:color="345988"/>
            </w:tcBorders>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347"/>
        </w:trPr>
        <w:tc>
          <w:tcPr>
            <w:tcW w:w="2520" w:type="dxa"/>
            <w:vAlign w:val="bottom"/>
          </w:tcPr>
          <w:p>
            <w:pPr>
              <w:spacing w:after="0"/>
              <w:rPr>
                <w:sz w:val="24"/>
                <w:szCs w:val="24"/>
                <w:color w:val="auto"/>
              </w:rPr>
            </w:pPr>
          </w:p>
        </w:tc>
        <w:tc>
          <w:tcPr>
            <w:tcW w:w="5900" w:type="dxa"/>
            <w:vAlign w:val="bottom"/>
            <w:gridSpan w:val="4"/>
          </w:tcPr>
          <w:p>
            <w:pPr>
              <w:jc w:val="center"/>
              <w:ind w:left="433"/>
              <w:spacing w:after="0"/>
              <w:rPr>
                <w:sz w:val="20"/>
                <w:szCs w:val="20"/>
                <w:color w:val="auto"/>
              </w:rPr>
            </w:pPr>
            <w:r>
              <w:rPr>
                <w:rFonts w:ascii="Arial" w:cs="Arial" w:eastAsia="Arial" w:hAnsi="Arial"/>
                <w:sz w:val="13"/>
                <w:szCs w:val="13"/>
                <w:b w:val="1"/>
                <w:bCs w:val="1"/>
                <w:i w:val="1"/>
                <w:iCs w:val="1"/>
                <w:color w:val="auto"/>
              </w:rPr>
              <w:t>Despite the disclosed grant values appearing in our Summary</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5900" w:type="dxa"/>
            <w:vAlign w:val="bottom"/>
            <w:gridSpan w:val="4"/>
          </w:tcPr>
          <w:p>
            <w:pPr>
              <w:jc w:val="center"/>
              <w:ind w:left="433"/>
              <w:spacing w:after="0" w:line="148" w:lineRule="exact"/>
              <w:rPr>
                <w:sz w:val="20"/>
                <w:szCs w:val="20"/>
                <w:color w:val="auto"/>
              </w:rPr>
            </w:pPr>
            <w:r>
              <w:rPr>
                <w:rFonts w:ascii="Arial" w:cs="Arial" w:eastAsia="Arial" w:hAnsi="Arial"/>
                <w:sz w:val="13"/>
                <w:szCs w:val="13"/>
                <w:b w:val="1"/>
                <w:bCs w:val="1"/>
                <w:i w:val="1"/>
                <w:iCs w:val="1"/>
                <w:color w:val="auto"/>
              </w:rPr>
              <w:t>Compensation Tables for fiscal years 2015-2017, our named executive</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520" w:type="dxa"/>
            <w:vAlign w:val="bottom"/>
          </w:tcPr>
          <w:p>
            <w:pPr>
              <w:spacing w:after="0"/>
              <w:rPr>
                <w:sz w:val="16"/>
                <w:szCs w:val="16"/>
                <w:color w:val="auto"/>
              </w:rPr>
            </w:pPr>
          </w:p>
        </w:tc>
        <w:tc>
          <w:tcPr>
            <w:tcW w:w="5900" w:type="dxa"/>
            <w:vAlign w:val="bottom"/>
            <w:gridSpan w:val="4"/>
          </w:tcPr>
          <w:p>
            <w:pPr>
              <w:jc w:val="center"/>
              <w:ind w:left="413"/>
              <w:spacing w:after="0"/>
              <w:rPr>
                <w:sz w:val="20"/>
                <w:szCs w:val="20"/>
                <w:color w:val="auto"/>
              </w:rPr>
            </w:pPr>
            <w:r>
              <w:rPr>
                <w:rFonts w:ascii="Arial" w:cs="Arial" w:eastAsia="Arial" w:hAnsi="Arial"/>
                <w:sz w:val="13"/>
                <w:szCs w:val="13"/>
                <w:b w:val="1"/>
                <w:bCs w:val="1"/>
                <w:i w:val="1"/>
                <w:iCs w:val="1"/>
                <w:color w:val="auto"/>
              </w:rPr>
              <w:t>officers ultimately received no payout under the 2014 OPP.</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780" w:type="dxa"/>
            <w:vAlign w:val="bottom"/>
            <w:gridSpan w:val="5"/>
          </w:tcPr>
          <w:p>
            <w:pPr>
              <w:spacing w:after="0"/>
              <w:rPr>
                <w:sz w:val="16"/>
                <w:szCs w:val="16"/>
                <w:color w:val="auto"/>
              </w:rPr>
            </w:pPr>
          </w:p>
        </w:tc>
        <w:tc>
          <w:tcPr>
            <w:tcW w:w="22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520" w:type="dxa"/>
            <w:vAlign w:val="bottom"/>
            <w:shd w:val="clear" w:color="auto" w:fill="98A0B5"/>
          </w:tcPr>
          <w:p>
            <w:pPr>
              <w:spacing w:after="0"/>
              <w:rPr>
                <w:sz w:val="14"/>
                <w:szCs w:val="14"/>
                <w:color w:val="auto"/>
              </w:rPr>
            </w:pPr>
          </w:p>
        </w:tc>
        <w:tc>
          <w:tcPr>
            <w:tcW w:w="4860" w:type="dxa"/>
            <w:vAlign w:val="bottom"/>
            <w:shd w:val="clear" w:color="auto" w:fill="98A0B5"/>
          </w:tcPr>
          <w:p>
            <w:pPr>
              <w:spacing w:after="0"/>
              <w:rPr>
                <w:sz w:val="14"/>
                <w:szCs w:val="14"/>
                <w:color w:val="auto"/>
              </w:rPr>
            </w:pPr>
          </w:p>
        </w:tc>
        <w:tc>
          <w:tcPr>
            <w:tcW w:w="1780" w:type="dxa"/>
            <w:vAlign w:val="bottom"/>
            <w:gridSpan w:val="5"/>
            <w:shd w:val="clear" w:color="auto" w:fill="98A0B5"/>
          </w:tcPr>
          <w:p>
            <w:pPr>
              <w:jc w:val="center"/>
              <w:ind w:right="513"/>
              <w:spacing w:after="0"/>
              <w:rPr>
                <w:sz w:val="20"/>
                <w:szCs w:val="20"/>
                <w:color w:val="auto"/>
              </w:rPr>
            </w:pPr>
            <w:r>
              <w:rPr>
                <w:rFonts w:ascii="Arial" w:cs="Arial" w:eastAsia="Arial" w:hAnsi="Arial"/>
                <w:sz w:val="13"/>
                <w:szCs w:val="13"/>
                <w:b w:val="1"/>
                <w:bCs w:val="1"/>
                <w:color w:val="345988"/>
              </w:rPr>
              <w:t>G&amp;A Expense as a</w:t>
            </w:r>
          </w:p>
        </w:tc>
        <w:tc>
          <w:tcPr>
            <w:tcW w:w="2260" w:type="dxa"/>
            <w:vAlign w:val="bottom"/>
            <w:gridSpan w:val="3"/>
            <w:shd w:val="clear" w:color="auto" w:fill="98A0B5"/>
          </w:tcPr>
          <w:p>
            <w:pPr>
              <w:jc w:val="right"/>
              <w:ind w:right="433"/>
              <w:spacing w:after="0"/>
              <w:rPr>
                <w:sz w:val="20"/>
                <w:szCs w:val="20"/>
                <w:color w:val="auto"/>
              </w:rPr>
            </w:pPr>
            <w:r>
              <w:rPr>
                <w:rFonts w:ascii="Arial" w:cs="Arial" w:eastAsia="Arial" w:hAnsi="Arial"/>
                <w:sz w:val="13"/>
                <w:szCs w:val="13"/>
                <w:b w:val="1"/>
                <w:bCs w:val="1"/>
                <w:color w:val="345988"/>
              </w:rPr>
              <w:t>G&amp;A Expense as a</w:t>
            </w:r>
          </w:p>
        </w:tc>
        <w:tc>
          <w:tcPr>
            <w:tcW w:w="0" w:type="dxa"/>
            <w:vAlign w:val="bottom"/>
          </w:tcPr>
          <w:p>
            <w:pPr>
              <w:spacing w:after="0"/>
              <w:rPr>
                <w:sz w:val="1"/>
                <w:szCs w:val="1"/>
                <w:color w:val="auto"/>
              </w:rPr>
            </w:pPr>
          </w:p>
        </w:tc>
      </w:tr>
      <w:tr>
        <w:trPr>
          <w:trHeight w:val="225"/>
        </w:trPr>
        <w:tc>
          <w:tcPr>
            <w:tcW w:w="2520" w:type="dxa"/>
            <w:vAlign w:val="bottom"/>
            <w:shd w:val="clear" w:color="auto" w:fill="98A0B5"/>
          </w:tcPr>
          <w:p>
            <w:pPr>
              <w:spacing w:after="0"/>
              <w:rPr>
                <w:sz w:val="19"/>
                <w:szCs w:val="19"/>
                <w:color w:val="auto"/>
              </w:rPr>
            </w:pPr>
          </w:p>
        </w:tc>
        <w:tc>
          <w:tcPr>
            <w:tcW w:w="6640" w:type="dxa"/>
            <w:vAlign w:val="bottom"/>
            <w:gridSpan w:val="6"/>
            <w:shd w:val="clear" w:color="auto" w:fill="98A0B5"/>
          </w:tcPr>
          <w:p>
            <w:pPr>
              <w:jc w:val="center"/>
              <w:ind w:left="4213"/>
              <w:spacing w:after="0" w:line="225" w:lineRule="exact"/>
              <w:rPr>
                <w:sz w:val="20"/>
                <w:szCs w:val="20"/>
                <w:color w:val="auto"/>
              </w:rPr>
            </w:pPr>
            <w:r>
              <w:rPr>
                <w:rFonts w:ascii="Arial" w:cs="Arial" w:eastAsia="Arial" w:hAnsi="Arial"/>
                <w:sz w:val="13"/>
                <w:szCs w:val="13"/>
                <w:b w:val="1"/>
                <w:bCs w:val="1"/>
                <w:color w:val="345988"/>
              </w:rPr>
              <w:t>Percentage of Average Assets</w:t>
            </w:r>
            <w:r>
              <w:rPr>
                <w:rFonts w:ascii="Arial" w:cs="Arial" w:eastAsia="Arial" w:hAnsi="Arial"/>
                <w:sz w:val="22"/>
                <w:szCs w:val="22"/>
                <w:b w:val="1"/>
                <w:bCs w:val="1"/>
                <w:color w:val="345988"/>
                <w:vertAlign w:val="superscript"/>
              </w:rPr>
              <w:t>(1)</w:t>
            </w:r>
          </w:p>
        </w:tc>
        <w:tc>
          <w:tcPr>
            <w:tcW w:w="2260" w:type="dxa"/>
            <w:vAlign w:val="bottom"/>
            <w:gridSpan w:val="3"/>
            <w:shd w:val="clear" w:color="auto" w:fill="98A0B5"/>
          </w:tcPr>
          <w:p>
            <w:pPr>
              <w:jc w:val="right"/>
              <w:ind w:right="13"/>
              <w:spacing w:after="0" w:line="225" w:lineRule="exact"/>
              <w:rPr>
                <w:sz w:val="20"/>
                <w:szCs w:val="20"/>
                <w:color w:val="auto"/>
              </w:rPr>
            </w:pPr>
            <w:r>
              <w:rPr>
                <w:rFonts w:ascii="Arial" w:cs="Arial" w:eastAsia="Arial" w:hAnsi="Arial"/>
                <w:sz w:val="13"/>
                <w:szCs w:val="13"/>
                <w:b w:val="1"/>
                <w:bCs w:val="1"/>
                <w:color w:val="345988"/>
              </w:rPr>
              <w:t>Percentage of Total Revenues</w:t>
            </w:r>
            <w:r>
              <w:rPr>
                <w:rFonts w:ascii="Arial" w:cs="Arial" w:eastAsia="Arial" w:hAnsi="Arial"/>
                <w:sz w:val="22"/>
                <w:szCs w:val="22"/>
                <w:b w:val="1"/>
                <w:bCs w:val="1"/>
                <w:color w:val="345988"/>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1240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240790"/>
                    </a:xfrm>
                    <a:prstGeom prst="rect">
                      <a:avLst/>
                    </a:prstGeom>
                    <a:noFill/>
                  </pic:spPr>
                </pic:pic>
              </a:graphicData>
            </a:graphic>
          </wp:anchor>
        </w:drawing>
      </w:r>
    </w:p>
    <w:p>
      <w:pPr>
        <w:jc w:val="both"/>
        <w:ind w:left="80" w:right="4960"/>
        <w:spacing w:after="0" w:line="299" w:lineRule="auto"/>
        <w:rPr>
          <w:sz w:val="20"/>
          <w:szCs w:val="20"/>
          <w:color w:val="auto"/>
        </w:rPr>
      </w:pPr>
      <w:r>
        <w:rPr>
          <w:rFonts w:ascii="Arial" w:cs="Arial" w:eastAsia="Arial" w:hAnsi="Arial"/>
          <w:sz w:val="18"/>
          <w:szCs w:val="18"/>
          <w:b w:val="1"/>
          <w:bCs w:val="1"/>
          <w:color w:val="345988"/>
        </w:rPr>
        <w:t>We have consistently maintained low G&amp;A expenses, with G&amp;A expense as a percentage of total assets and revenues among the lowest of our office REIT peers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spacing w:after="0" w:line="262" w:lineRule="auto"/>
        <w:rPr>
          <w:sz w:val="20"/>
          <w:szCs w:val="20"/>
          <w:color w:val="auto"/>
        </w:rPr>
      </w:pPr>
      <w:r>
        <w:rPr>
          <w:rFonts w:ascii="Arial" w:cs="Arial" w:eastAsia="Arial" w:hAnsi="Arial"/>
          <w:sz w:val="13"/>
          <w:szCs w:val="13"/>
          <w:color w:val="auto"/>
        </w:rPr>
        <w:t>Companies used for comparison in G&amp;A expense analysis are: Alexandria Real Estate Equities, Inc., Boston Properties, Inc., Brandywine Realty Trust, Douglas Emmett, Inc., Empire State Realty Trust, Inc., Kilroy Realty Corporation, Mack-Cali Realty Corporation, Paramount Group, Inc. and Vornado Realty Trust. Office peer data obtained from Weekly Sector Scorecard, Office, dated 4/6/2018 published by Stifel, Nicolaus &amp; Company, Incorporated</w:t>
      </w:r>
    </w:p>
    <w:p>
      <w:pPr>
        <w:spacing w:after="0" w:line="168"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8"/>
          <w:szCs w:val="18"/>
          <w:u w:val="single" w:color="auto"/>
          <w:color w:val="345988"/>
        </w:rPr>
        <w:t>2018 PROXY STATEMENT HIGHLIGHTS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2122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122170"/>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Diversity</w:t>
      </w:r>
    </w:p>
    <w:p>
      <w:pPr>
        <w:spacing w:after="0" w:line="1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345988"/>
        </w:rPr>
        <w:t>Our Board represents diversity in its broader sense. This means diversity of knowledge, skills and education, as well as diversity of age, gender and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spacing w:after="0" w:line="270" w:lineRule="auto"/>
        <w:rPr>
          <w:sz w:val="20"/>
          <w:szCs w:val="20"/>
          <w:color w:val="auto"/>
        </w:rPr>
      </w:pPr>
      <w:r>
        <w:rPr>
          <w:rFonts w:ascii="Arial" w:cs="Arial" w:eastAsia="Arial" w:hAnsi="Arial"/>
          <w:sz w:val="18"/>
          <w:szCs w:val="18"/>
          <w:b w:val="1"/>
          <w:bCs w:val="1"/>
          <w:color w:val="345988"/>
        </w:rPr>
        <w:t xml:space="preserve">33% </w:t>
      </w:r>
      <w:r>
        <w:rPr>
          <w:rFonts w:ascii="Arial" w:cs="Arial" w:eastAsia="Arial" w:hAnsi="Arial"/>
          <w:sz w:val="18"/>
          <w:szCs w:val="18"/>
          <w:color w:val="345988"/>
        </w:rPr>
        <w:t>of our independent Board members are</w:t>
      </w:r>
      <w:r>
        <w:rPr>
          <w:rFonts w:ascii="Arial" w:cs="Arial" w:eastAsia="Arial" w:hAnsi="Arial"/>
          <w:sz w:val="18"/>
          <w:szCs w:val="18"/>
          <w:b w:val="1"/>
          <w:bCs w:val="1"/>
          <w:color w:val="345988"/>
        </w:rPr>
        <w:t xml:space="preserve"> </w:t>
      </w:r>
      <w:r>
        <w:rPr>
          <w:rFonts w:ascii="Arial" w:cs="Arial" w:eastAsia="Arial" w:hAnsi="Arial"/>
          <w:sz w:val="18"/>
          <w:szCs w:val="18"/>
          <w:color w:val="345988"/>
        </w:rPr>
        <w:t>women</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345988"/>
        </w:rPr>
        <w:t>Experience</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18"/>
          <w:szCs w:val="18"/>
          <w:color w:val="345988"/>
        </w:rPr>
        <w:t>Our Board members have broad experience serving on public boards in industries relevant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color w:val="345988"/>
        </w:rPr>
        <w:t xml:space="preserve">78% </w:t>
      </w:r>
      <w:r>
        <w:rPr>
          <w:rFonts w:ascii="Arial" w:cs="Arial" w:eastAsia="Arial" w:hAnsi="Arial"/>
          <w:sz w:val="18"/>
          <w:szCs w:val="18"/>
          <w:color w:val="345988"/>
        </w:rPr>
        <w:t>of our Board have served on the Boards</w:t>
      </w:r>
      <w:r>
        <w:rPr>
          <w:rFonts w:ascii="Arial" w:cs="Arial" w:eastAsia="Arial" w:hAnsi="Arial"/>
          <w:sz w:val="18"/>
          <w:szCs w:val="18"/>
          <w:b w:val="1"/>
          <w:bCs w:val="1"/>
          <w:color w:val="345988"/>
        </w:rPr>
        <w:t xml:space="preserve"> </w:t>
      </w:r>
      <w:r>
        <w:rPr>
          <w:rFonts w:ascii="Arial" w:cs="Arial" w:eastAsia="Arial" w:hAnsi="Arial"/>
          <w:sz w:val="18"/>
          <w:szCs w:val="18"/>
          <w:color w:val="345988"/>
        </w:rPr>
        <w:t>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93980</wp:posOffset>
            </wp:positionV>
            <wp:extent cx="7246620" cy="1659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659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345988"/>
        </w:rPr>
        <w:t>Leadership</w:t>
      </w:r>
    </w:p>
    <w:p>
      <w:pPr>
        <w:spacing w:after="0" w:line="10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345988"/>
        </w:rPr>
        <w:t>Our Board members have strong corporate leadership backgrounds such as being a CEO, CFO or holding other Executive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b w:val="1"/>
          <w:bCs w:val="1"/>
          <w:color w:val="345988"/>
        </w:rPr>
        <w:t xml:space="preserve">89% </w:t>
      </w:r>
      <w:r>
        <w:rPr>
          <w:rFonts w:ascii="Arial" w:cs="Arial" w:eastAsia="Arial" w:hAnsi="Arial"/>
          <w:sz w:val="18"/>
          <w:szCs w:val="18"/>
          <w:color w:val="345988"/>
        </w:rPr>
        <w:t>of our Board have served as CEO or in</w:t>
      </w:r>
      <w:r>
        <w:rPr>
          <w:rFonts w:ascii="Arial" w:cs="Arial" w:eastAsia="Arial" w:hAnsi="Arial"/>
          <w:sz w:val="18"/>
          <w:szCs w:val="18"/>
          <w:b w:val="1"/>
          <w:bCs w:val="1"/>
          <w:color w:val="345988"/>
        </w:rPr>
        <w:t xml:space="preserve"> </w:t>
      </w:r>
      <w:r>
        <w:rPr>
          <w:rFonts w:ascii="Arial" w:cs="Arial" w:eastAsia="Arial" w:hAnsi="Arial"/>
          <w:sz w:val="18"/>
          <w:szCs w:val="18"/>
          <w:color w:val="345988"/>
        </w:rPr>
        <w:t>senior leadership positions</w:t>
      </w:r>
    </w:p>
    <w:p>
      <w:pPr>
        <w:spacing w:after="0" w:line="168" w:lineRule="exact"/>
        <w:rPr>
          <w:sz w:val="20"/>
          <w:szCs w:val="20"/>
          <w:color w:val="auto"/>
        </w:rPr>
      </w:pPr>
    </w:p>
    <w:p>
      <w:pPr>
        <w:sectPr>
          <w:pgSz w:w="11900" w:h="16838" w:orient="portrait"/>
          <w:cols w:equalWidth="0" w:num="3">
            <w:col w:w="3580" w:space="300"/>
            <w:col w:w="3560" w:space="240"/>
            <w:col w:w="3760"/>
          </w:cols>
          <w:pgMar w:left="240" w:top="119" w:right="21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345988"/>
        </w:rPr>
        <w:t>Succession Planning</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345988"/>
        </w:rPr>
        <w:t>We remain focused on refreshing the membership of the Board and its Committees.</w:t>
      </w:r>
    </w:p>
    <w:p>
      <w:pPr>
        <w:sectPr>
          <w:pgSz w:w="11900" w:h="16838" w:orient="portrait"/>
          <w:cols w:equalWidth="0" w:num="1">
            <w:col w:w="11440"/>
          </w:cols>
          <w:pgMar w:left="240" w:top="119" w:right="219" w:bottom="1440" w:gutter="0" w:footer="0" w:header="0"/>
          <w:type w:val="continuous"/>
        </w:sectPr>
      </w:pPr>
    </w:p>
    <w:p>
      <w:pPr>
        <w:spacing w:after="0" w:line="18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345988"/>
        </w:rPr>
        <w:t>Chairman transition:</w:t>
      </w:r>
    </w:p>
    <w:p>
      <w:pPr>
        <w:spacing w:after="0" w:line="211" w:lineRule="exact"/>
        <w:rPr>
          <w:sz w:val="20"/>
          <w:szCs w:val="20"/>
          <w:color w:val="auto"/>
        </w:rPr>
      </w:pPr>
    </w:p>
    <w:p>
      <w:pPr>
        <w:ind w:left="3900"/>
        <w:spacing w:after="0" w:line="241" w:lineRule="auto"/>
        <w:rPr>
          <w:sz w:val="20"/>
          <w:szCs w:val="20"/>
          <w:color w:val="auto"/>
        </w:rPr>
      </w:pPr>
      <w:r>
        <w:rPr>
          <w:rFonts w:ascii="Arial" w:cs="Arial" w:eastAsia="Arial" w:hAnsi="Arial"/>
          <w:sz w:val="18"/>
          <w:szCs w:val="18"/>
          <w:b w:val="1"/>
          <w:bCs w:val="1"/>
          <w:color w:val="FFFFFF"/>
        </w:rPr>
        <w:t xml:space="preserve">In April 2018, </w:t>
      </w:r>
      <w:r>
        <w:rPr>
          <w:rFonts w:ascii="Arial" w:cs="Arial" w:eastAsia="Arial" w:hAnsi="Arial"/>
          <w:sz w:val="18"/>
          <w:szCs w:val="18"/>
          <w:b w:val="1"/>
          <w:bCs w:val="1"/>
          <w:color w:val="345988"/>
        </w:rPr>
        <w:t>Stephen L. Green</w:t>
      </w:r>
      <w:r>
        <w:rPr>
          <w:rFonts w:ascii="Arial" w:cs="Arial" w:eastAsia="Arial" w:hAnsi="Arial"/>
          <w:sz w:val="18"/>
          <w:szCs w:val="18"/>
          <w:b w:val="1"/>
          <w:bCs w:val="1"/>
          <w:color w:val="FFFFFF"/>
        </w:rPr>
        <w:t xml:space="preserve"> announced he will be stepping down as Chairman of the Board and transitioning into the role of Chairman Emeritus, and we will appoint </w:t>
      </w:r>
      <w:r>
        <w:rPr>
          <w:rFonts w:ascii="Arial" w:cs="Arial" w:eastAsia="Arial" w:hAnsi="Arial"/>
          <w:sz w:val="18"/>
          <w:szCs w:val="18"/>
          <w:b w:val="1"/>
          <w:bCs w:val="1"/>
          <w:color w:val="345988"/>
        </w:rPr>
        <w:t xml:space="preserve">Marc Holliday </w:t>
      </w:r>
      <w:r>
        <w:rPr>
          <w:rFonts w:ascii="Arial" w:cs="Arial" w:eastAsia="Arial" w:hAnsi="Arial"/>
          <w:sz w:val="18"/>
          <w:szCs w:val="18"/>
          <w:b w:val="1"/>
          <w:bCs w:val="1"/>
          <w:color w:val="FFFFFF"/>
        </w:rPr>
        <w:t>to succeed</w:t>
      </w:r>
      <w:r>
        <w:rPr>
          <w:rFonts w:ascii="Arial" w:cs="Arial" w:eastAsia="Arial" w:hAnsi="Arial"/>
          <w:sz w:val="18"/>
          <w:szCs w:val="18"/>
          <w:b w:val="1"/>
          <w:bCs w:val="1"/>
          <w:color w:val="345988"/>
        </w:rPr>
        <w:t xml:space="preserve"> Mr. Green </w:t>
      </w:r>
      <w:r>
        <w:rPr>
          <w:rFonts w:ascii="Arial" w:cs="Arial" w:eastAsia="Arial" w:hAnsi="Arial"/>
          <w:sz w:val="18"/>
          <w:szCs w:val="18"/>
          <w:b w:val="1"/>
          <w:bCs w:val="1"/>
          <w:color w:val="FFFFFF"/>
        </w:rPr>
        <w:t>as our</w:t>
      </w:r>
      <w:r>
        <w:rPr>
          <w:rFonts w:ascii="Arial" w:cs="Arial" w:eastAsia="Arial" w:hAnsi="Arial"/>
          <w:sz w:val="18"/>
          <w:szCs w:val="18"/>
          <w:b w:val="1"/>
          <w:bCs w:val="1"/>
          <w:color w:val="345988"/>
        </w:rPr>
        <w:t xml:space="preserve"> </w:t>
      </w:r>
      <w:r>
        <w:rPr>
          <w:rFonts w:ascii="Arial" w:cs="Arial" w:eastAsia="Arial" w:hAnsi="Arial"/>
          <w:sz w:val="18"/>
          <w:szCs w:val="18"/>
          <w:b w:val="1"/>
          <w:bCs w:val="1"/>
          <w:color w:val="FFFFFF"/>
        </w:rPr>
        <w:t>Chairman in addition to serving as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1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1380"/>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Declassified Board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345988"/>
        </w:rPr>
        <w:t>Committee chair rotations:</w:t>
      </w:r>
    </w:p>
    <w:p>
      <w:pPr>
        <w:spacing w:after="0" w:line="21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b w:val="1"/>
          <w:bCs w:val="1"/>
          <w:color w:val="FFFFFF"/>
        </w:rPr>
        <w:t xml:space="preserve">In February 2018, </w:t>
      </w:r>
      <w:r>
        <w:rPr>
          <w:rFonts w:ascii="Arial" w:cs="Arial" w:eastAsia="Arial" w:hAnsi="Arial"/>
          <w:sz w:val="18"/>
          <w:szCs w:val="18"/>
          <w:b w:val="1"/>
          <w:bCs w:val="1"/>
          <w:color w:val="345988"/>
        </w:rPr>
        <w:t>Lauren Dillard</w:t>
      </w:r>
      <w:r>
        <w:rPr>
          <w:rFonts w:ascii="Arial" w:cs="Arial" w:eastAsia="Arial" w:hAnsi="Arial"/>
          <w:sz w:val="18"/>
          <w:szCs w:val="18"/>
          <w:b w:val="1"/>
          <w:bCs w:val="1"/>
          <w:color w:val="FFFFFF"/>
        </w:rPr>
        <w:t xml:space="preserve"> replaced </w:t>
      </w:r>
      <w:r>
        <w:rPr>
          <w:rFonts w:ascii="Arial" w:cs="Arial" w:eastAsia="Arial" w:hAnsi="Arial"/>
          <w:sz w:val="18"/>
          <w:szCs w:val="18"/>
          <w:b w:val="1"/>
          <w:bCs w:val="1"/>
          <w:color w:val="345988"/>
        </w:rPr>
        <w:t xml:space="preserve">John Alschuler </w:t>
      </w:r>
      <w:r>
        <w:rPr>
          <w:rFonts w:ascii="Arial" w:cs="Arial" w:eastAsia="Arial" w:hAnsi="Arial"/>
          <w:sz w:val="18"/>
          <w:szCs w:val="18"/>
          <w:b w:val="1"/>
          <w:bCs w:val="1"/>
          <w:color w:val="FFFFFF"/>
        </w:rPr>
        <w:t>as chair of our</w:t>
      </w:r>
      <w:r>
        <w:rPr>
          <w:rFonts w:ascii="Arial" w:cs="Arial" w:eastAsia="Arial" w:hAnsi="Arial"/>
          <w:sz w:val="18"/>
          <w:szCs w:val="18"/>
          <w:b w:val="1"/>
          <w:bCs w:val="1"/>
          <w:color w:val="345988"/>
        </w:rPr>
        <w:t xml:space="preserve"> </w:t>
      </w:r>
      <w:r>
        <w:rPr>
          <w:rFonts w:ascii="Arial" w:cs="Arial" w:eastAsia="Arial" w:hAnsi="Arial"/>
          <w:sz w:val="18"/>
          <w:szCs w:val="18"/>
          <w:b w:val="1"/>
          <w:bCs w:val="1"/>
          <w:color w:val="FFFFFF"/>
        </w:rPr>
        <w:t>Compensation Committee</w:t>
      </w:r>
    </w:p>
    <w:p>
      <w:pPr>
        <w:spacing w:after="0" w:line="1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color w:val="FFFFFF"/>
        </w:rPr>
        <w:t xml:space="preserve">In March 2018, </w:t>
      </w:r>
      <w:r>
        <w:rPr>
          <w:rFonts w:ascii="Arial" w:cs="Arial" w:eastAsia="Arial" w:hAnsi="Arial"/>
          <w:sz w:val="18"/>
          <w:szCs w:val="18"/>
          <w:b w:val="1"/>
          <w:bCs w:val="1"/>
          <w:color w:val="345988"/>
        </w:rPr>
        <w:t>Craig Hatkoff</w:t>
      </w:r>
      <w:r>
        <w:rPr>
          <w:rFonts w:ascii="Arial" w:cs="Arial" w:eastAsia="Arial" w:hAnsi="Arial"/>
          <w:sz w:val="18"/>
          <w:szCs w:val="18"/>
          <w:b w:val="1"/>
          <w:bCs w:val="1"/>
          <w:color w:val="FFFFFF"/>
        </w:rPr>
        <w:t xml:space="preserve"> replaced </w:t>
      </w:r>
      <w:r>
        <w:rPr>
          <w:rFonts w:ascii="Arial" w:cs="Arial" w:eastAsia="Arial" w:hAnsi="Arial"/>
          <w:sz w:val="18"/>
          <w:szCs w:val="18"/>
          <w:b w:val="1"/>
          <w:bCs w:val="1"/>
          <w:color w:val="345988"/>
        </w:rPr>
        <w:t>John</w:t>
      </w:r>
      <w:r>
        <w:rPr>
          <w:rFonts w:ascii="Arial" w:cs="Arial" w:eastAsia="Arial" w:hAnsi="Arial"/>
          <w:sz w:val="18"/>
          <w:szCs w:val="18"/>
          <w:b w:val="1"/>
          <w:bCs w:val="1"/>
          <w:color w:val="FFFFFF"/>
        </w:rPr>
        <w:t xml:space="preserve"> </w:t>
      </w:r>
      <w:r>
        <w:rPr>
          <w:rFonts w:ascii="Arial" w:cs="Arial" w:eastAsia="Arial" w:hAnsi="Arial"/>
          <w:sz w:val="18"/>
          <w:szCs w:val="18"/>
          <w:b w:val="1"/>
          <w:bCs w:val="1"/>
          <w:color w:val="345988"/>
        </w:rPr>
        <w:t xml:space="preserve">Levy </w:t>
      </w:r>
      <w:r>
        <w:rPr>
          <w:rFonts w:ascii="Arial" w:cs="Arial" w:eastAsia="Arial" w:hAnsi="Arial"/>
          <w:sz w:val="18"/>
          <w:szCs w:val="18"/>
          <w:b w:val="1"/>
          <w:bCs w:val="1"/>
          <w:color w:val="FFFFFF"/>
        </w:rPr>
        <w:t>as chair of our Nominating and</w:t>
      </w:r>
      <w:r>
        <w:rPr>
          <w:rFonts w:ascii="Arial" w:cs="Arial" w:eastAsia="Arial" w:hAnsi="Arial"/>
          <w:sz w:val="18"/>
          <w:szCs w:val="18"/>
          <w:b w:val="1"/>
          <w:bCs w:val="1"/>
          <w:color w:val="345988"/>
        </w:rPr>
        <w:t xml:space="preserve"> </w:t>
      </w:r>
      <w:r>
        <w:rPr>
          <w:rFonts w:ascii="Arial" w:cs="Arial" w:eastAsia="Arial" w:hAnsi="Arial"/>
          <w:sz w:val="18"/>
          <w:szCs w:val="18"/>
          <w:b w:val="1"/>
          <w:bCs w:val="1"/>
          <w:color w:val="FFFFFF"/>
        </w:rPr>
        <w:t>Corporate Governance Committee</w:t>
      </w:r>
    </w:p>
    <w:p>
      <w:pPr>
        <w:spacing w:after="0" w:line="577" w:lineRule="exact"/>
        <w:rPr>
          <w:sz w:val="20"/>
          <w:szCs w:val="20"/>
          <w:color w:val="auto"/>
        </w:rPr>
      </w:pPr>
    </w:p>
    <w:p>
      <w:pPr>
        <w:sectPr>
          <w:pgSz w:w="11900" w:h="16838" w:orient="portrait"/>
          <w:cols w:equalWidth="0" w:num="2">
            <w:col w:w="7480" w:space="200"/>
            <w:col w:w="3760"/>
          </w:cols>
          <w:pgMar w:left="240" w:top="119" w:right="219" w:bottom="1440" w:gutter="0" w:footer="0" w:header="0"/>
          <w:type w:val="continuous"/>
        </w:sectPr>
      </w:pPr>
    </w:p>
    <w:p>
      <w:pPr>
        <w:spacing w:after="0" w:line="78" w:lineRule="exact"/>
        <w:rPr>
          <w:sz w:val="20"/>
          <w:szCs w:val="20"/>
          <w:color w:val="auto"/>
        </w:rPr>
      </w:pPr>
    </w:p>
    <w:p>
      <w:pPr>
        <w:jc w:val="both"/>
        <w:ind w:left="1580" w:right="180"/>
        <w:spacing w:after="0" w:line="257" w:lineRule="auto"/>
        <w:rPr>
          <w:sz w:val="20"/>
          <w:szCs w:val="20"/>
          <w:color w:val="auto"/>
        </w:rPr>
      </w:pPr>
      <w:r>
        <w:rPr>
          <w:rFonts w:ascii="Arial" w:cs="Arial" w:eastAsia="Arial" w:hAnsi="Arial"/>
          <w:sz w:val="18"/>
          <w:szCs w:val="18"/>
          <w:b w:val="1"/>
          <w:bCs w:val="1"/>
          <w:color w:val="FFFFFF"/>
        </w:rPr>
        <w:t xml:space="preserve">At our 2017 annual meeting, stockholders approved a proposal to declassify our Board. </w:t>
      </w:r>
      <w:r>
        <w:rPr>
          <w:rFonts w:ascii="Arial" w:cs="Arial" w:eastAsia="Arial" w:hAnsi="Arial"/>
          <w:sz w:val="18"/>
          <w:szCs w:val="18"/>
          <w:b w:val="1"/>
          <w:bCs w:val="1"/>
          <w:color w:val="345988"/>
        </w:rPr>
        <w:t>Beginning in 2018, directors</w:t>
      </w:r>
      <w:r>
        <w:rPr>
          <w:rFonts w:ascii="Arial" w:cs="Arial" w:eastAsia="Arial" w:hAnsi="Arial"/>
          <w:sz w:val="18"/>
          <w:szCs w:val="18"/>
          <w:b w:val="1"/>
          <w:bCs w:val="1"/>
          <w:color w:val="FFFFFF"/>
        </w:rPr>
        <w:t xml:space="preserve"> </w:t>
      </w:r>
      <w:r>
        <w:rPr>
          <w:rFonts w:ascii="Arial" w:cs="Arial" w:eastAsia="Arial" w:hAnsi="Arial"/>
          <w:sz w:val="18"/>
          <w:szCs w:val="18"/>
          <w:b w:val="1"/>
          <w:bCs w:val="1"/>
          <w:color w:val="345988"/>
        </w:rPr>
        <w:t xml:space="preserve">whose terms are expiring will be elected for one-year terms. </w:t>
      </w:r>
      <w:r>
        <w:rPr>
          <w:rFonts w:ascii="Arial" w:cs="Arial" w:eastAsia="Arial" w:hAnsi="Arial"/>
          <w:sz w:val="18"/>
          <w:szCs w:val="18"/>
          <w:b w:val="1"/>
          <w:bCs w:val="1"/>
          <w:color w:val="FFFFFF"/>
        </w:rPr>
        <w:t>By our 2020 annual meeting, our Board of Directors will</w:t>
      </w:r>
      <w:r>
        <w:rPr>
          <w:rFonts w:ascii="Arial" w:cs="Arial" w:eastAsia="Arial" w:hAnsi="Arial"/>
          <w:sz w:val="18"/>
          <w:szCs w:val="18"/>
          <w:b w:val="1"/>
          <w:bCs w:val="1"/>
          <w:color w:val="345988"/>
        </w:rPr>
        <w:t xml:space="preserve"> </w:t>
      </w:r>
      <w:r>
        <w:rPr>
          <w:rFonts w:ascii="Arial" w:cs="Arial" w:eastAsia="Arial" w:hAnsi="Arial"/>
          <w:sz w:val="18"/>
          <w:szCs w:val="18"/>
          <w:b w:val="1"/>
          <w:bCs w:val="1"/>
          <w:color w:val="FFFFFF"/>
        </w:rPr>
        <w:t>be fully declassified</w:t>
      </w:r>
      <w:r>
        <w:rPr>
          <w:rFonts w:ascii="Arial" w:cs="Arial" w:eastAsia="Arial" w:hAnsi="Arial"/>
          <w:sz w:val="18"/>
          <w:szCs w:val="18"/>
          <w:b w:val="1"/>
          <w:bCs w:val="1"/>
          <w:color w:val="34598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1531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31620"/>
                    </a:xfrm>
                    <a:prstGeom prst="rect">
                      <a:avLst/>
                    </a:prstGeom>
                    <a:noFill/>
                  </pic:spPr>
                </pic:pic>
              </a:graphicData>
            </a:graphic>
          </wp:anchor>
        </w:drawing>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Proxy Access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345988"/>
        </w:rPr>
        <w:t>Since 2016, our bylaws permit: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509"/>
        </w:trPr>
        <w:tc>
          <w:tcPr>
            <w:tcW w:w="3520" w:type="dxa"/>
            <w:vAlign w:val="bottom"/>
          </w:tcPr>
          <w:p>
            <w:pPr>
              <w:spacing w:after="0"/>
              <w:rPr>
                <w:sz w:val="24"/>
                <w:szCs w:val="24"/>
                <w:color w:val="auto"/>
              </w:rPr>
            </w:pPr>
          </w:p>
        </w:tc>
        <w:tc>
          <w:tcPr>
            <w:tcW w:w="3920" w:type="dxa"/>
            <w:vAlign w:val="bottom"/>
          </w:tcPr>
          <w:p>
            <w:pPr>
              <w:ind w:left="360"/>
              <w:spacing w:after="0"/>
              <w:rPr>
                <w:sz w:val="20"/>
                <w:szCs w:val="20"/>
                <w:color w:val="auto"/>
              </w:rPr>
            </w:pPr>
            <w:r>
              <w:rPr>
                <w:rFonts w:ascii="Arial" w:cs="Arial" w:eastAsia="Arial" w:hAnsi="Arial"/>
                <w:sz w:val="36"/>
                <w:szCs w:val="36"/>
                <w:b w:val="1"/>
                <w:bCs w:val="1"/>
                <w:color w:val="FFFFFF"/>
              </w:rPr>
              <w:t>3% / 3-years</w:t>
            </w:r>
          </w:p>
        </w:tc>
        <w:tc>
          <w:tcPr>
            <w:tcW w:w="4000" w:type="dxa"/>
            <w:vAlign w:val="bottom"/>
          </w:tcPr>
          <w:p>
            <w:pPr>
              <w:ind w:left="240"/>
              <w:spacing w:after="0"/>
              <w:rPr>
                <w:sz w:val="20"/>
                <w:szCs w:val="20"/>
                <w:color w:val="auto"/>
              </w:rPr>
            </w:pPr>
            <w:r>
              <w:rPr>
                <w:rFonts w:ascii="Arial" w:cs="Arial" w:eastAsia="Arial" w:hAnsi="Arial"/>
                <w:sz w:val="36"/>
                <w:szCs w:val="36"/>
                <w:b w:val="1"/>
                <w:bCs w:val="1"/>
                <w:color w:val="FFFFFF"/>
              </w:rPr>
              <w:t>2 candidates / 20%</w:t>
            </w:r>
          </w:p>
        </w:tc>
        <w:tc>
          <w:tcPr>
            <w:tcW w:w="0" w:type="dxa"/>
            <w:vAlign w:val="bottom"/>
          </w:tcPr>
          <w:p>
            <w:pPr>
              <w:spacing w:after="0"/>
              <w:rPr>
                <w:sz w:val="1"/>
                <w:szCs w:val="1"/>
                <w:color w:val="auto"/>
              </w:rPr>
            </w:pPr>
          </w:p>
        </w:tc>
      </w:tr>
      <w:tr>
        <w:trPr>
          <w:trHeight w:val="357"/>
        </w:trPr>
        <w:tc>
          <w:tcPr>
            <w:tcW w:w="3520" w:type="dxa"/>
            <w:vAlign w:val="bottom"/>
          </w:tcPr>
          <w:p>
            <w:pPr>
              <w:spacing w:after="0"/>
              <w:rPr>
                <w:sz w:val="24"/>
                <w:szCs w:val="24"/>
                <w:color w:val="auto"/>
              </w:rPr>
            </w:pPr>
          </w:p>
        </w:tc>
        <w:tc>
          <w:tcPr>
            <w:tcW w:w="3920" w:type="dxa"/>
            <w:vAlign w:val="bottom"/>
          </w:tcPr>
          <w:p>
            <w:pPr>
              <w:ind w:left="360"/>
              <w:spacing w:after="0"/>
              <w:rPr>
                <w:sz w:val="20"/>
                <w:szCs w:val="20"/>
                <w:color w:val="auto"/>
              </w:rPr>
            </w:pPr>
            <w:r>
              <w:rPr>
                <w:rFonts w:ascii="Arial" w:cs="Arial" w:eastAsia="Arial" w:hAnsi="Arial"/>
                <w:sz w:val="18"/>
                <w:szCs w:val="18"/>
                <w:b w:val="1"/>
                <w:bCs w:val="1"/>
                <w:color w:val="345988"/>
              </w:rPr>
              <w:t>Owning 3% or more of our outstanding</w:t>
            </w:r>
          </w:p>
        </w:tc>
        <w:tc>
          <w:tcPr>
            <w:tcW w:w="4000" w:type="dxa"/>
            <w:vAlign w:val="bottom"/>
          </w:tcPr>
          <w:p>
            <w:pPr>
              <w:ind w:left="240"/>
              <w:spacing w:after="0"/>
              <w:rPr>
                <w:sz w:val="20"/>
                <w:szCs w:val="20"/>
                <w:color w:val="auto"/>
              </w:rPr>
            </w:pPr>
            <w:r>
              <w:rPr>
                <w:rFonts w:ascii="Arial" w:cs="Arial" w:eastAsia="Arial" w:hAnsi="Arial"/>
                <w:sz w:val="18"/>
                <w:szCs w:val="18"/>
                <w:b w:val="1"/>
                <w:bCs w:val="1"/>
                <w:color w:val="345988"/>
              </w:rPr>
              <w:t>To nominate and include in our proxy</w:t>
            </w: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3920" w:type="dxa"/>
            <w:vAlign w:val="bottom"/>
          </w:tcPr>
          <w:p>
            <w:pPr>
              <w:ind w:left="360"/>
              <w:spacing w:after="0" w:line="202" w:lineRule="exact"/>
              <w:rPr>
                <w:sz w:val="20"/>
                <w:szCs w:val="20"/>
                <w:color w:val="auto"/>
              </w:rPr>
            </w:pPr>
            <w:r>
              <w:rPr>
                <w:rFonts w:ascii="Arial" w:cs="Arial" w:eastAsia="Arial" w:hAnsi="Arial"/>
                <w:sz w:val="18"/>
                <w:szCs w:val="18"/>
                <w:b w:val="1"/>
                <w:bCs w:val="1"/>
                <w:color w:val="345988"/>
              </w:rPr>
              <w:t>common stock continuously for at least</w:t>
            </w:r>
          </w:p>
        </w:tc>
        <w:tc>
          <w:tcPr>
            <w:tcW w:w="4000" w:type="dxa"/>
            <w:vAlign w:val="bottom"/>
          </w:tcPr>
          <w:p>
            <w:pPr>
              <w:ind w:left="240"/>
              <w:spacing w:after="0" w:line="202" w:lineRule="exact"/>
              <w:rPr>
                <w:sz w:val="20"/>
                <w:szCs w:val="20"/>
                <w:color w:val="auto"/>
              </w:rPr>
            </w:pPr>
            <w:r>
              <w:rPr>
                <w:rFonts w:ascii="Arial" w:cs="Arial" w:eastAsia="Arial" w:hAnsi="Arial"/>
                <w:sz w:val="18"/>
                <w:szCs w:val="18"/>
                <w:b w:val="1"/>
                <w:bCs w:val="1"/>
                <w:color w:val="345988"/>
              </w:rPr>
              <w:t>materials director candidates constituting</w:t>
            </w:r>
          </w:p>
        </w:tc>
        <w:tc>
          <w:tcPr>
            <w:tcW w:w="0" w:type="dxa"/>
            <w:vAlign w:val="bottom"/>
          </w:tcPr>
          <w:p>
            <w:pPr>
              <w:spacing w:after="0"/>
              <w:rPr>
                <w:sz w:val="1"/>
                <w:szCs w:val="1"/>
                <w:color w:val="auto"/>
              </w:rPr>
            </w:pPr>
          </w:p>
        </w:tc>
      </w:tr>
      <w:tr>
        <w:trPr>
          <w:trHeight w:val="202"/>
        </w:trPr>
        <w:tc>
          <w:tcPr>
            <w:tcW w:w="3520" w:type="dxa"/>
            <w:vAlign w:val="bottom"/>
            <w:vMerge w:val="restart"/>
          </w:tcPr>
          <w:p>
            <w:pPr>
              <w:ind w:left="120"/>
              <w:spacing w:after="0"/>
              <w:rPr>
                <w:sz w:val="20"/>
                <w:szCs w:val="20"/>
                <w:color w:val="auto"/>
              </w:rPr>
            </w:pPr>
            <w:r>
              <w:rPr>
                <w:rFonts w:ascii="Arial" w:cs="Arial" w:eastAsia="Arial" w:hAnsi="Arial"/>
                <w:sz w:val="18"/>
                <w:szCs w:val="18"/>
                <w:b w:val="1"/>
                <w:bCs w:val="1"/>
                <w:color w:val="345988"/>
              </w:rPr>
              <w:t>A stockholder</w:t>
            </w:r>
          </w:p>
        </w:tc>
        <w:tc>
          <w:tcPr>
            <w:tcW w:w="3920" w:type="dxa"/>
            <w:vAlign w:val="bottom"/>
          </w:tcPr>
          <w:p>
            <w:pPr>
              <w:ind w:left="360"/>
              <w:spacing w:after="0" w:line="202" w:lineRule="exact"/>
              <w:rPr>
                <w:sz w:val="20"/>
                <w:szCs w:val="20"/>
                <w:color w:val="auto"/>
              </w:rPr>
            </w:pPr>
            <w:r>
              <w:rPr>
                <w:rFonts w:ascii="Arial" w:cs="Arial" w:eastAsia="Arial" w:hAnsi="Arial"/>
                <w:sz w:val="18"/>
                <w:szCs w:val="18"/>
                <w:b w:val="1"/>
                <w:bCs w:val="1"/>
                <w:color w:val="345988"/>
              </w:rPr>
              <w:t>three years</w:t>
            </w:r>
          </w:p>
        </w:tc>
        <w:tc>
          <w:tcPr>
            <w:tcW w:w="4000" w:type="dxa"/>
            <w:vAlign w:val="bottom"/>
          </w:tcPr>
          <w:p>
            <w:pPr>
              <w:ind w:left="240"/>
              <w:spacing w:after="0" w:line="202" w:lineRule="exact"/>
              <w:rPr>
                <w:sz w:val="20"/>
                <w:szCs w:val="20"/>
                <w:color w:val="auto"/>
              </w:rPr>
            </w:pPr>
            <w:r>
              <w:rPr>
                <w:rFonts w:ascii="Arial" w:cs="Arial" w:eastAsia="Arial" w:hAnsi="Arial"/>
                <w:sz w:val="18"/>
                <w:szCs w:val="18"/>
                <w:b w:val="1"/>
                <w:bCs w:val="1"/>
                <w:color w:val="345988"/>
              </w:rPr>
              <w:t>up to the greater of two individuals or 20%</w:t>
            </w:r>
          </w:p>
        </w:tc>
        <w:tc>
          <w:tcPr>
            <w:tcW w:w="0" w:type="dxa"/>
            <w:vAlign w:val="bottom"/>
          </w:tcPr>
          <w:p>
            <w:pPr>
              <w:spacing w:after="0"/>
              <w:rPr>
                <w:sz w:val="1"/>
                <w:szCs w:val="1"/>
                <w:color w:val="auto"/>
              </w:rPr>
            </w:pPr>
          </w:p>
        </w:tc>
      </w:tr>
      <w:tr>
        <w:trPr>
          <w:trHeight w:val="94"/>
        </w:trPr>
        <w:tc>
          <w:tcPr>
            <w:tcW w:w="3520" w:type="dxa"/>
            <w:vAlign w:val="bottom"/>
            <w:vMerge w:val="continue"/>
          </w:tcPr>
          <w:p>
            <w:pPr>
              <w:spacing w:after="0"/>
              <w:rPr>
                <w:sz w:val="8"/>
                <w:szCs w:val="8"/>
                <w:color w:val="auto"/>
              </w:rPr>
            </w:pPr>
          </w:p>
        </w:tc>
        <w:tc>
          <w:tcPr>
            <w:tcW w:w="3920" w:type="dxa"/>
            <w:vAlign w:val="bottom"/>
          </w:tcPr>
          <w:p>
            <w:pPr>
              <w:spacing w:after="0"/>
              <w:rPr>
                <w:sz w:val="8"/>
                <w:szCs w:val="8"/>
                <w:color w:val="auto"/>
              </w:rPr>
            </w:pPr>
          </w:p>
        </w:tc>
        <w:tc>
          <w:tcPr>
            <w:tcW w:w="4000" w:type="dxa"/>
            <w:vAlign w:val="bottom"/>
            <w:vMerge w:val="restart"/>
          </w:tcPr>
          <w:p>
            <w:pPr>
              <w:ind w:left="240"/>
              <w:spacing w:after="0" w:line="202" w:lineRule="exact"/>
              <w:rPr>
                <w:sz w:val="20"/>
                <w:szCs w:val="20"/>
                <w:color w:val="auto"/>
              </w:rPr>
            </w:pPr>
            <w:r>
              <w:rPr>
                <w:rFonts w:ascii="Arial" w:cs="Arial" w:eastAsia="Arial" w:hAnsi="Arial"/>
                <w:sz w:val="18"/>
                <w:szCs w:val="18"/>
                <w:b w:val="1"/>
                <w:bCs w:val="1"/>
                <w:color w:val="345988"/>
              </w:rPr>
              <w:t>of the Board, if the nominee(s) satisfy the</w:t>
            </w:r>
          </w:p>
        </w:tc>
        <w:tc>
          <w:tcPr>
            <w:tcW w:w="0" w:type="dxa"/>
            <w:vAlign w:val="bottom"/>
          </w:tcPr>
          <w:p>
            <w:pPr>
              <w:spacing w:after="0"/>
              <w:rPr>
                <w:sz w:val="1"/>
                <w:szCs w:val="1"/>
                <w:color w:val="auto"/>
              </w:rPr>
            </w:pPr>
          </w:p>
        </w:tc>
      </w:tr>
      <w:tr>
        <w:trPr>
          <w:trHeight w:val="108"/>
        </w:trPr>
        <w:tc>
          <w:tcPr>
            <w:tcW w:w="3520" w:type="dxa"/>
            <w:vAlign w:val="bottom"/>
            <w:vMerge w:val="restart"/>
          </w:tcPr>
          <w:p>
            <w:pPr>
              <w:ind w:left="120"/>
              <w:spacing w:after="0"/>
              <w:rPr>
                <w:sz w:val="20"/>
                <w:szCs w:val="20"/>
                <w:color w:val="auto"/>
              </w:rPr>
            </w:pPr>
            <w:r>
              <w:rPr>
                <w:rFonts w:ascii="Arial" w:cs="Arial" w:eastAsia="Arial" w:hAnsi="Arial"/>
                <w:sz w:val="18"/>
                <w:szCs w:val="18"/>
                <w:b w:val="1"/>
                <w:bCs w:val="1"/>
                <w:color w:val="345988"/>
              </w:rPr>
              <w:t xml:space="preserve">(or a group of up to </w:t>
            </w:r>
            <w:r>
              <w:rPr>
                <w:rFonts w:ascii="Arial" w:cs="Arial" w:eastAsia="Arial" w:hAnsi="Arial"/>
                <w:sz w:val="18"/>
                <w:szCs w:val="18"/>
                <w:b w:val="1"/>
                <w:bCs w:val="1"/>
                <w:color w:val="FFFFFF"/>
              </w:rPr>
              <w:t>20 stockholders</w:t>
            </w:r>
            <w:r>
              <w:rPr>
                <w:rFonts w:ascii="Arial" w:cs="Arial" w:eastAsia="Arial" w:hAnsi="Arial"/>
                <w:sz w:val="18"/>
                <w:szCs w:val="18"/>
                <w:b w:val="1"/>
                <w:bCs w:val="1"/>
                <w:color w:val="345988"/>
              </w:rPr>
              <w:t>)</w:t>
            </w:r>
          </w:p>
        </w:tc>
        <w:tc>
          <w:tcPr>
            <w:tcW w:w="3920" w:type="dxa"/>
            <w:vAlign w:val="bottom"/>
          </w:tcPr>
          <w:p>
            <w:pPr>
              <w:spacing w:after="0"/>
              <w:rPr>
                <w:sz w:val="9"/>
                <w:szCs w:val="9"/>
                <w:color w:val="auto"/>
              </w:rPr>
            </w:pPr>
          </w:p>
        </w:tc>
        <w:tc>
          <w:tcPr>
            <w:tcW w:w="4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520" w:type="dxa"/>
            <w:vAlign w:val="bottom"/>
            <w:vMerge w:val="continue"/>
          </w:tcPr>
          <w:p>
            <w:pPr>
              <w:spacing w:after="0"/>
              <w:rPr>
                <w:sz w:val="12"/>
                <w:szCs w:val="12"/>
                <w:color w:val="auto"/>
              </w:rPr>
            </w:pPr>
          </w:p>
        </w:tc>
        <w:tc>
          <w:tcPr>
            <w:tcW w:w="3920" w:type="dxa"/>
            <w:vAlign w:val="bottom"/>
          </w:tcPr>
          <w:p>
            <w:pPr>
              <w:spacing w:after="0"/>
              <w:rPr>
                <w:sz w:val="12"/>
                <w:szCs w:val="12"/>
                <w:color w:val="auto"/>
              </w:rPr>
            </w:pPr>
          </w:p>
        </w:tc>
        <w:tc>
          <w:tcPr>
            <w:tcW w:w="4000" w:type="dxa"/>
            <w:vAlign w:val="bottom"/>
            <w:vMerge w:val="restart"/>
          </w:tcPr>
          <w:p>
            <w:pPr>
              <w:ind w:left="240"/>
              <w:spacing w:after="0"/>
              <w:rPr>
                <w:sz w:val="20"/>
                <w:szCs w:val="20"/>
                <w:color w:val="auto"/>
              </w:rPr>
            </w:pPr>
            <w:r>
              <w:rPr>
                <w:rFonts w:ascii="Arial" w:cs="Arial" w:eastAsia="Arial" w:hAnsi="Arial"/>
                <w:sz w:val="18"/>
                <w:szCs w:val="18"/>
                <w:b w:val="1"/>
                <w:bCs w:val="1"/>
                <w:color w:val="345988"/>
              </w:rPr>
              <w:t>requirements specified in our bylaws</w:t>
            </w:r>
          </w:p>
        </w:tc>
        <w:tc>
          <w:tcPr>
            <w:tcW w:w="0" w:type="dxa"/>
            <w:vAlign w:val="bottom"/>
          </w:tcPr>
          <w:p>
            <w:pPr>
              <w:spacing w:after="0"/>
              <w:rPr>
                <w:sz w:val="1"/>
                <w:szCs w:val="1"/>
                <w:color w:val="auto"/>
              </w:rPr>
            </w:pPr>
          </w:p>
        </w:tc>
      </w:tr>
      <w:tr>
        <w:trPr>
          <w:trHeight w:val="108"/>
        </w:trPr>
        <w:tc>
          <w:tcPr>
            <w:tcW w:w="35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4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7"/>
        </w:trPr>
        <w:tc>
          <w:tcPr>
            <w:tcW w:w="35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00" w:type="dxa"/>
            <w:vAlign w:val="bottom"/>
          </w:tcPr>
          <w:p>
            <w:pPr>
              <w:ind w:left="2060"/>
              <w:spacing w:after="0"/>
              <w:rPr>
                <w:sz w:val="20"/>
                <w:szCs w:val="20"/>
                <w:color w:val="auto"/>
              </w:rPr>
            </w:pPr>
            <w:r>
              <w:rPr>
                <w:rFonts w:ascii="Arial" w:cs="Arial" w:eastAsia="Arial" w:hAnsi="Arial"/>
                <w:sz w:val="18"/>
                <w:szCs w:val="18"/>
                <w:color w:val="auto"/>
                <w:w w:val="99"/>
              </w:rPr>
              <w:t xml:space="preserve">2018 Proxy Statement </w:t>
            </w:r>
            <w:r>
              <w:rPr>
                <w:rFonts w:ascii="Arial" w:cs="Arial" w:eastAsia="Arial" w:hAnsi="Arial"/>
                <w:sz w:val="18"/>
                <w:szCs w:val="18"/>
                <w:color w:val="345988"/>
                <w:w w:val="99"/>
              </w:rPr>
              <w:t>5</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808080"/>
            </w:tcBorders>
          </w:tcPr>
          <w:p>
            <w:pPr>
              <w:spacing w:after="0"/>
              <w:rPr>
                <w:sz w:val="18"/>
                <w:szCs w:val="18"/>
                <w:color w:val="auto"/>
              </w:rPr>
            </w:pPr>
          </w:p>
        </w:tc>
        <w:tc>
          <w:tcPr>
            <w:tcW w:w="3920" w:type="dxa"/>
            <w:vAlign w:val="bottom"/>
            <w:tcBorders>
              <w:bottom w:val="single" w:sz="8" w:color="808080"/>
            </w:tcBorders>
          </w:tcPr>
          <w:p>
            <w:pPr>
              <w:spacing w:after="0"/>
              <w:rPr>
                <w:sz w:val="18"/>
                <w:szCs w:val="18"/>
                <w:color w:val="auto"/>
              </w:rPr>
            </w:pPr>
          </w:p>
        </w:tc>
        <w:tc>
          <w:tcPr>
            <w:tcW w:w="40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2018 PROXY STATEMENT HIGHLIGHTS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ESG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corporate social responsibility initiatives that deliver efficiency, value and health for our business, tenants and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839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39595"/>
                    </a:xfrm>
                    <a:prstGeom prst="rect">
                      <a:avLst/>
                    </a:prstGeom>
                    <a:noFill/>
                  </pic:spPr>
                </pic:pic>
              </a:graphicData>
            </a:graphic>
          </wp:anchor>
        </w:drawing>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Sustainability Awards</w:t>
      </w:r>
    </w:p>
    <w:p>
      <w:pPr>
        <w:spacing w:after="0" w:line="157" w:lineRule="exact"/>
        <w:rPr>
          <w:sz w:val="20"/>
          <w:szCs w:val="20"/>
          <w:color w:val="auto"/>
        </w:rPr>
      </w:pPr>
    </w:p>
    <w:p>
      <w:pPr>
        <w:ind w:left="1960" w:hanging="254"/>
        <w:spacing w:after="0"/>
        <w:tabs>
          <w:tab w:leader="none" w:pos="196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ENERGY STAR Partner of the Year – Sustained Excellence (2018)</w:t>
      </w:r>
    </w:p>
    <w:p>
      <w:pPr>
        <w:spacing w:after="0" w:line="102" w:lineRule="exact"/>
        <w:rPr>
          <w:rFonts w:ascii="Arial" w:cs="Arial" w:eastAsia="Arial" w:hAnsi="Arial"/>
          <w:sz w:val="17"/>
          <w:szCs w:val="17"/>
          <w:color w:val="FFFFFF"/>
        </w:rPr>
      </w:pPr>
    </w:p>
    <w:p>
      <w:pPr>
        <w:ind w:left="1960" w:hanging="254"/>
        <w:spacing w:after="0"/>
        <w:tabs>
          <w:tab w:leader="none" w:pos="196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Real Estate Finance &amp; Investment’s “Most Sustainable REIT” (2017, 2018)</w:t>
      </w:r>
    </w:p>
    <w:p>
      <w:pPr>
        <w:spacing w:after="0" w:line="102" w:lineRule="exact"/>
        <w:rPr>
          <w:rFonts w:ascii="Arial" w:cs="Arial" w:eastAsia="Arial" w:hAnsi="Arial"/>
          <w:sz w:val="17"/>
          <w:szCs w:val="17"/>
          <w:color w:val="FFFFFF"/>
        </w:rPr>
      </w:pPr>
    </w:p>
    <w:p>
      <w:pPr>
        <w:ind w:left="1960" w:hanging="254"/>
        <w:spacing w:after="0"/>
        <w:tabs>
          <w:tab w:leader="none" w:pos="196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Building Owners and Managers Association’s (BOMA) “Earth Award” (2017)</w:t>
      </w:r>
    </w:p>
    <w:p>
      <w:pPr>
        <w:spacing w:after="0" w:line="102" w:lineRule="exact"/>
        <w:rPr>
          <w:rFonts w:ascii="Arial" w:cs="Arial" w:eastAsia="Arial" w:hAnsi="Arial"/>
          <w:sz w:val="17"/>
          <w:szCs w:val="17"/>
          <w:color w:val="FFFFFF"/>
        </w:rPr>
      </w:pPr>
    </w:p>
    <w:p>
      <w:pPr>
        <w:ind w:left="1960" w:hanging="254"/>
        <w:spacing w:after="0"/>
        <w:tabs>
          <w:tab w:leader="none" w:pos="196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Business Intelligence Group’s “2017 Sustainability Award” (2017)</w:t>
      </w:r>
    </w:p>
    <w:p>
      <w:pPr>
        <w:spacing w:after="0" w:line="102" w:lineRule="exact"/>
        <w:rPr>
          <w:rFonts w:ascii="Arial" w:cs="Arial" w:eastAsia="Arial" w:hAnsi="Arial"/>
          <w:sz w:val="17"/>
          <w:szCs w:val="17"/>
          <w:color w:val="FFFFFF"/>
        </w:rPr>
      </w:pPr>
    </w:p>
    <w:p>
      <w:pPr>
        <w:ind w:left="1960" w:hanging="254"/>
        <w:spacing w:after="0"/>
        <w:tabs>
          <w:tab w:leader="none" w:pos="196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Institute of Real Estate Management’s “Corporate Innovation” REME Award (2017)</w:t>
      </w:r>
    </w:p>
    <w:p>
      <w:pPr>
        <w:spacing w:after="0" w:line="102" w:lineRule="exact"/>
        <w:rPr>
          <w:rFonts w:ascii="Arial" w:cs="Arial" w:eastAsia="Arial" w:hAnsi="Arial"/>
          <w:sz w:val="17"/>
          <w:szCs w:val="17"/>
          <w:color w:val="FFFFFF"/>
        </w:rPr>
      </w:pPr>
    </w:p>
    <w:p>
      <w:pPr>
        <w:ind w:left="1960" w:hanging="254"/>
        <w:spacing w:after="0"/>
        <w:tabs>
          <w:tab w:leader="none" w:pos="1960" w:val="left"/>
        </w:tabs>
        <w:numPr>
          <w:ilvl w:val="0"/>
          <w:numId w:val="15"/>
        </w:numPr>
        <w:rPr>
          <w:rFonts w:ascii="Arial" w:cs="Arial" w:eastAsia="Arial" w:hAnsi="Arial"/>
          <w:sz w:val="16"/>
          <w:szCs w:val="16"/>
          <w:color w:val="FFFFFF"/>
        </w:rPr>
      </w:pPr>
      <w:r>
        <w:rPr>
          <w:rFonts w:ascii="Arial" w:cs="Arial" w:eastAsia="Arial" w:hAnsi="Arial"/>
          <w:sz w:val="16"/>
          <w:szCs w:val="16"/>
          <w:b w:val="1"/>
          <w:bCs w:val="1"/>
          <w:color w:val="FFFFFF"/>
        </w:rPr>
        <w:t>Institute of Real Estate Management’s “Workplace Environment: Sustainability Programs” REME Award (2016)</w:t>
      </w:r>
    </w:p>
    <w:p>
      <w:pPr>
        <w:spacing w:after="0" w:line="125" w:lineRule="exact"/>
        <w:rPr>
          <w:rFonts w:ascii="Arial" w:cs="Arial" w:eastAsia="Arial" w:hAnsi="Arial"/>
          <w:sz w:val="16"/>
          <w:szCs w:val="16"/>
          <w:color w:val="FFFFFF"/>
        </w:rPr>
      </w:pPr>
    </w:p>
    <w:p>
      <w:pPr>
        <w:ind w:left="1960" w:hanging="254"/>
        <w:spacing w:after="0"/>
        <w:tabs>
          <w:tab w:leader="none" w:pos="196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 xml:space="preserve">Ranked among </w:t>
      </w:r>
      <w:r>
        <w:rPr>
          <w:rFonts w:ascii="Arial" w:cs="Arial" w:eastAsia="Arial" w:hAnsi="Arial"/>
          <w:sz w:val="18"/>
          <w:szCs w:val="18"/>
          <w:b w:val="1"/>
          <w:bCs w:val="1"/>
          <w:i w:val="1"/>
          <w:iCs w:val="1"/>
          <w:color w:val="FFFFFF"/>
        </w:rPr>
        <w:t>Newsweek’s</w:t>
      </w:r>
      <w:r>
        <w:rPr>
          <w:rFonts w:ascii="Arial" w:cs="Arial" w:eastAsia="Arial" w:hAnsi="Arial"/>
          <w:sz w:val="18"/>
          <w:szCs w:val="18"/>
          <w:b w:val="1"/>
          <w:bCs w:val="1"/>
          <w:color w:val="FFFFFF"/>
        </w:rPr>
        <w:t xml:space="preserve"> list of the country’s greenest businesses (2014, 2015, 2016)</w:t>
      </w:r>
    </w:p>
    <w:p>
      <w:pPr>
        <w:spacing w:after="0" w:line="102" w:lineRule="exact"/>
        <w:rPr>
          <w:rFonts w:ascii="Arial" w:cs="Arial" w:eastAsia="Arial" w:hAnsi="Arial"/>
          <w:sz w:val="17"/>
          <w:szCs w:val="17"/>
          <w:color w:val="FFFFFF"/>
        </w:rPr>
      </w:pPr>
    </w:p>
    <w:p>
      <w:pPr>
        <w:ind w:left="1960" w:hanging="254"/>
        <w:spacing w:after="0"/>
        <w:tabs>
          <w:tab w:leader="none" w:pos="196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Urban Green Council’s “It Takes a Village” EBie Award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180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180465"/>
                    </a:xfrm>
                    <a:prstGeom prst="rect">
                      <a:avLst/>
                    </a:prstGeom>
                    <a:noFill/>
                  </pic:spPr>
                </pic:pic>
              </a:graphicData>
            </a:graphic>
          </wp:anchor>
        </w:drawing>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Environmental Initiatives</w:t>
      </w:r>
    </w:p>
    <w:p>
      <w:pPr>
        <w:spacing w:after="0" w:line="157" w:lineRule="exact"/>
        <w:rPr>
          <w:sz w:val="20"/>
          <w:szCs w:val="20"/>
          <w:color w:val="auto"/>
        </w:rPr>
      </w:pPr>
    </w:p>
    <w:p>
      <w:pPr>
        <w:ind w:left="1960" w:hanging="254"/>
        <w:spacing w:after="0"/>
        <w:tabs>
          <w:tab w:leader="none" w:pos="1960" w:val="left"/>
        </w:tabs>
        <w:numPr>
          <w:ilvl w:val="0"/>
          <w:numId w:val="16"/>
        </w:numPr>
        <w:rPr>
          <w:rFonts w:ascii="Arial" w:cs="Arial" w:eastAsia="Arial" w:hAnsi="Arial"/>
          <w:sz w:val="17"/>
          <w:szCs w:val="17"/>
          <w:color w:val="FFFFFF"/>
        </w:rPr>
      </w:pPr>
      <w:r>
        <w:rPr>
          <w:rFonts w:ascii="Arial" w:cs="Arial" w:eastAsia="Arial" w:hAnsi="Arial"/>
          <w:sz w:val="18"/>
          <w:szCs w:val="18"/>
          <w:b w:val="1"/>
          <w:bCs w:val="1"/>
          <w:color w:val="FFFFFF"/>
        </w:rPr>
        <w:t>Deployed over $62M capital investment in energy efficiency projects over the past decade</w:t>
      </w:r>
    </w:p>
    <w:p>
      <w:pPr>
        <w:spacing w:after="0" w:line="102" w:lineRule="exact"/>
        <w:rPr>
          <w:rFonts w:ascii="Arial" w:cs="Arial" w:eastAsia="Arial" w:hAnsi="Arial"/>
          <w:sz w:val="17"/>
          <w:szCs w:val="17"/>
          <w:color w:val="FFFFFF"/>
        </w:rPr>
      </w:pPr>
    </w:p>
    <w:p>
      <w:pPr>
        <w:ind w:left="1960" w:hanging="254"/>
        <w:spacing w:after="0"/>
        <w:tabs>
          <w:tab w:leader="none" w:pos="1960" w:val="left"/>
        </w:tabs>
        <w:numPr>
          <w:ilvl w:val="0"/>
          <w:numId w:val="16"/>
        </w:numPr>
        <w:rPr>
          <w:rFonts w:ascii="Arial" w:cs="Arial" w:eastAsia="Arial" w:hAnsi="Arial"/>
          <w:sz w:val="16"/>
          <w:szCs w:val="16"/>
          <w:color w:val="FFFFFF"/>
        </w:rPr>
      </w:pPr>
      <w:r>
        <w:rPr>
          <w:rFonts w:ascii="Arial" w:cs="Arial" w:eastAsia="Arial" w:hAnsi="Arial"/>
          <w:sz w:val="16"/>
          <w:szCs w:val="16"/>
          <w:b w:val="1"/>
          <w:bCs w:val="1"/>
          <w:color w:val="FFFFFF"/>
        </w:rPr>
        <w:t>Goal to reduce carbon emissions 30% by 2026 and eliminate single use plastic in corporate offices 80% in 2018</w:t>
      </w:r>
    </w:p>
    <w:p>
      <w:pPr>
        <w:spacing w:after="0" w:line="125" w:lineRule="exact"/>
        <w:rPr>
          <w:rFonts w:ascii="Arial" w:cs="Arial" w:eastAsia="Arial" w:hAnsi="Arial"/>
          <w:sz w:val="16"/>
          <w:szCs w:val="16"/>
          <w:color w:val="FFFFFF"/>
        </w:rPr>
      </w:pPr>
    </w:p>
    <w:p>
      <w:pPr>
        <w:ind w:left="1960" w:hanging="254"/>
        <w:spacing w:after="0"/>
        <w:tabs>
          <w:tab w:leader="none" w:pos="1960" w:val="left"/>
        </w:tabs>
        <w:numPr>
          <w:ilvl w:val="0"/>
          <w:numId w:val="16"/>
        </w:numPr>
        <w:rPr>
          <w:rFonts w:ascii="Arial" w:cs="Arial" w:eastAsia="Arial" w:hAnsi="Arial"/>
          <w:sz w:val="17"/>
          <w:szCs w:val="17"/>
          <w:color w:val="FFFFFF"/>
        </w:rPr>
      </w:pPr>
      <w:r>
        <w:rPr>
          <w:rFonts w:ascii="Arial" w:cs="Arial" w:eastAsia="Arial" w:hAnsi="Arial"/>
          <w:sz w:val="18"/>
          <w:szCs w:val="18"/>
          <w:b w:val="1"/>
          <w:bCs w:val="1"/>
          <w:color w:val="FFFFFF"/>
        </w:rPr>
        <w:t>Committed to achieve LEED certifications for 73% of the owned and managed portfolio by 2018</w:t>
      </w:r>
    </w:p>
    <w:p>
      <w:pPr>
        <w:spacing w:after="0" w:line="102" w:lineRule="exact"/>
        <w:rPr>
          <w:rFonts w:ascii="Arial" w:cs="Arial" w:eastAsia="Arial" w:hAnsi="Arial"/>
          <w:sz w:val="17"/>
          <w:szCs w:val="17"/>
          <w:color w:val="FFFFFF"/>
        </w:rPr>
      </w:pPr>
    </w:p>
    <w:p>
      <w:pPr>
        <w:ind w:left="1960" w:right="240" w:hanging="254"/>
        <w:spacing w:after="0" w:line="280" w:lineRule="auto"/>
        <w:tabs>
          <w:tab w:leader="none" w:pos="1960" w:val="left"/>
        </w:tabs>
        <w:numPr>
          <w:ilvl w:val="0"/>
          <w:numId w:val="16"/>
        </w:numPr>
        <w:rPr>
          <w:rFonts w:ascii="Arial" w:cs="Arial" w:eastAsia="Arial" w:hAnsi="Arial"/>
          <w:sz w:val="17"/>
          <w:szCs w:val="17"/>
          <w:color w:val="FFFFFF"/>
        </w:rPr>
      </w:pPr>
      <w:r>
        <w:rPr>
          <w:rFonts w:ascii="Arial" w:cs="Arial" w:eastAsia="Arial" w:hAnsi="Arial"/>
          <w:sz w:val="18"/>
          <w:szCs w:val="18"/>
          <w:b w:val="1"/>
          <w:bCs w:val="1"/>
          <w:color w:val="FFFFFF"/>
        </w:rPr>
        <w:t>Proactively analyze climate change risk and resiliency through life cycle assessments from asset acquisition through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62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62760"/>
                    </a:xfrm>
                    <a:prstGeom prst="rect">
                      <a:avLst/>
                    </a:prstGeom>
                    <a:noFill/>
                  </pic:spPr>
                </pic:pic>
              </a:graphicData>
            </a:graphic>
          </wp:anchor>
        </w:drawing>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Social Initiatives</w:t>
      </w:r>
    </w:p>
    <w:p>
      <w:pPr>
        <w:spacing w:after="0" w:line="157" w:lineRule="exact"/>
        <w:rPr>
          <w:sz w:val="20"/>
          <w:szCs w:val="20"/>
          <w:color w:val="auto"/>
        </w:rPr>
      </w:pPr>
    </w:p>
    <w:p>
      <w:pPr>
        <w:ind w:left="1940" w:hanging="248"/>
        <w:spacing w:after="0" w:line="280" w:lineRule="auto"/>
        <w:tabs>
          <w:tab w:leader="none" w:pos="1940" w:val="left"/>
        </w:tabs>
        <w:numPr>
          <w:ilvl w:val="0"/>
          <w:numId w:val="17"/>
        </w:numPr>
        <w:rPr>
          <w:rFonts w:ascii="Arial" w:cs="Arial" w:eastAsia="Arial" w:hAnsi="Arial"/>
          <w:sz w:val="17"/>
          <w:szCs w:val="17"/>
          <w:color w:val="FFFFFF"/>
        </w:rPr>
      </w:pPr>
      <w:r>
        <w:rPr>
          <w:rFonts w:ascii="Arial" w:cs="Arial" w:eastAsia="Arial" w:hAnsi="Arial"/>
          <w:sz w:val="18"/>
          <w:szCs w:val="18"/>
          <w:b w:val="1"/>
          <w:bCs w:val="1"/>
          <w:color w:val="FFFFFF"/>
        </w:rPr>
        <w:t>Investment in employees through funding of training programs, tuition reimbursement and continued education courses</w:t>
      </w:r>
    </w:p>
    <w:p>
      <w:pPr>
        <w:spacing w:after="0" w:line="29" w:lineRule="exact"/>
        <w:rPr>
          <w:rFonts w:ascii="Arial" w:cs="Arial" w:eastAsia="Arial" w:hAnsi="Arial"/>
          <w:sz w:val="17"/>
          <w:szCs w:val="17"/>
          <w:color w:val="FFFFFF"/>
        </w:rPr>
      </w:pPr>
    </w:p>
    <w:p>
      <w:pPr>
        <w:ind w:left="1940" w:right="80" w:hanging="248"/>
        <w:spacing w:after="0" w:line="280" w:lineRule="auto"/>
        <w:tabs>
          <w:tab w:leader="none" w:pos="1940" w:val="left"/>
        </w:tabs>
        <w:numPr>
          <w:ilvl w:val="0"/>
          <w:numId w:val="17"/>
        </w:numPr>
        <w:rPr>
          <w:rFonts w:ascii="Arial" w:cs="Arial" w:eastAsia="Arial" w:hAnsi="Arial"/>
          <w:sz w:val="17"/>
          <w:szCs w:val="17"/>
          <w:color w:val="FFFFFF"/>
        </w:rPr>
      </w:pPr>
      <w:r>
        <w:rPr>
          <w:rFonts w:ascii="Arial" w:cs="Arial" w:eastAsia="Arial" w:hAnsi="Arial"/>
          <w:sz w:val="18"/>
          <w:szCs w:val="18"/>
          <w:b w:val="1"/>
          <w:bCs w:val="1"/>
          <w:color w:val="FFFFFF"/>
        </w:rPr>
        <w:t>Comprehensive business conduct &amp; ethics, diversity, workplace harassment, discrimination, substance abuse, and safe workplace policies implemented</w:t>
      </w:r>
    </w:p>
    <w:p>
      <w:pPr>
        <w:spacing w:after="0" w:line="29" w:lineRule="exact"/>
        <w:rPr>
          <w:rFonts w:ascii="Arial" w:cs="Arial" w:eastAsia="Arial" w:hAnsi="Arial"/>
          <w:sz w:val="17"/>
          <w:szCs w:val="17"/>
          <w:color w:val="FFFFFF"/>
        </w:rPr>
      </w:pPr>
    </w:p>
    <w:p>
      <w:pPr>
        <w:ind w:left="1940" w:right="380" w:hanging="248"/>
        <w:spacing w:after="0" w:line="280" w:lineRule="auto"/>
        <w:tabs>
          <w:tab w:leader="none" w:pos="1940" w:val="left"/>
        </w:tabs>
        <w:numPr>
          <w:ilvl w:val="0"/>
          <w:numId w:val="17"/>
        </w:numPr>
        <w:rPr>
          <w:rFonts w:ascii="Arial" w:cs="Arial" w:eastAsia="Arial" w:hAnsi="Arial"/>
          <w:sz w:val="17"/>
          <w:szCs w:val="17"/>
          <w:color w:val="FFFFFF"/>
        </w:rPr>
      </w:pPr>
      <w:r>
        <w:rPr>
          <w:rFonts w:ascii="Arial" w:cs="Arial" w:eastAsia="Arial" w:hAnsi="Arial"/>
          <w:sz w:val="18"/>
          <w:szCs w:val="18"/>
          <w:b w:val="1"/>
          <w:bCs w:val="1"/>
          <w:color w:val="FFFFFF"/>
        </w:rPr>
        <w:t>Market-leading benefit program spanning healthcare, 401k match, employee stock purchase plan, disability coverage, wellness, and life insurance</w:t>
      </w:r>
    </w:p>
    <w:p>
      <w:pPr>
        <w:spacing w:after="0" w:line="29" w:lineRule="exact"/>
        <w:rPr>
          <w:rFonts w:ascii="Arial" w:cs="Arial" w:eastAsia="Arial" w:hAnsi="Arial"/>
          <w:sz w:val="17"/>
          <w:szCs w:val="17"/>
          <w:color w:val="FFFFFF"/>
        </w:rPr>
      </w:pPr>
    </w:p>
    <w:p>
      <w:pPr>
        <w:ind w:left="1940" w:right="780" w:hanging="248"/>
        <w:spacing w:after="0" w:line="280" w:lineRule="auto"/>
        <w:tabs>
          <w:tab w:leader="none" w:pos="1940" w:val="left"/>
        </w:tabs>
        <w:numPr>
          <w:ilvl w:val="0"/>
          <w:numId w:val="17"/>
        </w:numPr>
        <w:rPr>
          <w:rFonts w:ascii="Arial" w:cs="Arial" w:eastAsia="Arial" w:hAnsi="Arial"/>
          <w:sz w:val="17"/>
          <w:szCs w:val="17"/>
          <w:color w:val="FFFFFF"/>
        </w:rPr>
      </w:pPr>
      <w:r>
        <w:rPr>
          <w:rFonts w:ascii="Arial" w:cs="Arial" w:eastAsia="Arial" w:hAnsi="Arial"/>
          <w:sz w:val="18"/>
          <w:szCs w:val="18"/>
          <w:b w:val="1"/>
          <w:bCs w:val="1"/>
          <w:color w:val="FFFFFF"/>
        </w:rPr>
        <w:t>Sponsor over 130 volunteering events annually and contribute $1.4M across 100 partner organizations corporately</w:t>
      </w:r>
    </w:p>
    <w:p>
      <w:pPr>
        <w:spacing w:after="0" w:line="29" w:lineRule="exact"/>
        <w:rPr>
          <w:rFonts w:ascii="Arial" w:cs="Arial" w:eastAsia="Arial" w:hAnsi="Arial"/>
          <w:sz w:val="17"/>
          <w:szCs w:val="17"/>
          <w:color w:val="FFFFFF"/>
        </w:rPr>
      </w:pPr>
    </w:p>
    <w:p>
      <w:pPr>
        <w:ind w:left="1940" w:hanging="248"/>
        <w:spacing w:after="0"/>
        <w:tabs>
          <w:tab w:leader="none" w:pos="1940" w:val="left"/>
        </w:tabs>
        <w:numPr>
          <w:ilvl w:val="0"/>
          <w:numId w:val="17"/>
        </w:numPr>
        <w:rPr>
          <w:rFonts w:ascii="Arial" w:cs="Arial" w:eastAsia="Arial" w:hAnsi="Arial"/>
          <w:sz w:val="17"/>
          <w:szCs w:val="17"/>
          <w:color w:val="FFFFFF"/>
        </w:rPr>
      </w:pPr>
      <w:r>
        <w:rPr>
          <w:rFonts w:ascii="Arial" w:cs="Arial" w:eastAsia="Arial" w:hAnsi="Arial"/>
          <w:sz w:val="18"/>
          <w:szCs w:val="18"/>
          <w:b w:val="1"/>
          <w:bCs w:val="1"/>
          <w:color w:val="FFFFFF"/>
        </w:rPr>
        <w:t>98% of employees have completed anti-harassment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130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09370"/>
                    </a:xfrm>
                    <a:prstGeom prst="rect">
                      <a:avLst/>
                    </a:prstGeom>
                    <a:noFill/>
                  </pic:spPr>
                </pic:pic>
              </a:graphicData>
            </a:graphic>
          </wp:anchor>
        </w:drawing>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Governance Initiatives</w:t>
      </w:r>
    </w:p>
    <w:p>
      <w:pPr>
        <w:spacing w:after="0" w:line="157" w:lineRule="exact"/>
        <w:rPr>
          <w:sz w:val="20"/>
          <w:szCs w:val="20"/>
          <w:color w:val="auto"/>
        </w:rPr>
      </w:pPr>
    </w:p>
    <w:p>
      <w:pPr>
        <w:ind w:left="1940" w:hanging="248"/>
        <w:spacing w:after="0"/>
        <w:tabs>
          <w:tab w:leader="none" w:pos="1940" w:val="left"/>
        </w:tabs>
        <w:numPr>
          <w:ilvl w:val="0"/>
          <w:numId w:val="18"/>
        </w:numPr>
        <w:rPr>
          <w:rFonts w:ascii="Arial" w:cs="Arial" w:eastAsia="Arial" w:hAnsi="Arial"/>
          <w:sz w:val="17"/>
          <w:szCs w:val="17"/>
          <w:color w:val="FFFFFF"/>
        </w:rPr>
      </w:pPr>
      <w:r>
        <w:rPr>
          <w:rFonts w:ascii="Arial" w:cs="Arial" w:eastAsia="Arial" w:hAnsi="Arial"/>
          <w:sz w:val="18"/>
          <w:szCs w:val="18"/>
          <w:b w:val="1"/>
          <w:bCs w:val="1"/>
          <w:color w:val="FFFFFF"/>
        </w:rPr>
        <w:t>Executive and Board oversight of sustainability mission statement and goal setting</w:t>
      </w:r>
    </w:p>
    <w:p>
      <w:pPr>
        <w:spacing w:after="0" w:line="102" w:lineRule="exact"/>
        <w:rPr>
          <w:rFonts w:ascii="Arial" w:cs="Arial" w:eastAsia="Arial" w:hAnsi="Arial"/>
          <w:sz w:val="17"/>
          <w:szCs w:val="17"/>
          <w:color w:val="FFFFFF"/>
        </w:rPr>
      </w:pPr>
    </w:p>
    <w:p>
      <w:pPr>
        <w:ind w:left="1940" w:hanging="248"/>
        <w:spacing w:after="0"/>
        <w:tabs>
          <w:tab w:leader="none" w:pos="1940" w:val="left"/>
        </w:tabs>
        <w:numPr>
          <w:ilvl w:val="0"/>
          <w:numId w:val="18"/>
        </w:numPr>
        <w:rPr>
          <w:rFonts w:ascii="Arial" w:cs="Arial" w:eastAsia="Arial" w:hAnsi="Arial"/>
          <w:sz w:val="17"/>
          <w:szCs w:val="17"/>
          <w:color w:val="FFFFFF"/>
        </w:rPr>
      </w:pPr>
      <w:r>
        <w:rPr>
          <w:rFonts w:ascii="Arial" w:cs="Arial" w:eastAsia="Arial" w:hAnsi="Arial"/>
          <w:sz w:val="18"/>
          <w:szCs w:val="18"/>
          <w:b w:val="1"/>
          <w:bCs w:val="1"/>
          <w:color w:val="FFFFFF"/>
        </w:rPr>
        <w:t>Alignment of climate goals with NYC and NYS governing legislatures</w:t>
      </w:r>
    </w:p>
    <w:p>
      <w:pPr>
        <w:spacing w:after="0" w:line="102" w:lineRule="exact"/>
        <w:rPr>
          <w:rFonts w:ascii="Arial" w:cs="Arial" w:eastAsia="Arial" w:hAnsi="Arial"/>
          <w:sz w:val="17"/>
          <w:szCs w:val="17"/>
          <w:color w:val="FFFFFF"/>
        </w:rPr>
      </w:pPr>
    </w:p>
    <w:p>
      <w:pPr>
        <w:ind w:left="1940" w:right="60" w:hanging="248"/>
        <w:spacing w:after="0" w:line="280" w:lineRule="auto"/>
        <w:tabs>
          <w:tab w:leader="none" w:pos="1940" w:val="left"/>
        </w:tabs>
        <w:numPr>
          <w:ilvl w:val="0"/>
          <w:numId w:val="18"/>
        </w:numPr>
        <w:rPr>
          <w:rFonts w:ascii="Arial" w:cs="Arial" w:eastAsia="Arial" w:hAnsi="Arial"/>
          <w:sz w:val="17"/>
          <w:szCs w:val="17"/>
          <w:color w:val="FFFFFF"/>
        </w:rPr>
      </w:pPr>
      <w:r>
        <w:rPr>
          <w:rFonts w:ascii="Arial" w:cs="Arial" w:eastAsia="Arial" w:hAnsi="Arial"/>
          <w:sz w:val="18"/>
          <w:szCs w:val="18"/>
          <w:b w:val="1"/>
          <w:bCs w:val="1"/>
          <w:color w:val="FFFFFF"/>
        </w:rPr>
        <w:t>Annual GRI sustainability reports distributed to the Board, investors, tenants, vendor partners and government stakeholders</w:t>
      </w:r>
    </w:p>
    <w:p>
      <w:pPr>
        <w:spacing w:after="0" w:line="29" w:lineRule="exact"/>
        <w:rPr>
          <w:rFonts w:ascii="Arial" w:cs="Arial" w:eastAsia="Arial" w:hAnsi="Arial"/>
          <w:sz w:val="17"/>
          <w:szCs w:val="17"/>
          <w:color w:val="FFFFFF"/>
        </w:rPr>
      </w:pPr>
    </w:p>
    <w:p>
      <w:pPr>
        <w:ind w:left="1940" w:right="60" w:hanging="248"/>
        <w:spacing w:after="0" w:line="280" w:lineRule="auto"/>
        <w:tabs>
          <w:tab w:leader="none" w:pos="1940" w:val="left"/>
        </w:tabs>
        <w:numPr>
          <w:ilvl w:val="0"/>
          <w:numId w:val="18"/>
        </w:numPr>
        <w:rPr>
          <w:rFonts w:ascii="Arial" w:cs="Arial" w:eastAsia="Arial" w:hAnsi="Arial"/>
          <w:sz w:val="17"/>
          <w:szCs w:val="17"/>
          <w:color w:val="FFFFFF"/>
        </w:rPr>
      </w:pPr>
      <w:r>
        <w:rPr>
          <w:rFonts w:ascii="Arial" w:cs="Arial" w:eastAsia="Arial" w:hAnsi="Arial"/>
          <w:sz w:val="18"/>
          <w:szCs w:val="18"/>
          <w:b w:val="1"/>
          <w:bCs w:val="1"/>
          <w:color w:val="FFFFFF"/>
        </w:rPr>
        <w:t>Stakeholder engagement and materiality assessment processes initiated across tenants, community members, industry peers and employees to identify material ESG parameters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Going Greener</w:t>
      </w:r>
    </w:p>
    <w:p>
      <w:pPr>
        <w:spacing w:after="0" w:line="214" w:lineRule="exact"/>
        <w:rPr>
          <w:sz w:val="20"/>
          <w:szCs w:val="20"/>
          <w:color w:val="auto"/>
        </w:rPr>
      </w:pPr>
    </w:p>
    <w:p>
      <w:pPr>
        <w:jc w:val="both"/>
        <w:ind w:right="180"/>
        <w:spacing w:after="0" w:line="251" w:lineRule="auto"/>
        <w:rPr>
          <w:sz w:val="20"/>
          <w:szCs w:val="20"/>
          <w:color w:val="auto"/>
        </w:rPr>
      </w:pPr>
      <w:r>
        <w:rPr>
          <w:rFonts w:ascii="Arial" w:cs="Arial" w:eastAsia="Arial" w:hAnsi="Arial"/>
          <w:sz w:val="18"/>
          <w:szCs w:val="18"/>
          <w:color w:val="auto"/>
        </w:rPr>
        <w:t>SL Green reports “In Accordance - Core” with the Global Reporting Initiative’s (GRI) G4 framework, which ensures our sustainability program is transparent to all stakeholders. Adhering to GRI facilitates decision making, year-over-year performance and goal-setting surrounding our ESG initiatives.</w:t>
      </w:r>
    </w:p>
    <w:p>
      <w:pPr>
        <w:spacing w:after="0" w:line="172"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We are proud of our industry-leading sustainability program and we encourage you to learn more about our sustainability strategy and achievements. Our reports and sustainability news are available on our website at http://www.slgreen.com/sustainability.</w:t>
      </w:r>
    </w:p>
    <w:p>
      <w:pPr>
        <w:spacing w:after="0" w:line="158"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260"/>
          </w:cols>
          <w:pgMar w:left="240" w:top="11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420 Lexington Avenue</w:t>
      </w:r>
    </w:p>
    <w:p>
      <w:pPr>
        <w:spacing w:after="0"/>
        <w:rPr>
          <w:sz w:val="20"/>
          <w:szCs w:val="20"/>
          <w:color w:val="auto"/>
        </w:rPr>
      </w:pPr>
      <w:r>
        <w:rPr>
          <w:rFonts w:ascii="Arial" w:cs="Arial" w:eastAsia="Arial" w:hAnsi="Arial"/>
          <w:sz w:val="18"/>
          <w:szCs w:val="18"/>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180465" cy="410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80465" cy="41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NOTICE OF ANNUAL MEETING OF 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1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You are invited to attend the 2018 annual meeting of stockholders of SL Green Realty Corp., a Maryland corporation, which will be held on Thursday, May 31, 2018 at 10:00 a.m., local time, at the Andaz Hotel, 485 5th Avenue (at 41st Street), 2nd Floor, New York, NY 10017. The annual meeting will be held for the following purposes:</w:t>
      </w:r>
    </w:p>
    <w:p>
      <w:pPr>
        <w:spacing w:after="0" w:line="172" w:lineRule="exact"/>
        <w:rPr>
          <w:sz w:val="20"/>
          <w:szCs w:val="20"/>
          <w:color w:val="auto"/>
        </w:rPr>
      </w:pPr>
    </w:p>
    <w:p>
      <w:pPr>
        <w:ind w:left="300" w:right="660" w:hanging="292"/>
        <w:spacing w:after="0" w:line="268" w:lineRule="auto"/>
        <w:tabs>
          <w:tab w:leader="none" w:pos="300" w:val="left"/>
        </w:tabs>
        <w:numPr>
          <w:ilvl w:val="0"/>
          <w:numId w:val="20"/>
        </w:numPr>
        <w:rPr>
          <w:rFonts w:ascii="Arial" w:cs="Arial" w:eastAsia="Arial" w:hAnsi="Arial"/>
          <w:sz w:val="18"/>
          <w:szCs w:val="18"/>
          <w:color w:val="345988"/>
        </w:rPr>
      </w:pPr>
      <w:r>
        <w:rPr>
          <w:rFonts w:ascii="Arial" w:cs="Arial" w:eastAsia="Arial" w:hAnsi="Arial"/>
          <w:sz w:val="18"/>
          <w:szCs w:val="18"/>
          <w:color w:val="auto"/>
        </w:rPr>
        <w:t>To elect the three director nominees named in the proxy statement to serve on the Board of Directors for a one-year term and until their successors are duly elected and qualify;</w:t>
      </w:r>
    </w:p>
    <w:p>
      <w:pPr>
        <w:spacing w:after="0" w:line="49" w:lineRule="exact"/>
        <w:rPr>
          <w:rFonts w:ascii="Arial" w:cs="Arial" w:eastAsia="Arial" w:hAnsi="Arial"/>
          <w:sz w:val="18"/>
          <w:szCs w:val="18"/>
          <w:color w:val="345988"/>
        </w:rPr>
      </w:pPr>
    </w:p>
    <w:p>
      <w:pPr>
        <w:ind w:left="300" w:hanging="292"/>
        <w:spacing w:after="0"/>
        <w:tabs>
          <w:tab w:leader="none" w:pos="300" w:val="left"/>
        </w:tabs>
        <w:numPr>
          <w:ilvl w:val="0"/>
          <w:numId w:val="20"/>
        </w:numPr>
        <w:rPr>
          <w:rFonts w:ascii="Arial" w:cs="Arial" w:eastAsia="Arial" w:hAnsi="Arial"/>
          <w:sz w:val="18"/>
          <w:szCs w:val="18"/>
          <w:color w:val="345988"/>
        </w:rPr>
      </w:pPr>
      <w:r>
        <w:rPr>
          <w:rFonts w:ascii="Arial" w:cs="Arial" w:eastAsia="Arial" w:hAnsi="Arial"/>
          <w:sz w:val="18"/>
          <w:szCs w:val="18"/>
          <w:color w:val="auto"/>
        </w:rPr>
        <w:t>To hold an advisory vote on executive compensation; and</w:t>
      </w:r>
    </w:p>
    <w:p>
      <w:pPr>
        <w:spacing w:after="0" w:line="102" w:lineRule="exact"/>
        <w:rPr>
          <w:rFonts w:ascii="Arial" w:cs="Arial" w:eastAsia="Arial" w:hAnsi="Arial"/>
          <w:sz w:val="18"/>
          <w:szCs w:val="18"/>
          <w:color w:val="345988"/>
        </w:rPr>
      </w:pPr>
    </w:p>
    <w:p>
      <w:pPr>
        <w:ind w:left="300" w:right="260" w:hanging="292"/>
        <w:spacing w:after="0" w:line="268" w:lineRule="auto"/>
        <w:tabs>
          <w:tab w:leader="none" w:pos="300" w:val="left"/>
        </w:tabs>
        <w:numPr>
          <w:ilvl w:val="0"/>
          <w:numId w:val="20"/>
        </w:numPr>
        <w:rPr>
          <w:rFonts w:ascii="Arial" w:cs="Arial" w:eastAsia="Arial" w:hAnsi="Arial"/>
          <w:sz w:val="18"/>
          <w:szCs w:val="18"/>
          <w:color w:val="345988"/>
        </w:rPr>
      </w:pPr>
      <w:r>
        <w:rPr>
          <w:rFonts w:ascii="Arial" w:cs="Arial" w:eastAsia="Arial" w:hAnsi="Arial"/>
          <w:sz w:val="18"/>
          <w:szCs w:val="18"/>
          <w:color w:val="auto"/>
        </w:rPr>
        <w:t>To ratify the appointment of Ernst &amp; Young LLP as our independent registered public accounting firm for the fiscal year ending December 31, 2018.</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the annual meeting may be adjourned, or to which the annual meeting may be postponed.</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Board of Directors has fixed the close of business on March 29, 2018 as the record date for determining the stockholders entitled to notice of, and to vote at, the annual meeting and at any adjournments or postponements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829945" cy="316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9945" cy="3168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S. Levine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31572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157220"/>
                    </a:xfrm>
                    <a:prstGeom prst="rect">
                      <a:avLst/>
                    </a:prstGeom>
                    <a:noFill/>
                  </pic:spPr>
                </pic:pic>
              </a:graphicData>
            </a:graphic>
          </wp:anchor>
        </w:drawing>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Voting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may authorize your proxy via the Internet or by telephone: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Visit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Scan this QR code to vote with your mobile device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Call 1-800-454-8683</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24h/7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5988"/>
        </w:rPr>
        <w:t>Important Notice Regarding the Availability of Proxy Materials for the Stockholder Meeting to be Held on May 31, 2018</w:t>
      </w:r>
      <w:r>
        <w:rPr>
          <w:rFonts w:ascii="Arial" w:cs="Arial" w:eastAsia="Arial" w:hAnsi="Arial"/>
          <w:sz w:val="18"/>
          <w:szCs w:val="18"/>
          <w:b w:val="1"/>
          <w:bCs w:val="1"/>
          <w:color w:val="000000"/>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5988"/>
        </w:rPr>
        <w:t>This proxy statement and our 2017 Annual Report to Stockholders are available at http://www.proxyvote.com</w:t>
      </w:r>
    </w:p>
    <w:p>
      <w:pPr>
        <w:spacing w:after="0" w:line="200" w:lineRule="exact"/>
        <w:rPr>
          <w:sz w:val="20"/>
          <w:szCs w:val="20"/>
          <w:color w:val="auto"/>
        </w:rPr>
      </w:pPr>
    </w:p>
    <w:p>
      <w:pPr>
        <w:spacing w:after="0" w:line="255"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b w:val="1"/>
          <w:bCs w:val="1"/>
          <w:i w:val="1"/>
          <w:iCs w:val="1"/>
          <w:color w:val="auto"/>
        </w:rPr>
        <w:t>Whether or not you plan to attend the annual meeting, please complete, sign, date and promptly return the enclosed proxy card in the post-prepaid envelope provided or authorize your proxy by telephone or the Internet by following the instructions on your proxy card. For specific instructions on voting, please see the instructions on the proxy card or the information forwarded by your broker, bank or other holder of record. If you attend the annual meeting, you may vote in person if you wish, even if you previously have signed and returned your proxy card. Please note that if your shares are held of record by a bank, broker or other nominee and you wish to vote in person at the annual meeting, you must obtain a proxy issued in your name from such bank, broker or other nominee.</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2018 Proxy Statement </w:t>
      </w:r>
      <w:r>
        <w:rPr>
          <w:rFonts w:ascii="Arial" w:cs="Arial" w:eastAsia="Arial" w:hAnsi="Arial"/>
          <w:sz w:val="18"/>
          <w:szCs w:val="18"/>
          <w:color w:val="345988"/>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316"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60" w:type="dxa"/>
            <w:vAlign w:val="bottom"/>
            <w:gridSpan w:val="29"/>
          </w:tcPr>
          <w:p>
            <w:pPr>
              <w:spacing w:after="0"/>
              <w:rPr>
                <w:rFonts w:ascii="Arial" w:cs="Arial" w:eastAsia="Arial" w:hAnsi="Arial"/>
                <w:sz w:val="18"/>
                <w:szCs w:val="18"/>
                <w:b w:val="1"/>
                <w:bCs w:val="1"/>
                <w:color w:val="345988"/>
              </w:rPr>
            </w:pPr>
            <w:hyperlink w:anchor="page3">
              <w:r>
                <w:rPr>
                  <w:rFonts w:ascii="Arial" w:cs="Arial" w:eastAsia="Arial" w:hAnsi="Arial"/>
                  <w:sz w:val="18"/>
                  <w:szCs w:val="18"/>
                  <w:b w:val="1"/>
                  <w:bCs w:val="1"/>
                  <w:color w:val="345988"/>
                </w:rPr>
                <w:t>2018 PROXY STATEMENT HIGHLIGHTS</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88"/>
        </w:trPr>
        <w:tc>
          <w:tcPr>
            <w:tcW w:w="1140" w:type="dxa"/>
            <w:vAlign w:val="bottom"/>
            <w:tcBorders>
              <w:top w:val="single" w:sz="8" w:color="345988"/>
              <w:bottom w:val="single" w:sz="8" w:color="8591A9"/>
            </w:tcBorders>
          </w:tcPr>
          <w:p>
            <w:pPr>
              <w:spacing w:after="0"/>
              <w:rPr>
                <w:sz w:val="7"/>
                <w:szCs w:val="7"/>
                <w:color w:val="auto"/>
              </w:rPr>
            </w:pPr>
          </w:p>
        </w:tc>
        <w:tc>
          <w:tcPr>
            <w:tcW w:w="140" w:type="dxa"/>
            <w:vAlign w:val="bottom"/>
            <w:tcBorders>
              <w:top w:val="single" w:sz="8" w:color="345988"/>
              <w:bottom w:val="single" w:sz="8" w:color="8591A9"/>
            </w:tcBorders>
          </w:tcPr>
          <w:p>
            <w:pPr>
              <w:spacing w:after="0"/>
              <w:rPr>
                <w:sz w:val="7"/>
                <w:szCs w:val="7"/>
                <w:color w:val="auto"/>
              </w:rPr>
            </w:pPr>
          </w:p>
        </w:tc>
        <w:tc>
          <w:tcPr>
            <w:tcW w:w="280" w:type="dxa"/>
            <w:vAlign w:val="bottom"/>
            <w:tcBorders>
              <w:top w:val="single" w:sz="8" w:color="345988"/>
              <w:bottom w:val="single" w:sz="8" w:color="8591A9"/>
            </w:tcBorders>
          </w:tcPr>
          <w:p>
            <w:pPr>
              <w:spacing w:after="0"/>
              <w:rPr>
                <w:sz w:val="7"/>
                <w:szCs w:val="7"/>
                <w:color w:val="auto"/>
              </w:rPr>
            </w:pPr>
          </w:p>
        </w:tc>
        <w:tc>
          <w:tcPr>
            <w:tcW w:w="34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44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16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2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20" w:type="dxa"/>
            <w:vAlign w:val="bottom"/>
            <w:tcBorders>
              <w:top w:val="single" w:sz="8" w:color="345988"/>
              <w:bottom w:val="single" w:sz="8" w:color="8591A9"/>
            </w:tcBorders>
          </w:tcPr>
          <w:p>
            <w:pPr>
              <w:spacing w:after="0"/>
              <w:rPr>
                <w:sz w:val="7"/>
                <w:szCs w:val="7"/>
                <w:color w:val="auto"/>
              </w:rPr>
            </w:pPr>
          </w:p>
        </w:tc>
        <w:tc>
          <w:tcPr>
            <w:tcW w:w="260" w:type="dxa"/>
            <w:vAlign w:val="bottom"/>
            <w:tcBorders>
              <w:top w:val="single" w:sz="8" w:color="345988"/>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880" w:type="dxa"/>
            <w:vAlign w:val="bottom"/>
            <w:tcBorders>
              <w:bottom w:val="single" w:sz="8" w:color="8591A9"/>
            </w:tcBorders>
          </w:tcPr>
          <w:p>
            <w:pPr>
              <w:spacing w:after="0"/>
              <w:rPr>
                <w:sz w:val="7"/>
                <w:szCs w:val="7"/>
                <w:color w:val="auto"/>
              </w:rPr>
            </w:pPr>
          </w:p>
        </w:tc>
        <w:tc>
          <w:tcPr>
            <w:tcW w:w="180" w:type="dxa"/>
            <w:vAlign w:val="bottom"/>
            <w:tcBorders>
              <w:bottom w:val="single" w:sz="8" w:color="8591A9"/>
            </w:tcBorders>
          </w:tcPr>
          <w:p>
            <w:pPr>
              <w:spacing w:after="0"/>
              <w:rPr>
                <w:sz w:val="7"/>
                <w:szCs w:val="7"/>
                <w:color w:val="auto"/>
              </w:rPr>
            </w:pPr>
          </w:p>
        </w:tc>
        <w:tc>
          <w:tcPr>
            <w:tcW w:w="440" w:type="dxa"/>
            <w:vAlign w:val="bottom"/>
            <w:tcBorders>
              <w:bottom w:val="single" w:sz="8" w:color="8591A9"/>
            </w:tcBorders>
          </w:tcPr>
          <w:p>
            <w:pPr>
              <w:spacing w:after="0"/>
              <w:rPr>
                <w:sz w:val="7"/>
                <w:szCs w:val="7"/>
                <w:color w:val="auto"/>
              </w:rPr>
            </w:pPr>
          </w:p>
        </w:tc>
        <w:tc>
          <w:tcPr>
            <w:tcW w:w="340" w:type="dxa"/>
            <w:vAlign w:val="bottom"/>
            <w:tcBorders>
              <w:bottom w:val="single" w:sz="8" w:color="8591A9"/>
            </w:tcBorders>
          </w:tcPr>
          <w:p>
            <w:pPr>
              <w:spacing w:after="0"/>
              <w:rPr>
                <w:sz w:val="7"/>
                <w:szCs w:val="7"/>
                <w:color w:val="auto"/>
              </w:rPr>
            </w:pPr>
          </w:p>
        </w:tc>
        <w:tc>
          <w:tcPr>
            <w:tcW w:w="10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22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1160" w:type="dxa"/>
            <w:vAlign w:val="bottom"/>
            <w:tcBorders>
              <w:bottom w:val="single" w:sz="8" w:color="8591A9"/>
            </w:tcBorders>
          </w:tcPr>
          <w:p>
            <w:pPr>
              <w:spacing w:after="0"/>
              <w:rPr>
                <w:sz w:val="7"/>
                <w:szCs w:val="7"/>
                <w:color w:val="auto"/>
              </w:rPr>
            </w:pPr>
          </w:p>
        </w:tc>
        <w:tc>
          <w:tcPr>
            <w:tcW w:w="82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100" w:type="dxa"/>
            <w:vAlign w:val="bottom"/>
            <w:tcBorders>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r>
      <w:tr>
        <w:trPr>
          <w:trHeight w:val="236"/>
        </w:trPr>
        <w:tc>
          <w:tcPr>
            <w:tcW w:w="2880" w:type="dxa"/>
            <w:vAlign w:val="bottom"/>
            <w:tcBorders>
              <w:bottom w:val="single" w:sz="8" w:color="0000EE"/>
            </w:tcBorders>
            <w:gridSpan w:val="1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Business Overview and Highlights</w:t>
              </w:r>
            </w:hyperlink>
          </w:p>
        </w:tc>
        <w:tc>
          <w:tcPr>
            <w:tcW w:w="6480" w:type="dxa"/>
            <w:vAlign w:val="bottom"/>
            <w:gridSpan w:val="16"/>
          </w:tcPr>
          <w:p>
            <w:pPr>
              <w:spacing w:after="0"/>
              <w:rPr>
                <w:sz w:val="20"/>
                <w:szCs w:val="20"/>
                <w:color w:val="auto"/>
              </w:rPr>
            </w:pPr>
          </w:p>
        </w:tc>
        <w:tc>
          <w:tcPr>
            <w:tcW w:w="1960" w:type="dxa"/>
            <w:vAlign w:val="bottom"/>
            <w:gridSpan w:val="3"/>
          </w:tcPr>
          <w:p>
            <w:pPr>
              <w:spacing w:after="0"/>
              <w:rPr>
                <w:sz w:val="20"/>
                <w:szCs w:val="20"/>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2</w:t>
              </w:r>
            </w:hyperlink>
          </w:p>
        </w:tc>
      </w:tr>
      <w:tr>
        <w:trPr>
          <w:trHeight w:val="330"/>
        </w:trPr>
        <w:tc>
          <w:tcPr>
            <w:tcW w:w="3000" w:type="dxa"/>
            <w:vAlign w:val="bottom"/>
            <w:tcBorders>
              <w:bottom w:val="single" w:sz="8" w:color="0000EE"/>
            </w:tcBorders>
            <w:gridSpan w:val="15"/>
          </w:tcPr>
          <w:p>
            <w:pPr>
              <w:spacing w:after="0"/>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Executive Compensation Highlights</w:t>
              </w:r>
            </w:hyperlink>
          </w:p>
        </w:tc>
        <w:tc>
          <w:tcPr>
            <w:tcW w:w="6360" w:type="dxa"/>
            <w:vAlign w:val="bottom"/>
            <w:gridSpan w:val="14"/>
          </w:tcPr>
          <w:p>
            <w:pPr>
              <w:spacing w:after="0"/>
              <w:rPr>
                <w:sz w:val="24"/>
                <w:szCs w:val="24"/>
                <w:color w:val="auto"/>
              </w:rPr>
            </w:pPr>
          </w:p>
        </w:tc>
        <w:tc>
          <w:tcPr>
            <w:tcW w:w="196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3</w:t>
              </w:r>
            </w:hyperlink>
          </w:p>
        </w:tc>
      </w:tr>
      <w:tr>
        <w:trPr>
          <w:trHeight w:val="330"/>
        </w:trPr>
        <w:tc>
          <w:tcPr>
            <w:tcW w:w="2820" w:type="dxa"/>
            <w:vAlign w:val="bottom"/>
            <w:tcBorders>
              <w:bottom w:val="single" w:sz="8" w:color="0000EE"/>
            </w:tcBorders>
            <w:gridSpan w:val="12"/>
          </w:tcPr>
          <w:p>
            <w:pPr>
              <w:spacing w:after="0"/>
              <w:rPr>
                <w:rFonts w:ascii="Arial" w:cs="Arial" w:eastAsia="Arial" w:hAnsi="Arial"/>
                <w:sz w:val="18"/>
                <w:szCs w:val="18"/>
                <w:b w:val="1"/>
                <w:bCs w:val="1"/>
                <w:color w:val="0000EE"/>
                <w:w w:val="97"/>
              </w:rPr>
            </w:pPr>
            <w:hyperlink w:anchor="page7">
              <w:r>
                <w:rPr>
                  <w:rFonts w:ascii="Arial" w:cs="Arial" w:eastAsia="Arial" w:hAnsi="Arial"/>
                  <w:sz w:val="18"/>
                  <w:szCs w:val="18"/>
                  <w:b w:val="1"/>
                  <w:bCs w:val="1"/>
                  <w:color w:val="0000EE"/>
                  <w:w w:val="97"/>
                </w:rPr>
                <w:t>Corporate Governance Highlights</w:t>
              </w:r>
            </w:hyperlink>
          </w:p>
        </w:tc>
        <w:tc>
          <w:tcPr>
            <w:tcW w:w="6540" w:type="dxa"/>
            <w:vAlign w:val="bottom"/>
            <w:gridSpan w:val="17"/>
          </w:tcPr>
          <w:p>
            <w:pPr>
              <w:spacing w:after="0"/>
              <w:rPr>
                <w:sz w:val="24"/>
                <w:szCs w:val="24"/>
                <w:color w:val="auto"/>
              </w:rPr>
            </w:pPr>
          </w:p>
        </w:tc>
        <w:tc>
          <w:tcPr>
            <w:tcW w:w="196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7">
              <w:r>
                <w:rPr>
                  <w:rFonts w:ascii="Arial" w:cs="Arial" w:eastAsia="Arial" w:hAnsi="Arial"/>
                  <w:sz w:val="18"/>
                  <w:szCs w:val="18"/>
                  <w:b w:val="1"/>
                  <w:bCs w:val="1"/>
                  <w:color w:val="0000EE"/>
                  <w:w w:val="79"/>
                </w:rPr>
                <w:t>5</w:t>
              </w:r>
            </w:hyperlink>
          </w:p>
        </w:tc>
      </w:tr>
      <w:tr>
        <w:trPr>
          <w:trHeight w:val="330"/>
        </w:trPr>
        <w:tc>
          <w:tcPr>
            <w:tcW w:w="9360" w:type="dxa"/>
            <w:vAlign w:val="bottom"/>
            <w:gridSpan w:val="29"/>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ESG Highlights</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6</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30"/>
        </w:trPr>
        <w:tc>
          <w:tcPr>
            <w:tcW w:w="9360" w:type="dxa"/>
            <w:vAlign w:val="bottom"/>
            <w:gridSpan w:val="29"/>
          </w:tcPr>
          <w:p>
            <w:pPr>
              <w:spacing w:after="0"/>
              <w:rPr>
                <w:rFonts w:ascii="Arial" w:cs="Arial" w:eastAsia="Arial" w:hAnsi="Arial"/>
                <w:sz w:val="18"/>
                <w:szCs w:val="18"/>
                <w:b w:val="1"/>
                <w:bCs w:val="1"/>
                <w:color w:val="345988"/>
              </w:rPr>
            </w:pPr>
            <w:hyperlink w:anchor="page9">
              <w:r>
                <w:rPr>
                  <w:rFonts w:ascii="Arial" w:cs="Arial" w:eastAsia="Arial" w:hAnsi="Arial"/>
                  <w:sz w:val="18"/>
                  <w:szCs w:val="18"/>
                  <w:b w:val="1"/>
                  <w:bCs w:val="1"/>
                  <w:color w:val="345988"/>
                </w:rPr>
                <w:t>NOTICE OF ANNUAL MEETING OF STOCKHOLDERS</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7</w:t>
              </w:r>
            </w:hyperlink>
          </w:p>
        </w:tc>
      </w:tr>
      <w:tr>
        <w:trPr>
          <w:trHeight w:val="88"/>
        </w:trPr>
        <w:tc>
          <w:tcPr>
            <w:tcW w:w="1140" w:type="dxa"/>
            <w:vAlign w:val="bottom"/>
            <w:tcBorders>
              <w:top w:val="single" w:sz="8" w:color="345988"/>
              <w:bottom w:val="single" w:sz="8" w:color="8591A9"/>
            </w:tcBorders>
          </w:tcPr>
          <w:p>
            <w:pPr>
              <w:spacing w:after="0"/>
              <w:rPr>
                <w:sz w:val="7"/>
                <w:szCs w:val="7"/>
                <w:color w:val="auto"/>
              </w:rPr>
            </w:pPr>
          </w:p>
        </w:tc>
        <w:tc>
          <w:tcPr>
            <w:tcW w:w="140" w:type="dxa"/>
            <w:vAlign w:val="bottom"/>
            <w:tcBorders>
              <w:top w:val="single" w:sz="8" w:color="345988"/>
              <w:bottom w:val="single" w:sz="8" w:color="8591A9"/>
            </w:tcBorders>
          </w:tcPr>
          <w:p>
            <w:pPr>
              <w:spacing w:after="0"/>
              <w:rPr>
                <w:sz w:val="7"/>
                <w:szCs w:val="7"/>
                <w:color w:val="auto"/>
              </w:rPr>
            </w:pPr>
          </w:p>
        </w:tc>
        <w:tc>
          <w:tcPr>
            <w:tcW w:w="280" w:type="dxa"/>
            <w:vAlign w:val="bottom"/>
            <w:tcBorders>
              <w:top w:val="single" w:sz="8" w:color="345988"/>
              <w:bottom w:val="single" w:sz="8" w:color="8591A9"/>
            </w:tcBorders>
          </w:tcPr>
          <w:p>
            <w:pPr>
              <w:spacing w:after="0"/>
              <w:rPr>
                <w:sz w:val="7"/>
                <w:szCs w:val="7"/>
                <w:color w:val="auto"/>
              </w:rPr>
            </w:pPr>
          </w:p>
        </w:tc>
        <w:tc>
          <w:tcPr>
            <w:tcW w:w="34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44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16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2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20" w:type="dxa"/>
            <w:vAlign w:val="bottom"/>
            <w:tcBorders>
              <w:top w:val="single" w:sz="8" w:color="345988"/>
              <w:bottom w:val="single" w:sz="8" w:color="8591A9"/>
            </w:tcBorders>
          </w:tcPr>
          <w:p>
            <w:pPr>
              <w:spacing w:after="0"/>
              <w:rPr>
                <w:sz w:val="7"/>
                <w:szCs w:val="7"/>
                <w:color w:val="auto"/>
              </w:rPr>
            </w:pPr>
          </w:p>
        </w:tc>
        <w:tc>
          <w:tcPr>
            <w:tcW w:w="26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880" w:type="dxa"/>
            <w:vAlign w:val="bottom"/>
            <w:tcBorders>
              <w:top w:val="single" w:sz="8" w:color="345988"/>
              <w:bottom w:val="single" w:sz="8" w:color="8591A9"/>
            </w:tcBorders>
          </w:tcPr>
          <w:p>
            <w:pPr>
              <w:spacing w:after="0"/>
              <w:rPr>
                <w:sz w:val="7"/>
                <w:szCs w:val="7"/>
                <w:color w:val="auto"/>
              </w:rPr>
            </w:pPr>
          </w:p>
        </w:tc>
        <w:tc>
          <w:tcPr>
            <w:tcW w:w="180" w:type="dxa"/>
            <w:vAlign w:val="bottom"/>
            <w:tcBorders>
              <w:top w:val="single" w:sz="8" w:color="345988"/>
              <w:bottom w:val="single" w:sz="8" w:color="8591A9"/>
            </w:tcBorders>
          </w:tcPr>
          <w:p>
            <w:pPr>
              <w:spacing w:after="0"/>
              <w:rPr>
                <w:sz w:val="7"/>
                <w:szCs w:val="7"/>
                <w:color w:val="auto"/>
              </w:rPr>
            </w:pPr>
          </w:p>
        </w:tc>
        <w:tc>
          <w:tcPr>
            <w:tcW w:w="440" w:type="dxa"/>
            <w:vAlign w:val="bottom"/>
            <w:tcBorders>
              <w:bottom w:val="single" w:sz="8" w:color="8591A9"/>
            </w:tcBorders>
          </w:tcPr>
          <w:p>
            <w:pPr>
              <w:spacing w:after="0"/>
              <w:rPr>
                <w:sz w:val="7"/>
                <w:szCs w:val="7"/>
                <w:color w:val="auto"/>
              </w:rPr>
            </w:pPr>
          </w:p>
        </w:tc>
        <w:tc>
          <w:tcPr>
            <w:tcW w:w="340" w:type="dxa"/>
            <w:vAlign w:val="bottom"/>
            <w:tcBorders>
              <w:bottom w:val="single" w:sz="8" w:color="8591A9"/>
            </w:tcBorders>
          </w:tcPr>
          <w:p>
            <w:pPr>
              <w:spacing w:after="0"/>
              <w:rPr>
                <w:sz w:val="7"/>
                <w:szCs w:val="7"/>
                <w:color w:val="auto"/>
              </w:rPr>
            </w:pPr>
          </w:p>
        </w:tc>
        <w:tc>
          <w:tcPr>
            <w:tcW w:w="10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22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1160" w:type="dxa"/>
            <w:vAlign w:val="bottom"/>
            <w:tcBorders>
              <w:bottom w:val="single" w:sz="8" w:color="8591A9"/>
            </w:tcBorders>
          </w:tcPr>
          <w:p>
            <w:pPr>
              <w:spacing w:after="0"/>
              <w:rPr>
                <w:sz w:val="7"/>
                <w:szCs w:val="7"/>
                <w:color w:val="auto"/>
              </w:rPr>
            </w:pPr>
          </w:p>
        </w:tc>
        <w:tc>
          <w:tcPr>
            <w:tcW w:w="82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100" w:type="dxa"/>
            <w:vAlign w:val="bottom"/>
            <w:tcBorders>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r>
      <w:tr>
        <w:trPr>
          <w:trHeight w:val="236"/>
        </w:trPr>
        <w:tc>
          <w:tcPr>
            <w:tcW w:w="9360" w:type="dxa"/>
            <w:vAlign w:val="bottom"/>
            <w:gridSpan w:val="29"/>
          </w:tcPr>
          <w:p>
            <w:pPr>
              <w:spacing w:after="0"/>
              <w:rPr>
                <w:rFonts w:ascii="Arial" w:cs="Arial" w:eastAsia="Arial" w:hAnsi="Arial"/>
                <w:sz w:val="18"/>
                <w:szCs w:val="18"/>
                <w:b w:val="1"/>
                <w:bCs w:val="1"/>
                <w:color w:val="345988"/>
              </w:rPr>
            </w:pPr>
            <w:hyperlink w:anchor="page11">
              <w:r>
                <w:rPr>
                  <w:rFonts w:ascii="Arial" w:cs="Arial" w:eastAsia="Arial" w:hAnsi="Arial"/>
                  <w:sz w:val="18"/>
                  <w:szCs w:val="18"/>
                  <w:b w:val="1"/>
                  <w:bCs w:val="1"/>
                  <w:color w:val="345988"/>
                </w:rPr>
                <w:t>OUR BOARD OF DIRECTORS AND CORPORATE GOVERNANCE</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9</w:t>
              </w:r>
            </w:hyperlink>
          </w:p>
        </w:tc>
      </w:tr>
      <w:tr>
        <w:trPr>
          <w:trHeight w:val="88"/>
        </w:trPr>
        <w:tc>
          <w:tcPr>
            <w:tcW w:w="1140" w:type="dxa"/>
            <w:vAlign w:val="bottom"/>
            <w:tcBorders>
              <w:top w:val="single" w:sz="8" w:color="345988"/>
              <w:bottom w:val="single" w:sz="8" w:color="8591A9"/>
            </w:tcBorders>
          </w:tcPr>
          <w:p>
            <w:pPr>
              <w:spacing w:after="0"/>
              <w:rPr>
                <w:sz w:val="7"/>
                <w:szCs w:val="7"/>
                <w:color w:val="auto"/>
              </w:rPr>
            </w:pPr>
          </w:p>
        </w:tc>
        <w:tc>
          <w:tcPr>
            <w:tcW w:w="140" w:type="dxa"/>
            <w:vAlign w:val="bottom"/>
            <w:tcBorders>
              <w:top w:val="single" w:sz="8" w:color="345988"/>
              <w:bottom w:val="single" w:sz="8" w:color="8591A9"/>
            </w:tcBorders>
          </w:tcPr>
          <w:p>
            <w:pPr>
              <w:spacing w:after="0"/>
              <w:rPr>
                <w:sz w:val="7"/>
                <w:szCs w:val="7"/>
                <w:color w:val="auto"/>
              </w:rPr>
            </w:pPr>
          </w:p>
        </w:tc>
        <w:tc>
          <w:tcPr>
            <w:tcW w:w="280" w:type="dxa"/>
            <w:vAlign w:val="bottom"/>
            <w:tcBorders>
              <w:top w:val="single" w:sz="8" w:color="345988"/>
              <w:bottom w:val="single" w:sz="8" w:color="8591A9"/>
            </w:tcBorders>
          </w:tcPr>
          <w:p>
            <w:pPr>
              <w:spacing w:after="0"/>
              <w:rPr>
                <w:sz w:val="7"/>
                <w:szCs w:val="7"/>
                <w:color w:val="auto"/>
              </w:rPr>
            </w:pPr>
          </w:p>
        </w:tc>
        <w:tc>
          <w:tcPr>
            <w:tcW w:w="34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44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16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2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20" w:type="dxa"/>
            <w:vAlign w:val="bottom"/>
            <w:tcBorders>
              <w:top w:val="single" w:sz="8" w:color="345988"/>
              <w:bottom w:val="single" w:sz="8" w:color="8591A9"/>
            </w:tcBorders>
          </w:tcPr>
          <w:p>
            <w:pPr>
              <w:spacing w:after="0"/>
              <w:rPr>
                <w:sz w:val="7"/>
                <w:szCs w:val="7"/>
                <w:color w:val="auto"/>
              </w:rPr>
            </w:pPr>
          </w:p>
        </w:tc>
        <w:tc>
          <w:tcPr>
            <w:tcW w:w="26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880" w:type="dxa"/>
            <w:vAlign w:val="bottom"/>
            <w:tcBorders>
              <w:top w:val="single" w:sz="8" w:color="345988"/>
              <w:bottom w:val="single" w:sz="8" w:color="8591A9"/>
            </w:tcBorders>
          </w:tcPr>
          <w:p>
            <w:pPr>
              <w:spacing w:after="0"/>
              <w:rPr>
                <w:sz w:val="7"/>
                <w:szCs w:val="7"/>
                <w:color w:val="auto"/>
              </w:rPr>
            </w:pPr>
          </w:p>
        </w:tc>
        <w:tc>
          <w:tcPr>
            <w:tcW w:w="180" w:type="dxa"/>
            <w:vAlign w:val="bottom"/>
            <w:tcBorders>
              <w:top w:val="single" w:sz="8" w:color="345988"/>
              <w:bottom w:val="single" w:sz="8" w:color="8591A9"/>
            </w:tcBorders>
          </w:tcPr>
          <w:p>
            <w:pPr>
              <w:spacing w:after="0"/>
              <w:rPr>
                <w:sz w:val="7"/>
                <w:szCs w:val="7"/>
                <w:color w:val="auto"/>
              </w:rPr>
            </w:pPr>
          </w:p>
        </w:tc>
        <w:tc>
          <w:tcPr>
            <w:tcW w:w="440" w:type="dxa"/>
            <w:vAlign w:val="bottom"/>
            <w:tcBorders>
              <w:top w:val="single" w:sz="8" w:color="345988"/>
              <w:bottom w:val="single" w:sz="8" w:color="8591A9"/>
            </w:tcBorders>
          </w:tcPr>
          <w:p>
            <w:pPr>
              <w:spacing w:after="0"/>
              <w:rPr>
                <w:sz w:val="7"/>
                <w:szCs w:val="7"/>
                <w:color w:val="auto"/>
              </w:rPr>
            </w:pPr>
          </w:p>
        </w:tc>
        <w:tc>
          <w:tcPr>
            <w:tcW w:w="340" w:type="dxa"/>
            <w:vAlign w:val="bottom"/>
            <w:tcBorders>
              <w:top w:val="single" w:sz="8" w:color="345988"/>
              <w:bottom w:val="single" w:sz="8" w:color="8591A9"/>
            </w:tcBorders>
          </w:tcPr>
          <w:p>
            <w:pPr>
              <w:spacing w:after="0"/>
              <w:rPr>
                <w:sz w:val="7"/>
                <w:szCs w:val="7"/>
                <w:color w:val="auto"/>
              </w:rPr>
            </w:pPr>
          </w:p>
        </w:tc>
        <w:tc>
          <w:tcPr>
            <w:tcW w:w="10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22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1160" w:type="dxa"/>
            <w:vAlign w:val="bottom"/>
            <w:tcBorders>
              <w:bottom w:val="single" w:sz="8" w:color="8591A9"/>
            </w:tcBorders>
          </w:tcPr>
          <w:p>
            <w:pPr>
              <w:spacing w:after="0"/>
              <w:rPr>
                <w:sz w:val="7"/>
                <w:szCs w:val="7"/>
                <w:color w:val="auto"/>
              </w:rPr>
            </w:pPr>
          </w:p>
        </w:tc>
        <w:tc>
          <w:tcPr>
            <w:tcW w:w="82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100" w:type="dxa"/>
            <w:vAlign w:val="bottom"/>
            <w:tcBorders>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r>
      <w:tr>
        <w:trPr>
          <w:trHeight w:val="236"/>
        </w:trPr>
        <w:tc>
          <w:tcPr>
            <w:tcW w:w="280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11">
              <w:r>
                <w:rPr>
                  <w:rFonts w:ascii="Arial" w:cs="Arial" w:eastAsia="Arial" w:hAnsi="Arial"/>
                  <w:sz w:val="18"/>
                  <w:szCs w:val="18"/>
                  <w:b w:val="1"/>
                  <w:bCs w:val="1"/>
                  <w:color w:val="0000EE"/>
                  <w:w w:val="99"/>
                </w:rPr>
                <w:t>Proposal 1: Election of Directors</w:t>
              </w:r>
            </w:hyperlink>
          </w:p>
        </w:tc>
        <w:tc>
          <w:tcPr>
            <w:tcW w:w="6560" w:type="dxa"/>
            <w:vAlign w:val="bottom"/>
            <w:gridSpan w:val="18"/>
          </w:tcPr>
          <w:p>
            <w:pPr>
              <w:spacing w:after="0"/>
              <w:rPr>
                <w:sz w:val="20"/>
                <w:szCs w:val="20"/>
                <w:color w:val="auto"/>
              </w:rPr>
            </w:pPr>
          </w:p>
        </w:tc>
        <w:tc>
          <w:tcPr>
            <w:tcW w:w="1960" w:type="dxa"/>
            <w:vAlign w:val="bottom"/>
            <w:gridSpan w:val="3"/>
          </w:tcPr>
          <w:p>
            <w:pPr>
              <w:spacing w:after="0"/>
              <w:rPr>
                <w:sz w:val="20"/>
                <w:szCs w:val="20"/>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11">
              <w:r>
                <w:rPr>
                  <w:rFonts w:ascii="Arial" w:cs="Arial" w:eastAsia="Arial" w:hAnsi="Arial"/>
                  <w:sz w:val="18"/>
                  <w:szCs w:val="18"/>
                  <w:b w:val="1"/>
                  <w:bCs w:val="1"/>
                  <w:color w:val="0000EE"/>
                  <w:w w:val="79"/>
                </w:rPr>
                <w:t>9</w:t>
              </w:r>
            </w:hyperlink>
          </w:p>
        </w:tc>
      </w:tr>
      <w:tr>
        <w:trPr>
          <w:trHeight w:val="330"/>
        </w:trPr>
        <w:tc>
          <w:tcPr>
            <w:tcW w:w="9360" w:type="dxa"/>
            <w:vAlign w:val="bottom"/>
            <w:gridSpan w:val="29"/>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Board Structure and Independence</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18</w:t>
              </w:r>
            </w:hyperlink>
          </w:p>
        </w:tc>
      </w:tr>
      <w:tr>
        <w:trPr>
          <w:trHeight w:val="330"/>
        </w:trPr>
        <w:tc>
          <w:tcPr>
            <w:tcW w:w="292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Board Committees</w:t>
              </w:r>
            </w:hyperlink>
          </w:p>
        </w:tc>
        <w:tc>
          <w:tcPr>
            <w:tcW w:w="6440" w:type="dxa"/>
            <w:vAlign w:val="bottom"/>
            <w:gridSpan w:val="15"/>
          </w:tcPr>
          <w:p>
            <w:pPr>
              <w:spacing w:after="0"/>
              <w:rPr>
                <w:sz w:val="24"/>
                <w:szCs w:val="24"/>
                <w:color w:val="auto"/>
              </w:rPr>
            </w:pPr>
          </w:p>
        </w:tc>
        <w:tc>
          <w:tcPr>
            <w:tcW w:w="1860" w:type="dxa"/>
            <w:vAlign w:val="bottom"/>
            <w:gridSpan w:val="2"/>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b w:val="1"/>
                <w:bCs w:val="1"/>
                <w:color w:val="0000EE"/>
                <w:w w:val="89"/>
              </w:rPr>
            </w:pPr>
            <w:hyperlink w:anchor="page22">
              <w:r>
                <w:rPr>
                  <w:rFonts w:ascii="Arial" w:cs="Arial" w:eastAsia="Arial" w:hAnsi="Arial"/>
                  <w:sz w:val="18"/>
                  <w:szCs w:val="18"/>
                  <w:b w:val="1"/>
                  <w:bCs w:val="1"/>
                  <w:color w:val="0000EE"/>
                  <w:w w:val="89"/>
                </w:rPr>
                <w:t>20</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30"/>
        </w:trPr>
        <w:tc>
          <w:tcPr>
            <w:tcW w:w="9360" w:type="dxa"/>
            <w:vAlign w:val="bottom"/>
            <w:gridSpan w:val="29"/>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Corporate Governance</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22</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30"/>
        </w:trPr>
        <w:tc>
          <w:tcPr>
            <w:tcW w:w="9360" w:type="dxa"/>
            <w:vAlign w:val="bottom"/>
            <w:gridSpan w:val="29"/>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Director Compensation</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25</w:t>
              </w:r>
            </w:hyperlink>
          </w:p>
        </w:tc>
      </w:tr>
      <w:tr>
        <w:trPr>
          <w:trHeight w:val="330"/>
        </w:trPr>
        <w:tc>
          <w:tcPr>
            <w:tcW w:w="156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6"/>
              </w:rPr>
            </w:pPr>
            <w:hyperlink w:anchor="page29">
              <w:r>
                <w:rPr>
                  <w:rFonts w:ascii="Arial" w:cs="Arial" w:eastAsia="Arial" w:hAnsi="Arial"/>
                  <w:sz w:val="18"/>
                  <w:szCs w:val="18"/>
                  <w:b w:val="1"/>
                  <w:bCs w:val="1"/>
                  <w:color w:val="0000EE"/>
                  <w:w w:val="96"/>
                </w:rPr>
                <w:t>Executive Officers</w:t>
              </w:r>
            </w:hyperlink>
          </w:p>
        </w:tc>
        <w:tc>
          <w:tcPr>
            <w:tcW w:w="380" w:type="dxa"/>
            <w:vAlign w:val="bottom"/>
            <w:tcBorders>
              <w:top w:val="single" w:sz="8" w:color="0000EE"/>
            </w:tcBorders>
            <w:gridSpan w:val="2"/>
          </w:tcPr>
          <w:p>
            <w:pPr>
              <w:spacing w:after="0"/>
              <w:rPr>
                <w:sz w:val="24"/>
                <w:szCs w:val="24"/>
                <w:color w:val="auto"/>
              </w:rPr>
            </w:pPr>
          </w:p>
        </w:tc>
        <w:tc>
          <w:tcPr>
            <w:tcW w:w="7420" w:type="dxa"/>
            <w:vAlign w:val="bottom"/>
            <w:gridSpan w:val="24"/>
          </w:tcPr>
          <w:p>
            <w:pPr>
              <w:spacing w:after="0"/>
              <w:rPr>
                <w:sz w:val="24"/>
                <w:szCs w:val="24"/>
                <w:color w:val="auto"/>
              </w:rPr>
            </w:pPr>
          </w:p>
        </w:tc>
        <w:tc>
          <w:tcPr>
            <w:tcW w:w="1860" w:type="dxa"/>
            <w:vAlign w:val="bottom"/>
            <w:gridSpan w:val="2"/>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89"/>
              </w:rPr>
            </w:pPr>
            <w:hyperlink w:anchor="page29">
              <w:r>
                <w:rPr>
                  <w:rFonts w:ascii="Arial" w:cs="Arial" w:eastAsia="Arial" w:hAnsi="Arial"/>
                  <w:sz w:val="18"/>
                  <w:szCs w:val="18"/>
                  <w:b w:val="1"/>
                  <w:bCs w:val="1"/>
                  <w:color w:val="0000EE"/>
                  <w:w w:val="89"/>
                </w:rPr>
                <w:t>27</w:t>
              </w:r>
            </w:hyperlink>
          </w:p>
        </w:tc>
      </w:tr>
      <w:tr>
        <w:trPr>
          <w:trHeight w:val="330"/>
        </w:trPr>
        <w:tc>
          <w:tcPr>
            <w:tcW w:w="9360" w:type="dxa"/>
            <w:vAlign w:val="bottom"/>
            <w:gridSpan w:val="29"/>
          </w:tcPr>
          <w:p>
            <w:pPr>
              <w:spacing w:after="0"/>
              <w:rPr>
                <w:rFonts w:ascii="Arial" w:cs="Arial" w:eastAsia="Arial" w:hAnsi="Arial"/>
                <w:sz w:val="18"/>
                <w:szCs w:val="18"/>
                <w:b w:val="1"/>
                <w:bCs w:val="1"/>
                <w:color w:val="345988"/>
              </w:rPr>
            </w:pPr>
            <w:hyperlink w:anchor="page30">
              <w:r>
                <w:rPr>
                  <w:rFonts w:ascii="Arial" w:cs="Arial" w:eastAsia="Arial" w:hAnsi="Arial"/>
                  <w:sz w:val="18"/>
                  <w:szCs w:val="18"/>
                  <w:b w:val="1"/>
                  <w:bCs w:val="1"/>
                  <w:color w:val="345988"/>
                </w:rPr>
                <w:t>EXECUTIVE COMPENSATION</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28</w:t>
              </w:r>
            </w:hyperlink>
          </w:p>
        </w:tc>
      </w:tr>
      <w:tr>
        <w:trPr>
          <w:trHeight w:val="88"/>
        </w:trPr>
        <w:tc>
          <w:tcPr>
            <w:tcW w:w="1140" w:type="dxa"/>
            <w:vAlign w:val="bottom"/>
            <w:tcBorders>
              <w:top w:val="single" w:sz="8" w:color="345988"/>
              <w:bottom w:val="single" w:sz="8" w:color="8591A9"/>
            </w:tcBorders>
          </w:tcPr>
          <w:p>
            <w:pPr>
              <w:spacing w:after="0"/>
              <w:rPr>
                <w:sz w:val="7"/>
                <w:szCs w:val="7"/>
                <w:color w:val="auto"/>
              </w:rPr>
            </w:pPr>
          </w:p>
        </w:tc>
        <w:tc>
          <w:tcPr>
            <w:tcW w:w="140" w:type="dxa"/>
            <w:vAlign w:val="bottom"/>
            <w:tcBorders>
              <w:top w:val="single" w:sz="8" w:color="345988"/>
              <w:bottom w:val="single" w:sz="8" w:color="8591A9"/>
            </w:tcBorders>
          </w:tcPr>
          <w:p>
            <w:pPr>
              <w:spacing w:after="0"/>
              <w:rPr>
                <w:sz w:val="7"/>
                <w:szCs w:val="7"/>
                <w:color w:val="auto"/>
              </w:rPr>
            </w:pPr>
          </w:p>
        </w:tc>
        <w:tc>
          <w:tcPr>
            <w:tcW w:w="280" w:type="dxa"/>
            <w:vAlign w:val="bottom"/>
            <w:tcBorders>
              <w:top w:val="single" w:sz="8" w:color="345988"/>
              <w:bottom w:val="single" w:sz="8" w:color="8591A9"/>
            </w:tcBorders>
          </w:tcPr>
          <w:p>
            <w:pPr>
              <w:spacing w:after="0"/>
              <w:rPr>
                <w:sz w:val="7"/>
                <w:szCs w:val="7"/>
                <w:color w:val="auto"/>
              </w:rPr>
            </w:pPr>
          </w:p>
        </w:tc>
        <w:tc>
          <w:tcPr>
            <w:tcW w:w="34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440" w:type="dxa"/>
            <w:vAlign w:val="bottom"/>
            <w:tcBorders>
              <w:top w:val="single" w:sz="8" w:color="345988"/>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16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2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20" w:type="dxa"/>
            <w:vAlign w:val="bottom"/>
            <w:tcBorders>
              <w:bottom w:val="single" w:sz="8" w:color="8591A9"/>
            </w:tcBorders>
          </w:tcPr>
          <w:p>
            <w:pPr>
              <w:spacing w:after="0"/>
              <w:rPr>
                <w:sz w:val="7"/>
                <w:szCs w:val="7"/>
                <w:color w:val="auto"/>
              </w:rPr>
            </w:pPr>
          </w:p>
        </w:tc>
        <w:tc>
          <w:tcPr>
            <w:tcW w:w="26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880" w:type="dxa"/>
            <w:vAlign w:val="bottom"/>
            <w:tcBorders>
              <w:bottom w:val="single" w:sz="8" w:color="8591A9"/>
            </w:tcBorders>
          </w:tcPr>
          <w:p>
            <w:pPr>
              <w:spacing w:after="0"/>
              <w:rPr>
                <w:sz w:val="7"/>
                <w:szCs w:val="7"/>
                <w:color w:val="auto"/>
              </w:rPr>
            </w:pPr>
          </w:p>
        </w:tc>
        <w:tc>
          <w:tcPr>
            <w:tcW w:w="180" w:type="dxa"/>
            <w:vAlign w:val="bottom"/>
            <w:tcBorders>
              <w:bottom w:val="single" w:sz="8" w:color="8591A9"/>
            </w:tcBorders>
          </w:tcPr>
          <w:p>
            <w:pPr>
              <w:spacing w:after="0"/>
              <w:rPr>
                <w:sz w:val="7"/>
                <w:szCs w:val="7"/>
                <w:color w:val="auto"/>
              </w:rPr>
            </w:pPr>
          </w:p>
        </w:tc>
        <w:tc>
          <w:tcPr>
            <w:tcW w:w="440" w:type="dxa"/>
            <w:vAlign w:val="bottom"/>
            <w:tcBorders>
              <w:bottom w:val="single" w:sz="8" w:color="8591A9"/>
            </w:tcBorders>
          </w:tcPr>
          <w:p>
            <w:pPr>
              <w:spacing w:after="0"/>
              <w:rPr>
                <w:sz w:val="7"/>
                <w:szCs w:val="7"/>
                <w:color w:val="auto"/>
              </w:rPr>
            </w:pPr>
          </w:p>
        </w:tc>
        <w:tc>
          <w:tcPr>
            <w:tcW w:w="340" w:type="dxa"/>
            <w:vAlign w:val="bottom"/>
            <w:tcBorders>
              <w:bottom w:val="single" w:sz="8" w:color="8591A9"/>
            </w:tcBorders>
          </w:tcPr>
          <w:p>
            <w:pPr>
              <w:spacing w:after="0"/>
              <w:rPr>
                <w:sz w:val="7"/>
                <w:szCs w:val="7"/>
                <w:color w:val="auto"/>
              </w:rPr>
            </w:pPr>
          </w:p>
        </w:tc>
        <w:tc>
          <w:tcPr>
            <w:tcW w:w="10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22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1160" w:type="dxa"/>
            <w:vAlign w:val="bottom"/>
            <w:tcBorders>
              <w:bottom w:val="single" w:sz="8" w:color="8591A9"/>
            </w:tcBorders>
          </w:tcPr>
          <w:p>
            <w:pPr>
              <w:spacing w:after="0"/>
              <w:rPr>
                <w:sz w:val="7"/>
                <w:szCs w:val="7"/>
                <w:color w:val="auto"/>
              </w:rPr>
            </w:pPr>
          </w:p>
        </w:tc>
        <w:tc>
          <w:tcPr>
            <w:tcW w:w="82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r>
      <w:tr>
        <w:trPr>
          <w:trHeight w:val="236"/>
        </w:trPr>
        <w:tc>
          <w:tcPr>
            <w:tcW w:w="9360" w:type="dxa"/>
            <w:vAlign w:val="bottom"/>
            <w:gridSpan w:val="29"/>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Proposal 2: Advisory Vote on the Compensation of our Named Executive Officers</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28</w:t>
              </w:r>
            </w:hyperlink>
          </w:p>
        </w:tc>
      </w:tr>
      <w:tr>
        <w:trPr>
          <w:trHeight w:val="330"/>
        </w:trPr>
        <w:tc>
          <w:tcPr>
            <w:tcW w:w="2800" w:type="dxa"/>
            <w:vAlign w:val="bottom"/>
            <w:tcBorders>
              <w:top w:val="single" w:sz="8" w:color="0000EE"/>
              <w:bottom w:val="single" w:sz="8" w:color="0000EE"/>
            </w:tcBorders>
            <w:gridSpan w:val="11"/>
          </w:tcPr>
          <w:p>
            <w:pPr>
              <w:spacing w:after="0"/>
              <w:rPr>
                <w:rFonts w:ascii="Arial" w:cs="Arial" w:eastAsia="Arial" w:hAnsi="Arial"/>
                <w:sz w:val="18"/>
                <w:szCs w:val="18"/>
                <w:b w:val="1"/>
                <w:bCs w:val="1"/>
                <w:color w:val="0000EE"/>
                <w:w w:val="97"/>
              </w:rPr>
            </w:pPr>
            <w:hyperlink w:anchor="page30">
              <w:r>
                <w:rPr>
                  <w:rFonts w:ascii="Arial" w:cs="Arial" w:eastAsia="Arial" w:hAnsi="Arial"/>
                  <w:sz w:val="18"/>
                  <w:szCs w:val="18"/>
                  <w:b w:val="1"/>
                  <w:bCs w:val="1"/>
                  <w:color w:val="0000EE"/>
                  <w:w w:val="97"/>
                </w:rPr>
                <w:t>Compensation Committee Report</w:t>
              </w:r>
            </w:hyperlink>
          </w:p>
        </w:tc>
        <w:tc>
          <w:tcPr>
            <w:tcW w:w="3960" w:type="dxa"/>
            <w:vAlign w:val="bottom"/>
            <w:tcBorders>
              <w:top w:val="single" w:sz="8" w:color="0000EE"/>
            </w:tcBorders>
            <w:gridSpan w:val="16"/>
          </w:tcPr>
          <w:p>
            <w:pPr>
              <w:spacing w:after="0"/>
              <w:rPr>
                <w:sz w:val="24"/>
                <w:szCs w:val="24"/>
                <w:color w:val="auto"/>
              </w:rPr>
            </w:pPr>
          </w:p>
        </w:tc>
        <w:tc>
          <w:tcPr>
            <w:tcW w:w="2600" w:type="dxa"/>
            <w:vAlign w:val="bottom"/>
            <w:gridSpan w:val="2"/>
          </w:tcPr>
          <w:p>
            <w:pPr>
              <w:spacing w:after="0"/>
              <w:rPr>
                <w:sz w:val="24"/>
                <w:szCs w:val="24"/>
                <w:color w:val="auto"/>
              </w:rPr>
            </w:pPr>
          </w:p>
        </w:tc>
        <w:tc>
          <w:tcPr>
            <w:tcW w:w="1860" w:type="dxa"/>
            <w:vAlign w:val="bottom"/>
            <w:gridSpan w:val="2"/>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89"/>
              </w:rPr>
            </w:pPr>
            <w:hyperlink w:anchor="page30">
              <w:r>
                <w:rPr>
                  <w:rFonts w:ascii="Arial" w:cs="Arial" w:eastAsia="Arial" w:hAnsi="Arial"/>
                  <w:sz w:val="18"/>
                  <w:szCs w:val="18"/>
                  <w:b w:val="1"/>
                  <w:bCs w:val="1"/>
                  <w:color w:val="0000EE"/>
                  <w:w w:val="89"/>
                </w:rPr>
                <w:t>28</w:t>
              </w:r>
            </w:hyperlink>
          </w:p>
        </w:tc>
      </w:tr>
      <w:tr>
        <w:trPr>
          <w:trHeight w:val="330"/>
        </w:trPr>
        <w:tc>
          <w:tcPr>
            <w:tcW w:w="3340" w:type="dxa"/>
            <w:vAlign w:val="bottom"/>
            <w:tcBorders>
              <w:bottom w:val="single" w:sz="8" w:color="0000EE"/>
            </w:tcBorders>
            <w:gridSpan w:val="18"/>
          </w:tcPr>
          <w:p>
            <w:pPr>
              <w:spacing w:after="0"/>
              <w:rPr>
                <w:rFonts w:ascii="Arial" w:cs="Arial" w:eastAsia="Arial" w:hAnsi="Arial"/>
                <w:sz w:val="18"/>
                <w:szCs w:val="18"/>
                <w:b w:val="1"/>
                <w:bCs w:val="1"/>
                <w:color w:val="0000EE"/>
                <w:w w:val="97"/>
              </w:rPr>
            </w:pPr>
            <w:hyperlink w:anchor="page30">
              <w:r>
                <w:rPr>
                  <w:rFonts w:ascii="Arial" w:cs="Arial" w:eastAsia="Arial" w:hAnsi="Arial"/>
                  <w:sz w:val="18"/>
                  <w:szCs w:val="18"/>
                  <w:b w:val="1"/>
                  <w:bCs w:val="1"/>
                  <w:color w:val="0000EE"/>
                  <w:w w:val="97"/>
                </w:rPr>
                <w:t>Compensation Discussion and Analysis</w:t>
              </w:r>
            </w:hyperlink>
          </w:p>
        </w:tc>
        <w:tc>
          <w:tcPr>
            <w:tcW w:w="6020" w:type="dxa"/>
            <w:vAlign w:val="bottom"/>
            <w:gridSpan w:val="11"/>
          </w:tcPr>
          <w:p>
            <w:pPr>
              <w:spacing w:after="0"/>
              <w:rPr>
                <w:sz w:val="24"/>
                <w:szCs w:val="24"/>
                <w:color w:val="auto"/>
              </w:rPr>
            </w:pPr>
          </w:p>
        </w:tc>
        <w:tc>
          <w:tcPr>
            <w:tcW w:w="186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30">
              <w:r>
                <w:rPr>
                  <w:rFonts w:ascii="Arial" w:cs="Arial" w:eastAsia="Arial" w:hAnsi="Arial"/>
                  <w:sz w:val="18"/>
                  <w:szCs w:val="18"/>
                  <w:b w:val="1"/>
                  <w:bCs w:val="1"/>
                  <w:color w:val="0000EE"/>
                  <w:w w:val="89"/>
                </w:rPr>
                <w:t>28</w:t>
              </w:r>
            </w:hyperlink>
          </w:p>
        </w:tc>
      </w:tr>
      <w:tr>
        <w:trPr>
          <w:trHeight w:val="330"/>
        </w:trPr>
        <w:tc>
          <w:tcPr>
            <w:tcW w:w="9360" w:type="dxa"/>
            <w:vAlign w:val="bottom"/>
            <w:gridSpan w:val="29"/>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Executive Compensation Tables</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47</w:t>
              </w:r>
            </w:hyperlink>
          </w:p>
        </w:tc>
      </w:tr>
      <w:tr>
        <w:trPr>
          <w:trHeight w:val="330"/>
        </w:trPr>
        <w:tc>
          <w:tcPr>
            <w:tcW w:w="2680" w:type="dxa"/>
            <w:vAlign w:val="bottom"/>
            <w:tcBorders>
              <w:top w:val="single" w:sz="8" w:color="0000EE"/>
            </w:tcBorders>
            <w:gridSpan w:val="9"/>
          </w:tcPr>
          <w:p>
            <w:pPr>
              <w:spacing w:after="0"/>
              <w:rPr>
                <w:rFonts w:ascii="Arial" w:cs="Arial" w:eastAsia="Arial" w:hAnsi="Arial"/>
                <w:sz w:val="18"/>
                <w:szCs w:val="18"/>
                <w:b w:val="1"/>
                <w:bCs w:val="1"/>
                <w:color w:val="345988"/>
              </w:rPr>
            </w:pPr>
            <w:hyperlink w:anchor="page61">
              <w:r>
                <w:rPr>
                  <w:rFonts w:ascii="Arial" w:cs="Arial" w:eastAsia="Arial" w:hAnsi="Arial"/>
                  <w:sz w:val="18"/>
                  <w:szCs w:val="18"/>
                  <w:b w:val="1"/>
                  <w:bCs w:val="1"/>
                  <w:color w:val="345988"/>
                </w:rPr>
                <w:t>AUDIT COMMITTEE MATTERS</w:t>
              </w:r>
            </w:hyperlink>
          </w:p>
        </w:tc>
        <w:tc>
          <w:tcPr>
            <w:tcW w:w="6680" w:type="dxa"/>
            <w:vAlign w:val="bottom"/>
            <w:gridSpan w:val="20"/>
          </w:tcPr>
          <w:p>
            <w:pPr>
              <w:spacing w:after="0"/>
              <w:rPr>
                <w:sz w:val="24"/>
                <w:szCs w:val="24"/>
                <w:color w:val="auto"/>
              </w:rPr>
            </w:pPr>
          </w:p>
        </w:tc>
        <w:tc>
          <w:tcPr>
            <w:tcW w:w="1860" w:type="dxa"/>
            <w:vAlign w:val="bottom"/>
            <w:gridSpan w:val="2"/>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b w:val="1"/>
                <w:bCs w:val="1"/>
                <w:color w:val="0000EE"/>
                <w:w w:val="89"/>
              </w:rPr>
            </w:pPr>
            <w:hyperlink w:anchor="page61">
              <w:r>
                <w:rPr>
                  <w:rFonts w:ascii="Arial" w:cs="Arial" w:eastAsia="Arial" w:hAnsi="Arial"/>
                  <w:sz w:val="18"/>
                  <w:szCs w:val="18"/>
                  <w:b w:val="1"/>
                  <w:bCs w:val="1"/>
                  <w:color w:val="0000EE"/>
                  <w:w w:val="89"/>
                </w:rPr>
                <w:t>58</w:t>
              </w:r>
            </w:hyperlink>
          </w:p>
        </w:tc>
      </w:tr>
      <w:tr>
        <w:trPr>
          <w:trHeight w:val="88"/>
        </w:trPr>
        <w:tc>
          <w:tcPr>
            <w:tcW w:w="1140" w:type="dxa"/>
            <w:vAlign w:val="bottom"/>
            <w:tcBorders>
              <w:top w:val="single" w:sz="8" w:color="345988"/>
              <w:bottom w:val="single" w:sz="8" w:color="8591A9"/>
            </w:tcBorders>
          </w:tcPr>
          <w:p>
            <w:pPr>
              <w:spacing w:after="0"/>
              <w:rPr>
                <w:sz w:val="7"/>
                <w:szCs w:val="7"/>
                <w:color w:val="auto"/>
              </w:rPr>
            </w:pPr>
          </w:p>
        </w:tc>
        <w:tc>
          <w:tcPr>
            <w:tcW w:w="140" w:type="dxa"/>
            <w:vAlign w:val="bottom"/>
            <w:tcBorders>
              <w:top w:val="single" w:sz="8" w:color="345988"/>
              <w:bottom w:val="single" w:sz="8" w:color="8591A9"/>
            </w:tcBorders>
          </w:tcPr>
          <w:p>
            <w:pPr>
              <w:spacing w:after="0"/>
              <w:rPr>
                <w:sz w:val="7"/>
                <w:szCs w:val="7"/>
                <w:color w:val="auto"/>
              </w:rPr>
            </w:pPr>
          </w:p>
        </w:tc>
        <w:tc>
          <w:tcPr>
            <w:tcW w:w="280" w:type="dxa"/>
            <w:vAlign w:val="bottom"/>
            <w:tcBorders>
              <w:top w:val="single" w:sz="8" w:color="345988"/>
              <w:bottom w:val="single" w:sz="8" w:color="8591A9"/>
            </w:tcBorders>
          </w:tcPr>
          <w:p>
            <w:pPr>
              <w:spacing w:after="0"/>
              <w:rPr>
                <w:sz w:val="7"/>
                <w:szCs w:val="7"/>
                <w:color w:val="auto"/>
              </w:rPr>
            </w:pPr>
          </w:p>
        </w:tc>
        <w:tc>
          <w:tcPr>
            <w:tcW w:w="34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44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16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2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20" w:type="dxa"/>
            <w:vAlign w:val="bottom"/>
            <w:tcBorders>
              <w:bottom w:val="single" w:sz="8" w:color="8591A9"/>
            </w:tcBorders>
          </w:tcPr>
          <w:p>
            <w:pPr>
              <w:spacing w:after="0"/>
              <w:rPr>
                <w:sz w:val="7"/>
                <w:szCs w:val="7"/>
                <w:color w:val="auto"/>
              </w:rPr>
            </w:pPr>
          </w:p>
        </w:tc>
        <w:tc>
          <w:tcPr>
            <w:tcW w:w="26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880" w:type="dxa"/>
            <w:vAlign w:val="bottom"/>
            <w:tcBorders>
              <w:bottom w:val="single" w:sz="8" w:color="8591A9"/>
            </w:tcBorders>
          </w:tcPr>
          <w:p>
            <w:pPr>
              <w:spacing w:after="0"/>
              <w:rPr>
                <w:sz w:val="7"/>
                <w:szCs w:val="7"/>
                <w:color w:val="auto"/>
              </w:rPr>
            </w:pPr>
          </w:p>
        </w:tc>
        <w:tc>
          <w:tcPr>
            <w:tcW w:w="180" w:type="dxa"/>
            <w:vAlign w:val="bottom"/>
            <w:tcBorders>
              <w:bottom w:val="single" w:sz="8" w:color="8591A9"/>
            </w:tcBorders>
          </w:tcPr>
          <w:p>
            <w:pPr>
              <w:spacing w:after="0"/>
              <w:rPr>
                <w:sz w:val="7"/>
                <w:szCs w:val="7"/>
                <w:color w:val="auto"/>
              </w:rPr>
            </w:pPr>
          </w:p>
        </w:tc>
        <w:tc>
          <w:tcPr>
            <w:tcW w:w="440" w:type="dxa"/>
            <w:vAlign w:val="bottom"/>
            <w:tcBorders>
              <w:bottom w:val="single" w:sz="8" w:color="8591A9"/>
            </w:tcBorders>
          </w:tcPr>
          <w:p>
            <w:pPr>
              <w:spacing w:after="0"/>
              <w:rPr>
                <w:sz w:val="7"/>
                <w:szCs w:val="7"/>
                <w:color w:val="auto"/>
              </w:rPr>
            </w:pPr>
          </w:p>
        </w:tc>
        <w:tc>
          <w:tcPr>
            <w:tcW w:w="340" w:type="dxa"/>
            <w:vAlign w:val="bottom"/>
            <w:tcBorders>
              <w:bottom w:val="single" w:sz="8" w:color="8591A9"/>
            </w:tcBorders>
          </w:tcPr>
          <w:p>
            <w:pPr>
              <w:spacing w:after="0"/>
              <w:rPr>
                <w:sz w:val="7"/>
                <w:szCs w:val="7"/>
                <w:color w:val="auto"/>
              </w:rPr>
            </w:pPr>
          </w:p>
        </w:tc>
        <w:tc>
          <w:tcPr>
            <w:tcW w:w="10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22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1160" w:type="dxa"/>
            <w:vAlign w:val="bottom"/>
            <w:tcBorders>
              <w:bottom w:val="single" w:sz="8" w:color="8591A9"/>
            </w:tcBorders>
          </w:tcPr>
          <w:p>
            <w:pPr>
              <w:spacing w:after="0"/>
              <w:rPr>
                <w:sz w:val="7"/>
                <w:szCs w:val="7"/>
                <w:color w:val="auto"/>
              </w:rPr>
            </w:pPr>
          </w:p>
        </w:tc>
        <w:tc>
          <w:tcPr>
            <w:tcW w:w="82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r>
      <w:tr>
        <w:trPr>
          <w:trHeight w:val="236"/>
        </w:trPr>
        <w:tc>
          <w:tcPr>
            <w:tcW w:w="7580" w:type="dxa"/>
            <w:vAlign w:val="bottom"/>
            <w:tcBorders>
              <w:bottom w:val="single" w:sz="8" w:color="0000EE"/>
            </w:tcBorders>
            <w:gridSpan w:val="28"/>
          </w:tcPr>
          <w:p>
            <w:pPr>
              <w:spacing w:after="0"/>
              <w:rPr>
                <w:rFonts w:ascii="Arial" w:cs="Arial" w:eastAsia="Arial" w:hAnsi="Arial"/>
                <w:sz w:val="18"/>
                <w:szCs w:val="18"/>
                <w:b w:val="1"/>
                <w:bCs w:val="1"/>
                <w:color w:val="0000EE"/>
                <w:w w:val="97"/>
              </w:rPr>
            </w:pPr>
            <w:hyperlink w:anchor="page61">
              <w:r>
                <w:rPr>
                  <w:rFonts w:ascii="Arial" w:cs="Arial" w:eastAsia="Arial" w:hAnsi="Arial"/>
                  <w:sz w:val="18"/>
                  <w:szCs w:val="18"/>
                  <w:b w:val="1"/>
                  <w:bCs w:val="1"/>
                  <w:color w:val="0000EE"/>
                  <w:w w:val="97"/>
                </w:rPr>
                <w:t>Proposal 3: Ratification of Appointment of Independent Registered Public Accounting Firm</w:t>
              </w:r>
            </w:hyperlink>
          </w:p>
        </w:tc>
        <w:tc>
          <w:tcPr>
            <w:tcW w:w="1780" w:type="dxa"/>
            <w:vAlign w:val="bottom"/>
          </w:tcPr>
          <w:p>
            <w:pPr>
              <w:spacing w:after="0"/>
              <w:rPr>
                <w:sz w:val="20"/>
                <w:szCs w:val="20"/>
                <w:color w:val="auto"/>
              </w:rPr>
            </w:pPr>
          </w:p>
        </w:tc>
        <w:tc>
          <w:tcPr>
            <w:tcW w:w="1860" w:type="dxa"/>
            <w:vAlign w:val="bottom"/>
            <w:gridSpan w:val="2"/>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61">
              <w:r>
                <w:rPr>
                  <w:rFonts w:ascii="Arial" w:cs="Arial" w:eastAsia="Arial" w:hAnsi="Arial"/>
                  <w:sz w:val="18"/>
                  <w:szCs w:val="18"/>
                  <w:b w:val="1"/>
                  <w:bCs w:val="1"/>
                  <w:color w:val="0000EE"/>
                  <w:w w:val="89"/>
                </w:rPr>
                <w:t>58</w:t>
              </w:r>
            </w:hyperlink>
          </w:p>
        </w:tc>
      </w:tr>
      <w:tr>
        <w:trPr>
          <w:trHeight w:val="330"/>
        </w:trPr>
        <w:tc>
          <w:tcPr>
            <w:tcW w:w="9360" w:type="dxa"/>
            <w:vAlign w:val="bottom"/>
            <w:gridSpan w:val="29"/>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Audit Committee Report</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58</w:t>
              </w:r>
            </w:hyperlink>
          </w:p>
        </w:tc>
      </w:tr>
      <w:tr>
        <w:trPr>
          <w:trHeight w:val="330"/>
        </w:trPr>
        <w:tc>
          <w:tcPr>
            <w:tcW w:w="12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6"/>
              </w:rPr>
            </w:pPr>
            <w:hyperlink w:anchor="page62">
              <w:r>
                <w:rPr>
                  <w:rFonts w:ascii="Arial" w:cs="Arial" w:eastAsia="Arial" w:hAnsi="Arial"/>
                  <w:sz w:val="18"/>
                  <w:szCs w:val="18"/>
                  <w:b w:val="1"/>
                  <w:bCs w:val="1"/>
                  <w:color w:val="0000EE"/>
                  <w:w w:val="96"/>
                </w:rPr>
                <w:t>Fee Disclosure</w:t>
              </w:r>
            </w:hyperlink>
          </w:p>
        </w:tc>
        <w:tc>
          <w:tcPr>
            <w:tcW w:w="740" w:type="dxa"/>
            <w:vAlign w:val="bottom"/>
            <w:tcBorders>
              <w:top w:val="single" w:sz="8" w:color="0000EE"/>
            </w:tcBorders>
            <w:gridSpan w:val="4"/>
          </w:tcPr>
          <w:p>
            <w:pPr>
              <w:spacing w:after="0"/>
              <w:rPr>
                <w:sz w:val="24"/>
                <w:szCs w:val="24"/>
                <w:color w:val="auto"/>
              </w:rPr>
            </w:pPr>
          </w:p>
        </w:tc>
        <w:tc>
          <w:tcPr>
            <w:tcW w:w="7340" w:type="dxa"/>
            <w:vAlign w:val="bottom"/>
            <w:gridSpan w:val="23"/>
          </w:tcPr>
          <w:p>
            <w:pPr>
              <w:spacing w:after="0"/>
              <w:rPr>
                <w:sz w:val="24"/>
                <w:szCs w:val="24"/>
                <w:color w:val="auto"/>
              </w:rPr>
            </w:pPr>
          </w:p>
        </w:tc>
        <w:tc>
          <w:tcPr>
            <w:tcW w:w="1860" w:type="dxa"/>
            <w:vAlign w:val="bottom"/>
            <w:gridSpan w:val="2"/>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89"/>
              </w:rPr>
            </w:pPr>
            <w:hyperlink w:anchor="page62">
              <w:r>
                <w:rPr>
                  <w:rFonts w:ascii="Arial" w:cs="Arial" w:eastAsia="Arial" w:hAnsi="Arial"/>
                  <w:sz w:val="18"/>
                  <w:szCs w:val="18"/>
                  <w:b w:val="1"/>
                  <w:bCs w:val="1"/>
                  <w:color w:val="0000EE"/>
                  <w:w w:val="89"/>
                </w:rPr>
                <w:t>59</w:t>
              </w:r>
            </w:hyperlink>
          </w:p>
        </w:tc>
      </w:tr>
      <w:tr>
        <w:trPr>
          <w:trHeight w:val="330"/>
        </w:trPr>
        <w:tc>
          <w:tcPr>
            <w:tcW w:w="9360" w:type="dxa"/>
            <w:vAlign w:val="bottom"/>
            <w:gridSpan w:val="29"/>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Pre-Approval Policies and Procedures of our Audit Committee</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59</w:t>
              </w:r>
            </w:hyperlink>
          </w:p>
        </w:tc>
      </w:tr>
      <w:tr>
        <w:trPr>
          <w:trHeight w:val="330"/>
        </w:trPr>
        <w:tc>
          <w:tcPr>
            <w:tcW w:w="5180" w:type="dxa"/>
            <w:vAlign w:val="bottom"/>
            <w:tcBorders>
              <w:top w:val="single" w:sz="8" w:color="0000EE"/>
            </w:tcBorders>
            <w:gridSpan w:val="22"/>
          </w:tcPr>
          <w:p>
            <w:pPr>
              <w:spacing w:after="0"/>
              <w:rPr>
                <w:rFonts w:ascii="Arial" w:cs="Arial" w:eastAsia="Arial" w:hAnsi="Arial"/>
                <w:sz w:val="18"/>
                <w:szCs w:val="18"/>
                <w:b w:val="1"/>
                <w:bCs w:val="1"/>
                <w:color w:val="345988"/>
              </w:rPr>
            </w:pPr>
            <w:hyperlink w:anchor="page63">
              <w:r>
                <w:rPr>
                  <w:rFonts w:ascii="Arial" w:cs="Arial" w:eastAsia="Arial" w:hAnsi="Arial"/>
                  <w:sz w:val="18"/>
                  <w:szCs w:val="18"/>
                  <w:b w:val="1"/>
                  <w:bCs w:val="1"/>
                  <w:color w:val="345988"/>
                </w:rPr>
                <w:t>STOCK OWNERSHIP INFORMATION</w:t>
              </w:r>
            </w:hyperlink>
          </w:p>
        </w:tc>
        <w:tc>
          <w:tcPr>
            <w:tcW w:w="4180" w:type="dxa"/>
            <w:vAlign w:val="bottom"/>
            <w:gridSpan w:val="7"/>
          </w:tcPr>
          <w:p>
            <w:pPr>
              <w:spacing w:after="0"/>
              <w:rPr>
                <w:sz w:val="24"/>
                <w:szCs w:val="24"/>
                <w:color w:val="auto"/>
              </w:rPr>
            </w:pPr>
          </w:p>
        </w:tc>
        <w:tc>
          <w:tcPr>
            <w:tcW w:w="1860" w:type="dxa"/>
            <w:vAlign w:val="bottom"/>
            <w:gridSpan w:val="2"/>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b w:val="1"/>
                <w:bCs w:val="1"/>
                <w:color w:val="0000EE"/>
                <w:w w:val="89"/>
              </w:rPr>
            </w:pPr>
            <w:hyperlink w:anchor="page63">
              <w:r>
                <w:rPr>
                  <w:rFonts w:ascii="Arial" w:cs="Arial" w:eastAsia="Arial" w:hAnsi="Arial"/>
                  <w:sz w:val="18"/>
                  <w:szCs w:val="18"/>
                  <w:b w:val="1"/>
                  <w:bCs w:val="1"/>
                  <w:color w:val="0000EE"/>
                  <w:w w:val="89"/>
                </w:rPr>
                <w:t>60</w:t>
              </w:r>
            </w:hyperlink>
          </w:p>
        </w:tc>
      </w:tr>
      <w:tr>
        <w:trPr>
          <w:trHeight w:val="88"/>
        </w:trPr>
        <w:tc>
          <w:tcPr>
            <w:tcW w:w="1140" w:type="dxa"/>
            <w:vAlign w:val="bottom"/>
            <w:tcBorders>
              <w:top w:val="single" w:sz="8" w:color="345988"/>
              <w:bottom w:val="single" w:sz="8" w:color="8591A9"/>
            </w:tcBorders>
          </w:tcPr>
          <w:p>
            <w:pPr>
              <w:spacing w:after="0"/>
              <w:rPr>
                <w:sz w:val="7"/>
                <w:szCs w:val="7"/>
                <w:color w:val="auto"/>
              </w:rPr>
            </w:pPr>
          </w:p>
        </w:tc>
        <w:tc>
          <w:tcPr>
            <w:tcW w:w="140" w:type="dxa"/>
            <w:vAlign w:val="bottom"/>
            <w:tcBorders>
              <w:top w:val="single" w:sz="8" w:color="345988"/>
              <w:bottom w:val="single" w:sz="8" w:color="8591A9"/>
            </w:tcBorders>
          </w:tcPr>
          <w:p>
            <w:pPr>
              <w:spacing w:after="0"/>
              <w:rPr>
                <w:sz w:val="7"/>
                <w:szCs w:val="7"/>
                <w:color w:val="auto"/>
              </w:rPr>
            </w:pPr>
          </w:p>
        </w:tc>
        <w:tc>
          <w:tcPr>
            <w:tcW w:w="280" w:type="dxa"/>
            <w:vAlign w:val="bottom"/>
            <w:tcBorders>
              <w:top w:val="single" w:sz="8" w:color="345988"/>
              <w:bottom w:val="single" w:sz="8" w:color="8591A9"/>
            </w:tcBorders>
          </w:tcPr>
          <w:p>
            <w:pPr>
              <w:spacing w:after="0"/>
              <w:rPr>
                <w:sz w:val="7"/>
                <w:szCs w:val="7"/>
                <w:color w:val="auto"/>
              </w:rPr>
            </w:pPr>
          </w:p>
        </w:tc>
        <w:tc>
          <w:tcPr>
            <w:tcW w:w="34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44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16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2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20" w:type="dxa"/>
            <w:vAlign w:val="bottom"/>
            <w:tcBorders>
              <w:top w:val="single" w:sz="8" w:color="345988"/>
              <w:bottom w:val="single" w:sz="8" w:color="8591A9"/>
            </w:tcBorders>
          </w:tcPr>
          <w:p>
            <w:pPr>
              <w:spacing w:after="0"/>
              <w:rPr>
                <w:sz w:val="7"/>
                <w:szCs w:val="7"/>
                <w:color w:val="auto"/>
              </w:rPr>
            </w:pPr>
          </w:p>
        </w:tc>
        <w:tc>
          <w:tcPr>
            <w:tcW w:w="26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880" w:type="dxa"/>
            <w:vAlign w:val="bottom"/>
            <w:tcBorders>
              <w:bottom w:val="single" w:sz="8" w:color="8591A9"/>
            </w:tcBorders>
          </w:tcPr>
          <w:p>
            <w:pPr>
              <w:spacing w:after="0"/>
              <w:rPr>
                <w:sz w:val="7"/>
                <w:szCs w:val="7"/>
                <w:color w:val="auto"/>
              </w:rPr>
            </w:pPr>
          </w:p>
        </w:tc>
        <w:tc>
          <w:tcPr>
            <w:tcW w:w="180" w:type="dxa"/>
            <w:vAlign w:val="bottom"/>
            <w:tcBorders>
              <w:bottom w:val="single" w:sz="8" w:color="8591A9"/>
            </w:tcBorders>
          </w:tcPr>
          <w:p>
            <w:pPr>
              <w:spacing w:after="0"/>
              <w:rPr>
                <w:sz w:val="7"/>
                <w:szCs w:val="7"/>
                <w:color w:val="auto"/>
              </w:rPr>
            </w:pPr>
          </w:p>
        </w:tc>
        <w:tc>
          <w:tcPr>
            <w:tcW w:w="440" w:type="dxa"/>
            <w:vAlign w:val="bottom"/>
            <w:tcBorders>
              <w:bottom w:val="single" w:sz="8" w:color="8591A9"/>
            </w:tcBorders>
          </w:tcPr>
          <w:p>
            <w:pPr>
              <w:spacing w:after="0"/>
              <w:rPr>
                <w:sz w:val="7"/>
                <w:szCs w:val="7"/>
                <w:color w:val="auto"/>
              </w:rPr>
            </w:pPr>
          </w:p>
        </w:tc>
        <w:tc>
          <w:tcPr>
            <w:tcW w:w="340" w:type="dxa"/>
            <w:vAlign w:val="bottom"/>
            <w:tcBorders>
              <w:bottom w:val="single" w:sz="8" w:color="8591A9"/>
            </w:tcBorders>
          </w:tcPr>
          <w:p>
            <w:pPr>
              <w:spacing w:after="0"/>
              <w:rPr>
                <w:sz w:val="7"/>
                <w:szCs w:val="7"/>
                <w:color w:val="auto"/>
              </w:rPr>
            </w:pPr>
          </w:p>
        </w:tc>
        <w:tc>
          <w:tcPr>
            <w:tcW w:w="10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22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1160" w:type="dxa"/>
            <w:vAlign w:val="bottom"/>
            <w:tcBorders>
              <w:bottom w:val="single" w:sz="8" w:color="8591A9"/>
            </w:tcBorders>
          </w:tcPr>
          <w:p>
            <w:pPr>
              <w:spacing w:after="0"/>
              <w:rPr>
                <w:sz w:val="7"/>
                <w:szCs w:val="7"/>
                <w:color w:val="auto"/>
              </w:rPr>
            </w:pPr>
          </w:p>
        </w:tc>
        <w:tc>
          <w:tcPr>
            <w:tcW w:w="82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r>
      <w:tr>
        <w:trPr>
          <w:trHeight w:val="236"/>
        </w:trPr>
        <w:tc>
          <w:tcPr>
            <w:tcW w:w="9360" w:type="dxa"/>
            <w:vAlign w:val="bottom"/>
            <w:gridSpan w:val="29"/>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Security Ownership of Certain Beneficial Owners and Management</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60</w:t>
              </w:r>
            </w:hyperlink>
          </w:p>
        </w:tc>
      </w:tr>
      <w:tr>
        <w:trPr>
          <w:trHeight w:val="330"/>
        </w:trPr>
        <w:tc>
          <w:tcPr>
            <w:tcW w:w="5560" w:type="dxa"/>
            <w:vAlign w:val="bottom"/>
            <w:tcBorders>
              <w:top w:val="single" w:sz="8" w:color="0000EE"/>
            </w:tcBorders>
            <w:gridSpan w:val="2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Section 16(a) Beneficial Ownership Reporting Compliance</w:t>
              </w:r>
            </w:hyperlink>
          </w:p>
        </w:tc>
        <w:tc>
          <w:tcPr>
            <w:tcW w:w="3800" w:type="dxa"/>
            <w:vAlign w:val="bottom"/>
            <w:gridSpan w:val="4"/>
          </w:tcPr>
          <w:p>
            <w:pPr>
              <w:spacing w:after="0"/>
              <w:rPr>
                <w:sz w:val="24"/>
                <w:szCs w:val="24"/>
                <w:color w:val="auto"/>
              </w:rPr>
            </w:pPr>
          </w:p>
        </w:tc>
        <w:tc>
          <w:tcPr>
            <w:tcW w:w="1860" w:type="dxa"/>
            <w:vAlign w:val="bottom"/>
            <w:gridSpan w:val="2"/>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b w:val="1"/>
                <w:bCs w:val="1"/>
                <w:color w:val="0000EE"/>
                <w:w w:val="89"/>
              </w:rPr>
            </w:pPr>
            <w:hyperlink w:anchor="page64">
              <w:r>
                <w:rPr>
                  <w:rFonts w:ascii="Arial" w:cs="Arial" w:eastAsia="Arial" w:hAnsi="Arial"/>
                  <w:sz w:val="18"/>
                  <w:szCs w:val="18"/>
                  <w:b w:val="1"/>
                  <w:bCs w:val="1"/>
                  <w:color w:val="0000EE"/>
                  <w:w w:val="89"/>
                </w:rPr>
                <w:t>61</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320" w:type="dxa"/>
            <w:vAlign w:val="bottom"/>
            <w:gridSpan w:val="15"/>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30"/>
        </w:trPr>
        <w:tc>
          <w:tcPr>
            <w:tcW w:w="9360" w:type="dxa"/>
            <w:vAlign w:val="bottom"/>
            <w:gridSpan w:val="29"/>
          </w:tcPr>
          <w:p>
            <w:pPr>
              <w:spacing w:after="0"/>
              <w:rPr>
                <w:rFonts w:ascii="Arial" w:cs="Arial" w:eastAsia="Arial" w:hAnsi="Arial"/>
                <w:sz w:val="18"/>
                <w:szCs w:val="18"/>
                <w:b w:val="1"/>
                <w:bCs w:val="1"/>
                <w:color w:val="345988"/>
              </w:rPr>
            </w:pPr>
            <w:hyperlink w:anchor="page65">
              <w:r>
                <w:rPr>
                  <w:rFonts w:ascii="Arial" w:cs="Arial" w:eastAsia="Arial" w:hAnsi="Arial"/>
                  <w:sz w:val="18"/>
                  <w:szCs w:val="18"/>
                  <w:b w:val="1"/>
                  <w:bCs w:val="1"/>
                  <w:color w:val="345988"/>
                </w:rPr>
                <w:t>CERTAIN RELATIONSHIPS AND RELATED PARTY TRANSACTIONS</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62</w:t>
              </w:r>
            </w:hyperlink>
          </w:p>
        </w:tc>
      </w:tr>
      <w:tr>
        <w:trPr>
          <w:trHeight w:val="88"/>
        </w:trPr>
        <w:tc>
          <w:tcPr>
            <w:tcW w:w="1140" w:type="dxa"/>
            <w:vAlign w:val="bottom"/>
            <w:tcBorders>
              <w:top w:val="single" w:sz="8" w:color="345988"/>
              <w:bottom w:val="single" w:sz="8" w:color="8591A9"/>
            </w:tcBorders>
          </w:tcPr>
          <w:p>
            <w:pPr>
              <w:spacing w:after="0"/>
              <w:rPr>
                <w:sz w:val="7"/>
                <w:szCs w:val="7"/>
                <w:color w:val="auto"/>
              </w:rPr>
            </w:pPr>
          </w:p>
        </w:tc>
        <w:tc>
          <w:tcPr>
            <w:tcW w:w="140" w:type="dxa"/>
            <w:vAlign w:val="bottom"/>
            <w:tcBorders>
              <w:top w:val="single" w:sz="8" w:color="345988"/>
              <w:bottom w:val="single" w:sz="8" w:color="8591A9"/>
            </w:tcBorders>
          </w:tcPr>
          <w:p>
            <w:pPr>
              <w:spacing w:after="0"/>
              <w:rPr>
                <w:sz w:val="7"/>
                <w:szCs w:val="7"/>
                <w:color w:val="auto"/>
              </w:rPr>
            </w:pPr>
          </w:p>
        </w:tc>
        <w:tc>
          <w:tcPr>
            <w:tcW w:w="280" w:type="dxa"/>
            <w:vAlign w:val="bottom"/>
            <w:tcBorders>
              <w:top w:val="single" w:sz="8" w:color="345988"/>
              <w:bottom w:val="single" w:sz="8" w:color="8591A9"/>
            </w:tcBorders>
          </w:tcPr>
          <w:p>
            <w:pPr>
              <w:spacing w:after="0"/>
              <w:rPr>
                <w:sz w:val="7"/>
                <w:szCs w:val="7"/>
                <w:color w:val="auto"/>
              </w:rPr>
            </w:pPr>
          </w:p>
        </w:tc>
        <w:tc>
          <w:tcPr>
            <w:tcW w:w="34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44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16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2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80" w:type="dxa"/>
            <w:vAlign w:val="bottom"/>
            <w:tcBorders>
              <w:top w:val="single" w:sz="8" w:color="345988"/>
              <w:bottom w:val="single" w:sz="8" w:color="8591A9"/>
            </w:tcBorders>
          </w:tcPr>
          <w:p>
            <w:pPr>
              <w:spacing w:after="0"/>
              <w:rPr>
                <w:sz w:val="7"/>
                <w:szCs w:val="7"/>
                <w:color w:val="auto"/>
              </w:rPr>
            </w:pPr>
          </w:p>
        </w:tc>
        <w:tc>
          <w:tcPr>
            <w:tcW w:w="20" w:type="dxa"/>
            <w:vAlign w:val="bottom"/>
            <w:tcBorders>
              <w:top w:val="single" w:sz="8" w:color="345988"/>
              <w:bottom w:val="single" w:sz="8" w:color="8591A9"/>
            </w:tcBorders>
          </w:tcPr>
          <w:p>
            <w:pPr>
              <w:spacing w:after="0"/>
              <w:rPr>
                <w:sz w:val="7"/>
                <w:szCs w:val="7"/>
                <w:color w:val="auto"/>
              </w:rPr>
            </w:pPr>
          </w:p>
        </w:tc>
        <w:tc>
          <w:tcPr>
            <w:tcW w:w="26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880" w:type="dxa"/>
            <w:vAlign w:val="bottom"/>
            <w:tcBorders>
              <w:top w:val="single" w:sz="8" w:color="345988"/>
              <w:bottom w:val="single" w:sz="8" w:color="8591A9"/>
            </w:tcBorders>
          </w:tcPr>
          <w:p>
            <w:pPr>
              <w:spacing w:after="0"/>
              <w:rPr>
                <w:sz w:val="7"/>
                <w:szCs w:val="7"/>
                <w:color w:val="auto"/>
              </w:rPr>
            </w:pPr>
          </w:p>
        </w:tc>
        <w:tc>
          <w:tcPr>
            <w:tcW w:w="180" w:type="dxa"/>
            <w:vAlign w:val="bottom"/>
            <w:tcBorders>
              <w:top w:val="single" w:sz="8" w:color="345988"/>
              <w:bottom w:val="single" w:sz="8" w:color="8591A9"/>
            </w:tcBorders>
          </w:tcPr>
          <w:p>
            <w:pPr>
              <w:spacing w:after="0"/>
              <w:rPr>
                <w:sz w:val="7"/>
                <w:szCs w:val="7"/>
                <w:color w:val="auto"/>
              </w:rPr>
            </w:pPr>
          </w:p>
        </w:tc>
        <w:tc>
          <w:tcPr>
            <w:tcW w:w="440" w:type="dxa"/>
            <w:vAlign w:val="bottom"/>
            <w:tcBorders>
              <w:top w:val="single" w:sz="8" w:color="345988"/>
              <w:bottom w:val="single" w:sz="8" w:color="8591A9"/>
            </w:tcBorders>
          </w:tcPr>
          <w:p>
            <w:pPr>
              <w:spacing w:after="0"/>
              <w:rPr>
                <w:sz w:val="7"/>
                <w:szCs w:val="7"/>
                <w:color w:val="auto"/>
              </w:rPr>
            </w:pPr>
          </w:p>
        </w:tc>
        <w:tc>
          <w:tcPr>
            <w:tcW w:w="340" w:type="dxa"/>
            <w:vAlign w:val="bottom"/>
            <w:tcBorders>
              <w:top w:val="single" w:sz="8" w:color="345988"/>
              <w:bottom w:val="single" w:sz="8" w:color="8591A9"/>
            </w:tcBorders>
          </w:tcPr>
          <w:p>
            <w:pPr>
              <w:spacing w:after="0"/>
              <w:rPr>
                <w:sz w:val="7"/>
                <w:szCs w:val="7"/>
                <w:color w:val="auto"/>
              </w:rPr>
            </w:pPr>
          </w:p>
        </w:tc>
        <w:tc>
          <w:tcPr>
            <w:tcW w:w="100" w:type="dxa"/>
            <w:vAlign w:val="bottom"/>
            <w:tcBorders>
              <w:top w:val="single" w:sz="8" w:color="345988"/>
              <w:bottom w:val="single" w:sz="8" w:color="8591A9"/>
            </w:tcBorders>
          </w:tcPr>
          <w:p>
            <w:pPr>
              <w:spacing w:after="0"/>
              <w:rPr>
                <w:sz w:val="7"/>
                <w:szCs w:val="7"/>
                <w:color w:val="auto"/>
              </w:rPr>
            </w:pPr>
          </w:p>
        </w:tc>
        <w:tc>
          <w:tcPr>
            <w:tcW w:w="60" w:type="dxa"/>
            <w:vAlign w:val="bottom"/>
            <w:tcBorders>
              <w:top w:val="single" w:sz="8" w:color="345988"/>
              <w:bottom w:val="single" w:sz="8" w:color="8591A9"/>
            </w:tcBorders>
          </w:tcPr>
          <w:p>
            <w:pPr>
              <w:spacing w:after="0"/>
              <w:rPr>
                <w:sz w:val="7"/>
                <w:szCs w:val="7"/>
                <w:color w:val="auto"/>
              </w:rPr>
            </w:pPr>
          </w:p>
        </w:tc>
        <w:tc>
          <w:tcPr>
            <w:tcW w:w="220" w:type="dxa"/>
            <w:vAlign w:val="bottom"/>
            <w:tcBorders>
              <w:top w:val="single" w:sz="8" w:color="345988"/>
              <w:bottom w:val="single" w:sz="8" w:color="8591A9"/>
            </w:tcBorders>
          </w:tcPr>
          <w:p>
            <w:pPr>
              <w:spacing w:after="0"/>
              <w:rPr>
                <w:sz w:val="7"/>
                <w:szCs w:val="7"/>
                <w:color w:val="auto"/>
              </w:rPr>
            </w:pPr>
          </w:p>
        </w:tc>
        <w:tc>
          <w:tcPr>
            <w:tcW w:w="40" w:type="dxa"/>
            <w:vAlign w:val="bottom"/>
            <w:tcBorders>
              <w:top w:val="single" w:sz="8" w:color="345988"/>
              <w:bottom w:val="single" w:sz="8" w:color="8591A9"/>
            </w:tcBorders>
          </w:tcPr>
          <w:p>
            <w:pPr>
              <w:spacing w:after="0"/>
              <w:rPr>
                <w:sz w:val="7"/>
                <w:szCs w:val="7"/>
                <w:color w:val="auto"/>
              </w:rPr>
            </w:pPr>
          </w:p>
        </w:tc>
        <w:tc>
          <w:tcPr>
            <w:tcW w:w="1160" w:type="dxa"/>
            <w:vAlign w:val="bottom"/>
            <w:tcBorders>
              <w:bottom w:val="single" w:sz="8" w:color="8591A9"/>
            </w:tcBorders>
          </w:tcPr>
          <w:p>
            <w:pPr>
              <w:spacing w:after="0"/>
              <w:rPr>
                <w:sz w:val="7"/>
                <w:szCs w:val="7"/>
                <w:color w:val="auto"/>
              </w:rPr>
            </w:pPr>
          </w:p>
        </w:tc>
        <w:tc>
          <w:tcPr>
            <w:tcW w:w="82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r>
      <w:tr>
        <w:trPr>
          <w:trHeight w:val="236"/>
        </w:trPr>
        <w:tc>
          <w:tcPr>
            <w:tcW w:w="9360" w:type="dxa"/>
            <w:vAlign w:val="bottom"/>
            <w:gridSpan w:val="29"/>
          </w:tcPr>
          <w:p>
            <w:pPr>
              <w:spacing w:after="0"/>
              <w:rPr>
                <w:rFonts w:ascii="Arial" w:cs="Arial" w:eastAsia="Arial" w:hAnsi="Arial"/>
                <w:sz w:val="18"/>
                <w:szCs w:val="18"/>
                <w:b w:val="1"/>
                <w:bCs w:val="1"/>
                <w:color w:val="345988"/>
              </w:rPr>
            </w:pPr>
            <w:hyperlink w:anchor="page67">
              <w:r>
                <w:rPr>
                  <w:rFonts w:ascii="Arial" w:cs="Arial" w:eastAsia="Arial" w:hAnsi="Arial"/>
                  <w:sz w:val="18"/>
                  <w:szCs w:val="18"/>
                  <w:b w:val="1"/>
                  <w:bCs w:val="1"/>
                  <w:color w:val="345988"/>
                </w:rPr>
                <w:t>OTHER INFORMATION</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64</w:t>
              </w:r>
            </w:hyperlink>
          </w:p>
        </w:tc>
      </w:tr>
      <w:tr>
        <w:trPr>
          <w:trHeight w:val="88"/>
        </w:trPr>
        <w:tc>
          <w:tcPr>
            <w:tcW w:w="1140" w:type="dxa"/>
            <w:vAlign w:val="bottom"/>
            <w:tcBorders>
              <w:top w:val="single" w:sz="8" w:color="345988"/>
              <w:bottom w:val="single" w:sz="8" w:color="8591A9"/>
            </w:tcBorders>
          </w:tcPr>
          <w:p>
            <w:pPr>
              <w:spacing w:after="0"/>
              <w:rPr>
                <w:sz w:val="7"/>
                <w:szCs w:val="7"/>
                <w:color w:val="auto"/>
              </w:rPr>
            </w:pPr>
          </w:p>
        </w:tc>
        <w:tc>
          <w:tcPr>
            <w:tcW w:w="140" w:type="dxa"/>
            <w:vAlign w:val="bottom"/>
            <w:tcBorders>
              <w:top w:val="single" w:sz="8" w:color="345988"/>
              <w:bottom w:val="single" w:sz="8" w:color="8591A9"/>
            </w:tcBorders>
          </w:tcPr>
          <w:p>
            <w:pPr>
              <w:spacing w:after="0"/>
              <w:rPr>
                <w:sz w:val="7"/>
                <w:szCs w:val="7"/>
                <w:color w:val="auto"/>
              </w:rPr>
            </w:pPr>
          </w:p>
        </w:tc>
        <w:tc>
          <w:tcPr>
            <w:tcW w:w="280" w:type="dxa"/>
            <w:vAlign w:val="bottom"/>
            <w:tcBorders>
              <w:top w:val="single" w:sz="8" w:color="345988"/>
              <w:bottom w:val="single" w:sz="8" w:color="8591A9"/>
            </w:tcBorders>
          </w:tcPr>
          <w:p>
            <w:pPr>
              <w:spacing w:after="0"/>
              <w:rPr>
                <w:sz w:val="7"/>
                <w:szCs w:val="7"/>
                <w:color w:val="auto"/>
              </w:rPr>
            </w:pPr>
          </w:p>
        </w:tc>
        <w:tc>
          <w:tcPr>
            <w:tcW w:w="340" w:type="dxa"/>
            <w:vAlign w:val="bottom"/>
            <w:tcBorders>
              <w:top w:val="single" w:sz="8" w:color="345988"/>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44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16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2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20" w:type="dxa"/>
            <w:vAlign w:val="bottom"/>
            <w:tcBorders>
              <w:bottom w:val="single" w:sz="8" w:color="8591A9"/>
            </w:tcBorders>
          </w:tcPr>
          <w:p>
            <w:pPr>
              <w:spacing w:after="0"/>
              <w:rPr>
                <w:sz w:val="7"/>
                <w:szCs w:val="7"/>
                <w:color w:val="auto"/>
              </w:rPr>
            </w:pPr>
          </w:p>
        </w:tc>
        <w:tc>
          <w:tcPr>
            <w:tcW w:w="26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880" w:type="dxa"/>
            <w:vAlign w:val="bottom"/>
            <w:tcBorders>
              <w:bottom w:val="single" w:sz="8" w:color="8591A9"/>
            </w:tcBorders>
          </w:tcPr>
          <w:p>
            <w:pPr>
              <w:spacing w:after="0"/>
              <w:rPr>
                <w:sz w:val="7"/>
                <w:szCs w:val="7"/>
                <w:color w:val="auto"/>
              </w:rPr>
            </w:pPr>
          </w:p>
        </w:tc>
        <w:tc>
          <w:tcPr>
            <w:tcW w:w="180" w:type="dxa"/>
            <w:vAlign w:val="bottom"/>
            <w:tcBorders>
              <w:bottom w:val="single" w:sz="8" w:color="8591A9"/>
            </w:tcBorders>
          </w:tcPr>
          <w:p>
            <w:pPr>
              <w:spacing w:after="0"/>
              <w:rPr>
                <w:sz w:val="7"/>
                <w:szCs w:val="7"/>
                <w:color w:val="auto"/>
              </w:rPr>
            </w:pPr>
          </w:p>
        </w:tc>
        <w:tc>
          <w:tcPr>
            <w:tcW w:w="440" w:type="dxa"/>
            <w:vAlign w:val="bottom"/>
            <w:tcBorders>
              <w:bottom w:val="single" w:sz="8" w:color="8591A9"/>
            </w:tcBorders>
          </w:tcPr>
          <w:p>
            <w:pPr>
              <w:spacing w:after="0"/>
              <w:rPr>
                <w:sz w:val="7"/>
                <w:szCs w:val="7"/>
                <w:color w:val="auto"/>
              </w:rPr>
            </w:pPr>
          </w:p>
        </w:tc>
        <w:tc>
          <w:tcPr>
            <w:tcW w:w="340" w:type="dxa"/>
            <w:vAlign w:val="bottom"/>
            <w:tcBorders>
              <w:bottom w:val="single" w:sz="8" w:color="8591A9"/>
            </w:tcBorders>
          </w:tcPr>
          <w:p>
            <w:pPr>
              <w:spacing w:after="0"/>
              <w:rPr>
                <w:sz w:val="7"/>
                <w:szCs w:val="7"/>
                <w:color w:val="auto"/>
              </w:rPr>
            </w:pPr>
          </w:p>
        </w:tc>
        <w:tc>
          <w:tcPr>
            <w:tcW w:w="100" w:type="dxa"/>
            <w:vAlign w:val="bottom"/>
            <w:tcBorders>
              <w:bottom w:val="single" w:sz="8" w:color="8591A9"/>
            </w:tcBorders>
          </w:tcPr>
          <w:p>
            <w:pPr>
              <w:spacing w:after="0"/>
              <w:rPr>
                <w:sz w:val="7"/>
                <w:szCs w:val="7"/>
                <w:color w:val="auto"/>
              </w:rPr>
            </w:pPr>
          </w:p>
        </w:tc>
        <w:tc>
          <w:tcPr>
            <w:tcW w:w="60" w:type="dxa"/>
            <w:vAlign w:val="bottom"/>
            <w:tcBorders>
              <w:bottom w:val="single" w:sz="8" w:color="8591A9"/>
            </w:tcBorders>
          </w:tcPr>
          <w:p>
            <w:pPr>
              <w:spacing w:after="0"/>
              <w:rPr>
                <w:sz w:val="7"/>
                <w:szCs w:val="7"/>
                <w:color w:val="auto"/>
              </w:rPr>
            </w:pPr>
          </w:p>
        </w:tc>
        <w:tc>
          <w:tcPr>
            <w:tcW w:w="220" w:type="dxa"/>
            <w:vAlign w:val="bottom"/>
            <w:tcBorders>
              <w:bottom w:val="single" w:sz="8" w:color="8591A9"/>
            </w:tcBorders>
          </w:tcPr>
          <w:p>
            <w:pPr>
              <w:spacing w:after="0"/>
              <w:rPr>
                <w:sz w:val="7"/>
                <w:szCs w:val="7"/>
                <w:color w:val="auto"/>
              </w:rPr>
            </w:pPr>
          </w:p>
        </w:tc>
        <w:tc>
          <w:tcPr>
            <w:tcW w:w="40" w:type="dxa"/>
            <w:vAlign w:val="bottom"/>
            <w:tcBorders>
              <w:bottom w:val="single" w:sz="8" w:color="8591A9"/>
            </w:tcBorders>
          </w:tcPr>
          <w:p>
            <w:pPr>
              <w:spacing w:after="0"/>
              <w:rPr>
                <w:sz w:val="7"/>
                <w:szCs w:val="7"/>
                <w:color w:val="auto"/>
              </w:rPr>
            </w:pPr>
          </w:p>
        </w:tc>
        <w:tc>
          <w:tcPr>
            <w:tcW w:w="1160" w:type="dxa"/>
            <w:vAlign w:val="bottom"/>
            <w:tcBorders>
              <w:bottom w:val="single" w:sz="8" w:color="8591A9"/>
            </w:tcBorders>
          </w:tcPr>
          <w:p>
            <w:pPr>
              <w:spacing w:after="0"/>
              <w:rPr>
                <w:sz w:val="7"/>
                <w:szCs w:val="7"/>
                <w:color w:val="auto"/>
              </w:rPr>
            </w:pPr>
          </w:p>
        </w:tc>
        <w:tc>
          <w:tcPr>
            <w:tcW w:w="82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1780" w:type="dxa"/>
            <w:vAlign w:val="bottom"/>
            <w:tcBorders>
              <w:bottom w:val="single" w:sz="8" w:color="8591A9"/>
            </w:tcBorders>
          </w:tcPr>
          <w:p>
            <w:pPr>
              <w:spacing w:after="0"/>
              <w:rPr>
                <w:sz w:val="7"/>
                <w:szCs w:val="7"/>
                <w:color w:val="auto"/>
              </w:rPr>
            </w:pPr>
          </w:p>
        </w:tc>
        <w:tc>
          <w:tcPr>
            <w:tcW w:w="80" w:type="dxa"/>
            <w:vAlign w:val="bottom"/>
            <w:tcBorders>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c>
          <w:tcPr>
            <w:tcW w:w="100" w:type="dxa"/>
            <w:vAlign w:val="bottom"/>
            <w:tcBorders>
              <w:top w:val="single" w:sz="8" w:color="0000EE"/>
              <w:bottom w:val="single" w:sz="8" w:color="8591A9"/>
            </w:tcBorders>
          </w:tcPr>
          <w:p>
            <w:pPr>
              <w:spacing w:after="0"/>
              <w:rPr>
                <w:sz w:val="7"/>
                <w:szCs w:val="7"/>
                <w:color w:val="auto"/>
              </w:rPr>
            </w:pPr>
          </w:p>
        </w:tc>
      </w:tr>
      <w:tr>
        <w:trPr>
          <w:trHeight w:val="236"/>
        </w:trPr>
        <w:tc>
          <w:tcPr>
            <w:tcW w:w="9360" w:type="dxa"/>
            <w:vAlign w:val="bottom"/>
            <w:gridSpan w:val="29"/>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Questions and Answers About the Annual Meeting</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64</w:t>
              </w:r>
            </w:hyperlink>
          </w:p>
        </w:tc>
      </w:tr>
      <w:tr>
        <w:trPr>
          <w:trHeight w:val="330"/>
        </w:trPr>
        <w:tc>
          <w:tcPr>
            <w:tcW w:w="422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Other Matters</w:t>
              </w:r>
            </w:hyperlink>
          </w:p>
        </w:tc>
        <w:tc>
          <w:tcPr>
            <w:tcW w:w="5140" w:type="dxa"/>
            <w:vAlign w:val="bottom"/>
            <w:gridSpan w:val="10"/>
          </w:tcPr>
          <w:p>
            <w:pPr>
              <w:spacing w:after="0"/>
              <w:rPr>
                <w:sz w:val="24"/>
                <w:szCs w:val="24"/>
                <w:color w:val="auto"/>
              </w:rPr>
            </w:pPr>
          </w:p>
        </w:tc>
        <w:tc>
          <w:tcPr>
            <w:tcW w:w="1860" w:type="dxa"/>
            <w:vAlign w:val="bottom"/>
            <w:gridSpan w:val="2"/>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b w:val="1"/>
                <w:bCs w:val="1"/>
                <w:color w:val="0000EE"/>
                <w:w w:val="89"/>
              </w:rPr>
            </w:pPr>
            <w:hyperlink w:anchor="page69">
              <w:r>
                <w:rPr>
                  <w:rFonts w:ascii="Arial" w:cs="Arial" w:eastAsia="Arial" w:hAnsi="Arial"/>
                  <w:sz w:val="18"/>
                  <w:szCs w:val="18"/>
                  <w:b w:val="1"/>
                  <w:bCs w:val="1"/>
                  <w:color w:val="0000EE"/>
                  <w:w w:val="89"/>
                </w:rPr>
                <w:t>66</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4140" w:type="dxa"/>
            <w:vAlign w:val="bottom"/>
            <w:gridSpan w:val="22"/>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81"/>
        </w:trPr>
        <w:tc>
          <w:tcPr>
            <w:tcW w:w="9360" w:type="dxa"/>
            <w:vAlign w:val="bottom"/>
            <w:gridSpan w:val="29"/>
          </w:tcPr>
          <w:p>
            <w:pPr>
              <w:spacing w:after="0"/>
              <w:rPr>
                <w:sz w:val="20"/>
                <w:szCs w:val="20"/>
                <w:color w:val="auto"/>
              </w:rPr>
            </w:pPr>
            <w:r>
              <w:rPr>
                <w:rFonts w:ascii="Arial" w:cs="Arial" w:eastAsia="Arial" w:hAnsi="Arial"/>
                <w:sz w:val="18"/>
                <w:szCs w:val="18"/>
                <w:b w:val="1"/>
                <w:bCs w:val="1"/>
                <w:color w:val="345988"/>
              </w:rPr>
              <w:t>APPENDICES</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
        </w:trPr>
        <w:tc>
          <w:tcPr>
            <w:tcW w:w="1140" w:type="dxa"/>
            <w:vAlign w:val="bottom"/>
            <w:tcBorders>
              <w:bottom w:val="single" w:sz="8" w:color="8591A9"/>
            </w:tcBorders>
          </w:tcPr>
          <w:p>
            <w:pPr>
              <w:spacing w:after="0"/>
              <w:rPr>
                <w:sz w:val="4"/>
                <w:szCs w:val="4"/>
                <w:color w:val="auto"/>
              </w:rPr>
            </w:pPr>
          </w:p>
        </w:tc>
        <w:tc>
          <w:tcPr>
            <w:tcW w:w="140" w:type="dxa"/>
            <w:vAlign w:val="bottom"/>
            <w:tcBorders>
              <w:bottom w:val="single" w:sz="8" w:color="8591A9"/>
            </w:tcBorders>
          </w:tcPr>
          <w:p>
            <w:pPr>
              <w:spacing w:after="0"/>
              <w:rPr>
                <w:sz w:val="4"/>
                <w:szCs w:val="4"/>
                <w:color w:val="auto"/>
              </w:rPr>
            </w:pPr>
          </w:p>
        </w:tc>
        <w:tc>
          <w:tcPr>
            <w:tcW w:w="280" w:type="dxa"/>
            <w:vAlign w:val="bottom"/>
            <w:tcBorders>
              <w:bottom w:val="single" w:sz="8" w:color="8591A9"/>
            </w:tcBorders>
          </w:tcPr>
          <w:p>
            <w:pPr>
              <w:spacing w:after="0"/>
              <w:rPr>
                <w:sz w:val="4"/>
                <w:szCs w:val="4"/>
                <w:color w:val="auto"/>
              </w:rPr>
            </w:pPr>
          </w:p>
        </w:tc>
        <w:tc>
          <w:tcPr>
            <w:tcW w:w="340" w:type="dxa"/>
            <w:vAlign w:val="bottom"/>
            <w:tcBorders>
              <w:bottom w:val="single" w:sz="8" w:color="8591A9"/>
            </w:tcBorders>
          </w:tcPr>
          <w:p>
            <w:pPr>
              <w:spacing w:after="0"/>
              <w:rPr>
                <w:sz w:val="4"/>
                <w:szCs w:val="4"/>
                <w:color w:val="auto"/>
              </w:rPr>
            </w:pPr>
          </w:p>
        </w:tc>
        <w:tc>
          <w:tcPr>
            <w:tcW w:w="40" w:type="dxa"/>
            <w:vAlign w:val="bottom"/>
            <w:tcBorders>
              <w:bottom w:val="single" w:sz="8" w:color="8591A9"/>
            </w:tcBorders>
          </w:tcPr>
          <w:p>
            <w:pPr>
              <w:spacing w:after="0"/>
              <w:rPr>
                <w:sz w:val="4"/>
                <w:szCs w:val="4"/>
                <w:color w:val="auto"/>
              </w:rPr>
            </w:pPr>
          </w:p>
        </w:tc>
        <w:tc>
          <w:tcPr>
            <w:tcW w:w="80" w:type="dxa"/>
            <w:vAlign w:val="bottom"/>
            <w:tcBorders>
              <w:bottom w:val="single" w:sz="8" w:color="8591A9"/>
            </w:tcBorders>
          </w:tcPr>
          <w:p>
            <w:pPr>
              <w:spacing w:after="0"/>
              <w:rPr>
                <w:sz w:val="4"/>
                <w:szCs w:val="4"/>
                <w:color w:val="auto"/>
              </w:rPr>
            </w:pPr>
          </w:p>
        </w:tc>
        <w:tc>
          <w:tcPr>
            <w:tcW w:w="440" w:type="dxa"/>
            <w:vAlign w:val="bottom"/>
            <w:tcBorders>
              <w:bottom w:val="single" w:sz="8" w:color="8591A9"/>
            </w:tcBorders>
          </w:tcPr>
          <w:p>
            <w:pPr>
              <w:spacing w:after="0"/>
              <w:rPr>
                <w:sz w:val="4"/>
                <w:szCs w:val="4"/>
                <w:color w:val="auto"/>
              </w:rPr>
            </w:pPr>
          </w:p>
        </w:tc>
        <w:tc>
          <w:tcPr>
            <w:tcW w:w="60" w:type="dxa"/>
            <w:vAlign w:val="bottom"/>
            <w:tcBorders>
              <w:bottom w:val="single" w:sz="8" w:color="8591A9"/>
            </w:tcBorders>
          </w:tcPr>
          <w:p>
            <w:pPr>
              <w:spacing w:after="0"/>
              <w:rPr>
                <w:sz w:val="4"/>
                <w:szCs w:val="4"/>
                <w:color w:val="auto"/>
              </w:rPr>
            </w:pPr>
          </w:p>
        </w:tc>
        <w:tc>
          <w:tcPr>
            <w:tcW w:w="160" w:type="dxa"/>
            <w:vAlign w:val="bottom"/>
            <w:tcBorders>
              <w:bottom w:val="single" w:sz="8" w:color="8591A9"/>
            </w:tcBorders>
          </w:tcPr>
          <w:p>
            <w:pPr>
              <w:spacing w:after="0"/>
              <w:rPr>
                <w:sz w:val="4"/>
                <w:szCs w:val="4"/>
                <w:color w:val="auto"/>
              </w:rPr>
            </w:pPr>
          </w:p>
        </w:tc>
        <w:tc>
          <w:tcPr>
            <w:tcW w:w="40" w:type="dxa"/>
            <w:vAlign w:val="bottom"/>
            <w:tcBorders>
              <w:bottom w:val="single" w:sz="8" w:color="8591A9"/>
            </w:tcBorders>
          </w:tcPr>
          <w:p>
            <w:pPr>
              <w:spacing w:after="0"/>
              <w:rPr>
                <w:sz w:val="4"/>
                <w:szCs w:val="4"/>
                <w:color w:val="auto"/>
              </w:rPr>
            </w:pPr>
          </w:p>
        </w:tc>
        <w:tc>
          <w:tcPr>
            <w:tcW w:w="80" w:type="dxa"/>
            <w:vAlign w:val="bottom"/>
            <w:tcBorders>
              <w:bottom w:val="single" w:sz="8" w:color="8591A9"/>
            </w:tcBorders>
          </w:tcPr>
          <w:p>
            <w:pPr>
              <w:spacing w:after="0"/>
              <w:rPr>
                <w:sz w:val="4"/>
                <w:szCs w:val="4"/>
                <w:color w:val="auto"/>
              </w:rPr>
            </w:pPr>
          </w:p>
        </w:tc>
        <w:tc>
          <w:tcPr>
            <w:tcW w:w="20" w:type="dxa"/>
            <w:vAlign w:val="bottom"/>
            <w:tcBorders>
              <w:bottom w:val="single" w:sz="8" w:color="8591A9"/>
            </w:tcBorders>
          </w:tcPr>
          <w:p>
            <w:pPr>
              <w:spacing w:after="0"/>
              <w:rPr>
                <w:sz w:val="4"/>
                <w:szCs w:val="4"/>
                <w:color w:val="auto"/>
              </w:rPr>
            </w:pPr>
          </w:p>
        </w:tc>
        <w:tc>
          <w:tcPr>
            <w:tcW w:w="60" w:type="dxa"/>
            <w:vAlign w:val="bottom"/>
            <w:tcBorders>
              <w:bottom w:val="single" w:sz="8" w:color="8591A9"/>
            </w:tcBorders>
          </w:tcPr>
          <w:p>
            <w:pPr>
              <w:spacing w:after="0"/>
              <w:rPr>
                <w:sz w:val="4"/>
                <w:szCs w:val="4"/>
                <w:color w:val="auto"/>
              </w:rPr>
            </w:pPr>
          </w:p>
        </w:tc>
        <w:tc>
          <w:tcPr>
            <w:tcW w:w="40" w:type="dxa"/>
            <w:vAlign w:val="bottom"/>
            <w:tcBorders>
              <w:bottom w:val="single" w:sz="8" w:color="8591A9"/>
            </w:tcBorders>
          </w:tcPr>
          <w:p>
            <w:pPr>
              <w:spacing w:after="0"/>
              <w:rPr>
                <w:sz w:val="4"/>
                <w:szCs w:val="4"/>
                <w:color w:val="auto"/>
              </w:rPr>
            </w:pPr>
          </w:p>
        </w:tc>
        <w:tc>
          <w:tcPr>
            <w:tcW w:w="80" w:type="dxa"/>
            <w:vAlign w:val="bottom"/>
            <w:tcBorders>
              <w:bottom w:val="single" w:sz="8" w:color="8591A9"/>
            </w:tcBorders>
          </w:tcPr>
          <w:p>
            <w:pPr>
              <w:spacing w:after="0"/>
              <w:rPr>
                <w:sz w:val="4"/>
                <w:szCs w:val="4"/>
                <w:color w:val="auto"/>
              </w:rPr>
            </w:pPr>
          </w:p>
        </w:tc>
        <w:tc>
          <w:tcPr>
            <w:tcW w:w="20" w:type="dxa"/>
            <w:vAlign w:val="bottom"/>
            <w:tcBorders>
              <w:bottom w:val="single" w:sz="8" w:color="8591A9"/>
            </w:tcBorders>
          </w:tcPr>
          <w:p>
            <w:pPr>
              <w:spacing w:after="0"/>
              <w:rPr>
                <w:sz w:val="4"/>
                <w:szCs w:val="4"/>
                <w:color w:val="auto"/>
              </w:rPr>
            </w:pPr>
          </w:p>
        </w:tc>
        <w:tc>
          <w:tcPr>
            <w:tcW w:w="260" w:type="dxa"/>
            <w:vAlign w:val="bottom"/>
            <w:tcBorders>
              <w:bottom w:val="single" w:sz="8" w:color="8591A9"/>
            </w:tcBorders>
          </w:tcPr>
          <w:p>
            <w:pPr>
              <w:spacing w:after="0"/>
              <w:rPr>
                <w:sz w:val="4"/>
                <w:szCs w:val="4"/>
                <w:color w:val="auto"/>
              </w:rPr>
            </w:pPr>
          </w:p>
        </w:tc>
        <w:tc>
          <w:tcPr>
            <w:tcW w:w="60" w:type="dxa"/>
            <w:vAlign w:val="bottom"/>
            <w:tcBorders>
              <w:bottom w:val="single" w:sz="8" w:color="8591A9"/>
            </w:tcBorders>
          </w:tcPr>
          <w:p>
            <w:pPr>
              <w:spacing w:after="0"/>
              <w:rPr>
                <w:sz w:val="4"/>
                <w:szCs w:val="4"/>
                <w:color w:val="auto"/>
              </w:rPr>
            </w:pPr>
          </w:p>
        </w:tc>
        <w:tc>
          <w:tcPr>
            <w:tcW w:w="880" w:type="dxa"/>
            <w:vAlign w:val="bottom"/>
            <w:tcBorders>
              <w:bottom w:val="single" w:sz="8" w:color="8591A9"/>
            </w:tcBorders>
          </w:tcPr>
          <w:p>
            <w:pPr>
              <w:spacing w:after="0"/>
              <w:rPr>
                <w:sz w:val="4"/>
                <w:szCs w:val="4"/>
                <w:color w:val="auto"/>
              </w:rPr>
            </w:pPr>
          </w:p>
        </w:tc>
        <w:tc>
          <w:tcPr>
            <w:tcW w:w="180" w:type="dxa"/>
            <w:vAlign w:val="bottom"/>
            <w:tcBorders>
              <w:bottom w:val="single" w:sz="8" w:color="8591A9"/>
            </w:tcBorders>
          </w:tcPr>
          <w:p>
            <w:pPr>
              <w:spacing w:after="0"/>
              <w:rPr>
                <w:sz w:val="4"/>
                <w:szCs w:val="4"/>
                <w:color w:val="auto"/>
              </w:rPr>
            </w:pPr>
          </w:p>
        </w:tc>
        <w:tc>
          <w:tcPr>
            <w:tcW w:w="440" w:type="dxa"/>
            <w:vAlign w:val="bottom"/>
            <w:tcBorders>
              <w:bottom w:val="single" w:sz="8" w:color="8591A9"/>
            </w:tcBorders>
          </w:tcPr>
          <w:p>
            <w:pPr>
              <w:spacing w:after="0"/>
              <w:rPr>
                <w:sz w:val="4"/>
                <w:szCs w:val="4"/>
                <w:color w:val="auto"/>
              </w:rPr>
            </w:pPr>
          </w:p>
        </w:tc>
        <w:tc>
          <w:tcPr>
            <w:tcW w:w="340" w:type="dxa"/>
            <w:vAlign w:val="bottom"/>
            <w:tcBorders>
              <w:bottom w:val="single" w:sz="8" w:color="8591A9"/>
            </w:tcBorders>
          </w:tcPr>
          <w:p>
            <w:pPr>
              <w:spacing w:after="0"/>
              <w:rPr>
                <w:sz w:val="4"/>
                <w:szCs w:val="4"/>
                <w:color w:val="auto"/>
              </w:rPr>
            </w:pPr>
          </w:p>
        </w:tc>
        <w:tc>
          <w:tcPr>
            <w:tcW w:w="100" w:type="dxa"/>
            <w:vAlign w:val="bottom"/>
            <w:tcBorders>
              <w:bottom w:val="single" w:sz="8" w:color="8591A9"/>
            </w:tcBorders>
          </w:tcPr>
          <w:p>
            <w:pPr>
              <w:spacing w:after="0"/>
              <w:rPr>
                <w:sz w:val="4"/>
                <w:szCs w:val="4"/>
                <w:color w:val="auto"/>
              </w:rPr>
            </w:pPr>
          </w:p>
        </w:tc>
        <w:tc>
          <w:tcPr>
            <w:tcW w:w="60" w:type="dxa"/>
            <w:vAlign w:val="bottom"/>
            <w:tcBorders>
              <w:bottom w:val="single" w:sz="8" w:color="8591A9"/>
            </w:tcBorders>
          </w:tcPr>
          <w:p>
            <w:pPr>
              <w:spacing w:after="0"/>
              <w:rPr>
                <w:sz w:val="4"/>
                <w:szCs w:val="4"/>
                <w:color w:val="auto"/>
              </w:rPr>
            </w:pPr>
          </w:p>
        </w:tc>
        <w:tc>
          <w:tcPr>
            <w:tcW w:w="220" w:type="dxa"/>
            <w:vAlign w:val="bottom"/>
            <w:tcBorders>
              <w:bottom w:val="single" w:sz="8" w:color="8591A9"/>
            </w:tcBorders>
          </w:tcPr>
          <w:p>
            <w:pPr>
              <w:spacing w:after="0"/>
              <w:rPr>
                <w:sz w:val="4"/>
                <w:szCs w:val="4"/>
                <w:color w:val="auto"/>
              </w:rPr>
            </w:pPr>
          </w:p>
        </w:tc>
        <w:tc>
          <w:tcPr>
            <w:tcW w:w="40" w:type="dxa"/>
            <w:vAlign w:val="bottom"/>
            <w:tcBorders>
              <w:bottom w:val="single" w:sz="8" w:color="8591A9"/>
            </w:tcBorders>
          </w:tcPr>
          <w:p>
            <w:pPr>
              <w:spacing w:after="0"/>
              <w:rPr>
                <w:sz w:val="4"/>
                <w:szCs w:val="4"/>
                <w:color w:val="auto"/>
              </w:rPr>
            </w:pPr>
          </w:p>
        </w:tc>
        <w:tc>
          <w:tcPr>
            <w:tcW w:w="1160" w:type="dxa"/>
            <w:vAlign w:val="bottom"/>
            <w:tcBorders>
              <w:bottom w:val="single" w:sz="8" w:color="8591A9"/>
            </w:tcBorders>
          </w:tcPr>
          <w:p>
            <w:pPr>
              <w:spacing w:after="0"/>
              <w:rPr>
                <w:sz w:val="4"/>
                <w:szCs w:val="4"/>
                <w:color w:val="auto"/>
              </w:rPr>
            </w:pPr>
          </w:p>
        </w:tc>
        <w:tc>
          <w:tcPr>
            <w:tcW w:w="820" w:type="dxa"/>
            <w:vAlign w:val="bottom"/>
            <w:tcBorders>
              <w:bottom w:val="single" w:sz="8" w:color="8591A9"/>
            </w:tcBorders>
          </w:tcPr>
          <w:p>
            <w:pPr>
              <w:spacing w:after="0"/>
              <w:rPr>
                <w:sz w:val="4"/>
                <w:szCs w:val="4"/>
                <w:color w:val="auto"/>
              </w:rPr>
            </w:pPr>
          </w:p>
        </w:tc>
        <w:tc>
          <w:tcPr>
            <w:tcW w:w="1780" w:type="dxa"/>
            <w:vAlign w:val="bottom"/>
            <w:tcBorders>
              <w:bottom w:val="single" w:sz="8" w:color="8591A9"/>
            </w:tcBorders>
          </w:tcPr>
          <w:p>
            <w:pPr>
              <w:spacing w:after="0"/>
              <w:rPr>
                <w:sz w:val="4"/>
                <w:szCs w:val="4"/>
                <w:color w:val="auto"/>
              </w:rPr>
            </w:pPr>
          </w:p>
        </w:tc>
        <w:tc>
          <w:tcPr>
            <w:tcW w:w="1780" w:type="dxa"/>
            <w:vAlign w:val="bottom"/>
            <w:tcBorders>
              <w:bottom w:val="single" w:sz="8" w:color="8591A9"/>
            </w:tcBorders>
          </w:tcPr>
          <w:p>
            <w:pPr>
              <w:spacing w:after="0"/>
              <w:rPr>
                <w:sz w:val="4"/>
                <w:szCs w:val="4"/>
                <w:color w:val="auto"/>
              </w:rPr>
            </w:pPr>
          </w:p>
        </w:tc>
        <w:tc>
          <w:tcPr>
            <w:tcW w:w="80" w:type="dxa"/>
            <w:vAlign w:val="bottom"/>
            <w:tcBorders>
              <w:bottom w:val="single" w:sz="8" w:color="8591A9"/>
            </w:tcBorders>
          </w:tcPr>
          <w:p>
            <w:pPr>
              <w:spacing w:after="0"/>
              <w:rPr>
                <w:sz w:val="4"/>
                <w:szCs w:val="4"/>
                <w:color w:val="auto"/>
              </w:rPr>
            </w:pPr>
          </w:p>
        </w:tc>
        <w:tc>
          <w:tcPr>
            <w:tcW w:w="100" w:type="dxa"/>
            <w:vAlign w:val="bottom"/>
            <w:tcBorders>
              <w:bottom w:val="single" w:sz="8" w:color="8591A9"/>
            </w:tcBorders>
          </w:tcPr>
          <w:p>
            <w:pPr>
              <w:spacing w:after="0"/>
              <w:rPr>
                <w:sz w:val="4"/>
                <w:szCs w:val="4"/>
                <w:color w:val="auto"/>
              </w:rPr>
            </w:pPr>
          </w:p>
        </w:tc>
        <w:tc>
          <w:tcPr>
            <w:tcW w:w="100" w:type="dxa"/>
            <w:vAlign w:val="bottom"/>
            <w:tcBorders>
              <w:bottom w:val="single" w:sz="8" w:color="8591A9"/>
            </w:tcBorders>
          </w:tcPr>
          <w:p>
            <w:pPr>
              <w:spacing w:after="0"/>
              <w:rPr>
                <w:sz w:val="4"/>
                <w:szCs w:val="4"/>
                <w:color w:val="auto"/>
              </w:rPr>
            </w:pPr>
          </w:p>
        </w:tc>
      </w:tr>
      <w:tr>
        <w:trPr>
          <w:trHeight w:val="236"/>
        </w:trPr>
        <w:tc>
          <w:tcPr>
            <w:tcW w:w="9360" w:type="dxa"/>
            <w:vAlign w:val="bottom"/>
            <w:gridSpan w:val="29"/>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Appendix A: Information Regarding Certain Financial Measures</w:t>
              </w:r>
            </w:hyperlink>
          </w:p>
        </w:tc>
        <w:tc>
          <w:tcPr>
            <w:tcW w:w="2060" w:type="dxa"/>
            <w:vAlign w:val="bottom"/>
            <w:gridSpan w:val="4"/>
          </w:tcPr>
          <w:p>
            <w:pPr>
              <w:jc w:val="right"/>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A-1</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9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References in this proxy statement to “we,”“us,”“our,”“ours,” and the “Company” refer to SL Green Realty Corp., unless the context otherwise requires. This proxy statement and a form of proxy have been made available to our stockholders on the Internet and will be mailed to stockholders on or about April 30, 2018.</w:t>
      </w:r>
    </w:p>
    <w:p>
      <w:pPr>
        <w:spacing w:after="0" w:line="172"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OUR BOARD OF DIRECTORS AND CORPORATE GOVERNANCE</w:t>
      </w:r>
    </w:p>
    <w:p>
      <w:pPr>
        <w:spacing w:after="0" w:line="24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are committed to operating our business under strong and accountable corporate governance practices. You are encouraged to visit the “Investors—Corporate Governance” section of our corporate website at http://www.slgreen.com to view or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420 Lexington Avenue, New York, New York 10170-1881, Attention: Investor Relations. Additional information relating to the corporate governance of the Company also is included in other sections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2857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857500"/>
                    </a:xfrm>
                    <a:prstGeom prst="rect">
                      <a:avLst/>
                    </a:prstGeom>
                    <a:noFill/>
                  </pic:spPr>
                </pic:pic>
              </a:graphicData>
            </a:graphic>
          </wp:anchor>
        </w:drawing>
      </w:r>
    </w:p>
    <w:p>
      <w:pPr>
        <w:spacing w:after="0" w:line="258"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Proposal 1: Election of Directors</w:t>
      </w:r>
    </w:p>
    <w:p>
      <w:pPr>
        <w:spacing w:after="0" w:line="292" w:lineRule="exact"/>
        <w:rPr>
          <w:sz w:val="20"/>
          <w:szCs w:val="20"/>
          <w:color w:val="auto"/>
        </w:rPr>
      </w:pPr>
    </w:p>
    <w:p>
      <w:pPr>
        <w:ind w:left="80" w:right="80"/>
        <w:spacing w:after="0" w:line="241" w:lineRule="auto"/>
        <w:rPr>
          <w:sz w:val="20"/>
          <w:szCs w:val="20"/>
          <w:color w:val="auto"/>
        </w:rPr>
      </w:pPr>
      <w:r>
        <w:rPr>
          <w:rFonts w:ascii="Arial" w:cs="Arial" w:eastAsia="Arial" w:hAnsi="Arial"/>
          <w:sz w:val="18"/>
          <w:szCs w:val="18"/>
          <w:color w:val="auto"/>
        </w:rPr>
        <w:t>The Board, upon the recommendation of the Nominating and Corporate Governance Committee, has nominated John H. Alschuler, Lauren B. Dillard and Stephen L. Green for election to serve as directors until the 2019 annual meeting of stockholders and until their successors are duly elected and qualify. Messrs. Alschuler and Green and Ms. Dillard currently are serving as our directors. Each of Messrs. Alschuler and Green and Ms. Dillard has consented to being named in this proxy statement and to serve as a director if elected. However, if any of Messrs. Alschuler and Green and Ms. Dillard is unable to accept election, proxies voted in favor of such nominee will be voted for the election of such other person as the Board nominates.</w:t>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Majority Voting Standard</w:t>
      </w:r>
    </w:p>
    <w:p>
      <w:pPr>
        <w:spacing w:after="0" w:line="213" w:lineRule="exact"/>
        <w:rPr>
          <w:sz w:val="20"/>
          <w:szCs w:val="20"/>
          <w:color w:val="auto"/>
        </w:rPr>
      </w:pPr>
    </w:p>
    <w:p>
      <w:pPr>
        <w:ind w:left="80" w:right="160"/>
        <w:spacing w:after="0" w:line="242" w:lineRule="auto"/>
        <w:rPr>
          <w:sz w:val="20"/>
          <w:szCs w:val="20"/>
          <w:color w:val="auto"/>
        </w:rPr>
      </w:pPr>
      <w:r>
        <w:rPr>
          <w:rFonts w:ascii="Arial" w:cs="Arial" w:eastAsia="Arial" w:hAnsi="Arial"/>
          <w:sz w:val="18"/>
          <w:szCs w:val="18"/>
          <w:color w:val="auto"/>
        </w:rPr>
        <w:t>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345988"/>
        </w:rPr>
        <w:t xml:space="preserve">The Board unanimously recommends a vote </w:t>
      </w:r>
      <w:r>
        <w:rPr>
          <w:rFonts w:ascii="Arial" w:cs="Arial" w:eastAsia="Arial" w:hAnsi="Arial"/>
          <w:sz w:val="22"/>
          <w:szCs w:val="22"/>
          <w:b w:val="1"/>
          <w:bCs w:val="1"/>
          <w:color w:val="000000"/>
        </w:rPr>
        <w:t>“FOR”</w:t>
      </w:r>
      <w:r>
        <w:rPr>
          <w:rFonts w:ascii="Arial" w:cs="Arial" w:eastAsia="Arial" w:hAnsi="Arial"/>
          <w:sz w:val="22"/>
          <w:szCs w:val="22"/>
          <w:b w:val="1"/>
          <w:bCs w:val="1"/>
          <w:color w:val="345988"/>
        </w:rPr>
        <w:t xml:space="preserve"> the election of Messrs. Alschuler and Green and Ms.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345988"/>
        </w:rPr>
        <w:t>Dillard.</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Information Regarding the Nominees and the Continuing Directors</w:t>
      </w:r>
    </w:p>
    <w:p>
      <w:pPr>
        <w:spacing w:after="0" w:line="214"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The following table and biographical descriptions set forth certain information with respect to the nominees for election as directors at the 2018 annual meeting and the continuing directors whose terms expire at the annual meetings of stockholders in 2019 and 2020, respectively, based upon information furnished by each director. At our annual meeting of stockholders in 2017, stockholders approved a proposal to declassify our board. Accordingly, our board classes are being phased out, and directors whose terms are expiring will be elected for one-year terms. Our Board of Directors will be fully declassified by our 2020 annual meeting.</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2018 Proxy Statement </w:t>
      </w:r>
      <w:r>
        <w:rPr>
          <w:rFonts w:ascii="Arial" w:cs="Arial" w:eastAsia="Arial" w:hAnsi="Arial"/>
          <w:sz w:val="18"/>
          <w:szCs w:val="18"/>
          <w:color w:val="345988"/>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gridSpan w:val="2"/>
            <w:vMerge w:val="restart"/>
          </w:tcPr>
          <w:p>
            <w:pPr>
              <w:spacing w:after="0"/>
              <w:rPr>
                <w:sz w:val="20"/>
                <w:szCs w:val="20"/>
                <w:color w:val="auto"/>
              </w:rPr>
            </w:pPr>
            <w:r>
              <w:rPr>
                <w:rFonts w:ascii="Arial" w:cs="Arial" w:eastAsia="Arial" w:hAnsi="Arial"/>
                <w:sz w:val="13"/>
                <w:szCs w:val="13"/>
                <w:b w:val="1"/>
                <w:bCs w:val="1"/>
                <w:color w:val="1A1A1A"/>
              </w:rPr>
              <w:t>Name</w:t>
            </w:r>
          </w:p>
        </w:tc>
        <w:tc>
          <w:tcPr>
            <w:tcW w:w="5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345988"/>
              </w:rPr>
              <w:t>Age</w:t>
            </w: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345988"/>
              </w:rPr>
              <w:t>Expiration of</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345988"/>
              </w:rPr>
              <w:t>Director</w:t>
            </w:r>
          </w:p>
        </w:tc>
        <w:tc>
          <w:tcPr>
            <w:tcW w:w="0" w:type="dxa"/>
            <w:vAlign w:val="bottom"/>
          </w:tcPr>
          <w:p>
            <w:pPr>
              <w:spacing w:after="0"/>
              <w:rPr>
                <w:sz w:val="1"/>
                <w:szCs w:val="1"/>
                <w:color w:val="auto"/>
              </w:rPr>
            </w:pPr>
          </w:p>
        </w:tc>
      </w:tr>
      <w:tr>
        <w:trPr>
          <w:trHeight w:val="201"/>
        </w:trPr>
        <w:tc>
          <w:tcPr>
            <w:tcW w:w="9260" w:type="dxa"/>
            <w:vAlign w:val="bottom"/>
            <w:gridSpan w:val="2"/>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345988"/>
              </w:rPr>
              <w:t>Term</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345988"/>
              </w:rPr>
              <w:t>Since</w:t>
            </w:r>
          </w:p>
        </w:tc>
        <w:tc>
          <w:tcPr>
            <w:tcW w:w="0" w:type="dxa"/>
            <w:vAlign w:val="bottom"/>
          </w:tcPr>
          <w:p>
            <w:pPr>
              <w:spacing w:after="0"/>
              <w:rPr>
                <w:sz w:val="1"/>
                <w:szCs w:val="1"/>
                <w:color w:val="auto"/>
              </w:rPr>
            </w:pPr>
          </w:p>
        </w:tc>
      </w:tr>
      <w:tr>
        <w:trPr>
          <w:trHeight w:val="243"/>
        </w:trPr>
        <w:tc>
          <w:tcPr>
            <w:tcW w:w="9000" w:type="dxa"/>
            <w:vAlign w:val="bottom"/>
            <w:tcBorders>
              <w:top w:val="single" w:sz="8" w:color="345988"/>
              <w:bottom w:val="single" w:sz="8" w:color="345988"/>
            </w:tcBorders>
          </w:tcPr>
          <w:p>
            <w:pPr>
              <w:spacing w:after="0"/>
              <w:rPr>
                <w:sz w:val="20"/>
                <w:szCs w:val="20"/>
                <w:color w:val="auto"/>
              </w:rPr>
            </w:pPr>
            <w:r>
              <w:rPr>
                <w:rFonts w:ascii="Arial" w:cs="Arial" w:eastAsia="Arial" w:hAnsi="Arial"/>
                <w:sz w:val="18"/>
                <w:szCs w:val="18"/>
                <w:b w:val="1"/>
                <w:bCs w:val="1"/>
                <w:color w:val="1A1A1A"/>
              </w:rPr>
              <w:t>Nominees (terms will expire in 2019)</w:t>
            </w:r>
          </w:p>
        </w:tc>
        <w:tc>
          <w:tcPr>
            <w:tcW w:w="260" w:type="dxa"/>
            <w:vAlign w:val="bottom"/>
          </w:tcPr>
          <w:p>
            <w:pPr>
              <w:spacing w:after="0"/>
              <w:rPr>
                <w:sz w:val="21"/>
                <w:szCs w:val="21"/>
                <w:color w:val="auto"/>
              </w:rPr>
            </w:pPr>
          </w:p>
        </w:tc>
        <w:tc>
          <w:tcPr>
            <w:tcW w:w="260" w:type="dxa"/>
            <w:vAlign w:val="bottom"/>
            <w:tcBorders>
              <w:top w:val="single" w:sz="8" w:color="345988"/>
              <w:bottom w:val="single" w:sz="8" w:color="8590A9"/>
            </w:tcBorders>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Borders>
              <w:top w:val="single" w:sz="8" w:color="345988"/>
              <w:bottom w:val="single" w:sz="8" w:color="8590A9"/>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top w:val="single" w:sz="8" w:color="345988"/>
              <w:bottom w:val="single" w:sz="8" w:color="8590A9"/>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0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John H. Alschuler*</w:t>
            </w:r>
          </w:p>
        </w:tc>
        <w:tc>
          <w:tcPr>
            <w:tcW w:w="260" w:type="dxa"/>
            <w:vAlign w:val="bottom"/>
          </w:tcPr>
          <w:p>
            <w:pPr>
              <w:spacing w:after="0"/>
              <w:rPr>
                <w:sz w:val="20"/>
                <w:szCs w:val="20"/>
                <w:color w:val="auto"/>
              </w:rPr>
            </w:pPr>
          </w:p>
        </w:tc>
        <w:tc>
          <w:tcPr>
            <w:tcW w:w="26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89"/>
              </w:rPr>
              <w:t>70</w:t>
            </w:r>
          </w:p>
        </w:tc>
        <w:tc>
          <w:tcPr>
            <w:tcW w:w="260" w:type="dxa"/>
            <w:vAlign w:val="bottom"/>
          </w:tcPr>
          <w:p>
            <w:pPr>
              <w:spacing w:after="0"/>
              <w:rPr>
                <w:sz w:val="20"/>
                <w:szCs w:val="20"/>
                <w:color w:val="auto"/>
              </w:rPr>
            </w:pPr>
          </w:p>
        </w:tc>
        <w:tc>
          <w:tcPr>
            <w:tcW w:w="84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4"/>
              </w:rPr>
              <w:t>2019</w:t>
            </w:r>
          </w:p>
        </w:tc>
        <w:tc>
          <w:tcPr>
            <w:tcW w:w="280" w:type="dxa"/>
            <w:vAlign w:val="bottom"/>
          </w:tcPr>
          <w:p>
            <w:pPr>
              <w:spacing w:after="0"/>
              <w:rPr>
                <w:sz w:val="20"/>
                <w:szCs w:val="20"/>
                <w:color w:val="auto"/>
              </w:rPr>
            </w:pPr>
          </w:p>
        </w:tc>
        <w:tc>
          <w:tcPr>
            <w:tcW w:w="52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9"/>
              </w:rPr>
              <w:t>1997</w:t>
            </w:r>
          </w:p>
        </w:tc>
        <w:tc>
          <w:tcPr>
            <w:tcW w:w="0" w:type="dxa"/>
            <w:vAlign w:val="bottom"/>
          </w:tcPr>
          <w:p>
            <w:pPr>
              <w:spacing w:after="0"/>
              <w:rPr>
                <w:sz w:val="1"/>
                <w:szCs w:val="1"/>
                <w:color w:val="auto"/>
              </w:rPr>
            </w:pPr>
          </w:p>
        </w:tc>
      </w:tr>
      <w:tr>
        <w:trPr>
          <w:trHeight w:val="236"/>
        </w:trPr>
        <w:tc>
          <w:tcPr>
            <w:tcW w:w="90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Lauren B. Dillard*</w:t>
            </w:r>
          </w:p>
        </w:tc>
        <w:tc>
          <w:tcPr>
            <w:tcW w:w="260" w:type="dxa"/>
            <w:vAlign w:val="bottom"/>
          </w:tcPr>
          <w:p>
            <w:pPr>
              <w:spacing w:after="0"/>
              <w:rPr>
                <w:sz w:val="20"/>
                <w:szCs w:val="20"/>
                <w:color w:val="auto"/>
              </w:rPr>
            </w:pPr>
          </w:p>
        </w:tc>
        <w:tc>
          <w:tcPr>
            <w:tcW w:w="26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89"/>
              </w:rPr>
              <w:t>42</w:t>
            </w:r>
          </w:p>
        </w:tc>
        <w:tc>
          <w:tcPr>
            <w:tcW w:w="260" w:type="dxa"/>
            <w:vAlign w:val="bottom"/>
          </w:tcPr>
          <w:p>
            <w:pPr>
              <w:spacing w:after="0"/>
              <w:rPr>
                <w:sz w:val="20"/>
                <w:szCs w:val="20"/>
                <w:color w:val="auto"/>
              </w:rPr>
            </w:pPr>
          </w:p>
        </w:tc>
        <w:tc>
          <w:tcPr>
            <w:tcW w:w="84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4"/>
              </w:rPr>
              <w:t>2019</w:t>
            </w:r>
          </w:p>
        </w:tc>
        <w:tc>
          <w:tcPr>
            <w:tcW w:w="280" w:type="dxa"/>
            <w:vAlign w:val="bottom"/>
          </w:tcPr>
          <w:p>
            <w:pPr>
              <w:spacing w:after="0"/>
              <w:rPr>
                <w:sz w:val="20"/>
                <w:szCs w:val="20"/>
                <w:color w:val="auto"/>
              </w:rPr>
            </w:pPr>
          </w:p>
        </w:tc>
        <w:tc>
          <w:tcPr>
            <w:tcW w:w="52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9"/>
              </w:rPr>
              <w:t>2016</w:t>
            </w:r>
          </w:p>
        </w:tc>
        <w:tc>
          <w:tcPr>
            <w:tcW w:w="0" w:type="dxa"/>
            <w:vAlign w:val="bottom"/>
          </w:tcPr>
          <w:p>
            <w:pPr>
              <w:spacing w:after="0"/>
              <w:rPr>
                <w:sz w:val="1"/>
                <w:szCs w:val="1"/>
                <w:color w:val="auto"/>
              </w:rPr>
            </w:pPr>
          </w:p>
        </w:tc>
      </w:tr>
      <w:tr>
        <w:trPr>
          <w:trHeight w:val="236"/>
        </w:trPr>
        <w:tc>
          <w:tcPr>
            <w:tcW w:w="90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Stephen L. Green</w:t>
            </w:r>
          </w:p>
        </w:tc>
        <w:tc>
          <w:tcPr>
            <w:tcW w:w="260" w:type="dxa"/>
            <w:vAlign w:val="bottom"/>
          </w:tcPr>
          <w:p>
            <w:pPr>
              <w:spacing w:after="0"/>
              <w:rPr>
                <w:sz w:val="20"/>
                <w:szCs w:val="20"/>
                <w:color w:val="auto"/>
              </w:rPr>
            </w:pPr>
          </w:p>
        </w:tc>
        <w:tc>
          <w:tcPr>
            <w:tcW w:w="26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89"/>
              </w:rPr>
              <w:t>80</w:t>
            </w:r>
          </w:p>
        </w:tc>
        <w:tc>
          <w:tcPr>
            <w:tcW w:w="260" w:type="dxa"/>
            <w:vAlign w:val="bottom"/>
          </w:tcPr>
          <w:p>
            <w:pPr>
              <w:spacing w:after="0"/>
              <w:rPr>
                <w:sz w:val="20"/>
                <w:szCs w:val="20"/>
                <w:color w:val="auto"/>
              </w:rPr>
            </w:pPr>
          </w:p>
        </w:tc>
        <w:tc>
          <w:tcPr>
            <w:tcW w:w="84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4"/>
              </w:rPr>
              <w:t>2019</w:t>
            </w:r>
          </w:p>
        </w:tc>
        <w:tc>
          <w:tcPr>
            <w:tcW w:w="280" w:type="dxa"/>
            <w:vAlign w:val="bottom"/>
          </w:tcPr>
          <w:p>
            <w:pPr>
              <w:spacing w:after="0"/>
              <w:rPr>
                <w:sz w:val="20"/>
                <w:szCs w:val="20"/>
                <w:color w:val="auto"/>
              </w:rPr>
            </w:pPr>
          </w:p>
        </w:tc>
        <w:tc>
          <w:tcPr>
            <w:tcW w:w="52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9"/>
              </w:rPr>
              <w:t>1997</w:t>
            </w:r>
          </w:p>
        </w:tc>
        <w:tc>
          <w:tcPr>
            <w:tcW w:w="0" w:type="dxa"/>
            <w:vAlign w:val="bottom"/>
          </w:tcPr>
          <w:p>
            <w:pPr>
              <w:spacing w:after="0"/>
              <w:rPr>
                <w:sz w:val="1"/>
                <w:szCs w:val="1"/>
                <w:color w:val="auto"/>
              </w:rPr>
            </w:pPr>
          </w:p>
        </w:tc>
      </w:tr>
      <w:tr>
        <w:trPr>
          <w:trHeight w:val="239"/>
        </w:trPr>
        <w:tc>
          <w:tcPr>
            <w:tcW w:w="9000" w:type="dxa"/>
            <w:vAlign w:val="bottom"/>
            <w:tcBorders>
              <w:bottom w:val="single" w:sz="8" w:color="345988"/>
            </w:tcBorders>
          </w:tcPr>
          <w:p>
            <w:pPr>
              <w:spacing w:after="0"/>
              <w:rPr>
                <w:sz w:val="20"/>
                <w:szCs w:val="20"/>
                <w:color w:val="auto"/>
              </w:rPr>
            </w:pPr>
            <w:r>
              <w:rPr>
                <w:rFonts w:ascii="Arial" w:cs="Arial" w:eastAsia="Arial" w:hAnsi="Arial"/>
                <w:sz w:val="18"/>
                <w:szCs w:val="18"/>
                <w:b w:val="1"/>
                <w:bCs w:val="1"/>
                <w:color w:val="1A1A1A"/>
              </w:rPr>
              <w:t>Continuing Directors (terms will expire in 2019)</w:t>
            </w:r>
          </w:p>
        </w:tc>
        <w:tc>
          <w:tcPr>
            <w:tcW w:w="260" w:type="dxa"/>
            <w:vAlign w:val="bottom"/>
          </w:tcPr>
          <w:p>
            <w:pPr>
              <w:spacing w:after="0"/>
              <w:rPr>
                <w:sz w:val="20"/>
                <w:szCs w:val="20"/>
                <w:color w:val="auto"/>
              </w:rPr>
            </w:pPr>
          </w:p>
        </w:tc>
        <w:tc>
          <w:tcPr>
            <w:tcW w:w="260" w:type="dxa"/>
            <w:vAlign w:val="bottom"/>
            <w:tcBorders>
              <w:bottom w:val="single" w:sz="8" w:color="8590A9"/>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bottom w:val="single" w:sz="8" w:color="8590A9"/>
            </w:tcBorders>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Borders>
              <w:bottom w:val="single" w:sz="8" w:color="8590A9"/>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0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Edwin Thomas Burton, III*</w:t>
            </w:r>
          </w:p>
        </w:tc>
        <w:tc>
          <w:tcPr>
            <w:tcW w:w="260" w:type="dxa"/>
            <w:vAlign w:val="bottom"/>
          </w:tcPr>
          <w:p>
            <w:pPr>
              <w:spacing w:after="0"/>
              <w:rPr>
                <w:sz w:val="20"/>
                <w:szCs w:val="20"/>
                <w:color w:val="auto"/>
              </w:rPr>
            </w:pPr>
          </w:p>
        </w:tc>
        <w:tc>
          <w:tcPr>
            <w:tcW w:w="26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89"/>
              </w:rPr>
              <w:t>75</w:t>
            </w:r>
          </w:p>
        </w:tc>
        <w:tc>
          <w:tcPr>
            <w:tcW w:w="260" w:type="dxa"/>
            <w:vAlign w:val="bottom"/>
          </w:tcPr>
          <w:p>
            <w:pPr>
              <w:spacing w:after="0"/>
              <w:rPr>
                <w:sz w:val="20"/>
                <w:szCs w:val="20"/>
                <w:color w:val="auto"/>
              </w:rPr>
            </w:pPr>
          </w:p>
        </w:tc>
        <w:tc>
          <w:tcPr>
            <w:tcW w:w="84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4"/>
              </w:rPr>
              <w:t>2019</w:t>
            </w:r>
          </w:p>
        </w:tc>
        <w:tc>
          <w:tcPr>
            <w:tcW w:w="280" w:type="dxa"/>
            <w:vAlign w:val="bottom"/>
          </w:tcPr>
          <w:p>
            <w:pPr>
              <w:spacing w:after="0"/>
              <w:rPr>
                <w:sz w:val="20"/>
                <w:szCs w:val="20"/>
                <w:color w:val="auto"/>
              </w:rPr>
            </w:pPr>
          </w:p>
        </w:tc>
        <w:tc>
          <w:tcPr>
            <w:tcW w:w="52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9"/>
              </w:rPr>
              <w:t>1997</w:t>
            </w:r>
          </w:p>
        </w:tc>
        <w:tc>
          <w:tcPr>
            <w:tcW w:w="0" w:type="dxa"/>
            <w:vAlign w:val="bottom"/>
          </w:tcPr>
          <w:p>
            <w:pPr>
              <w:spacing w:after="0"/>
              <w:rPr>
                <w:sz w:val="1"/>
                <w:szCs w:val="1"/>
                <w:color w:val="auto"/>
              </w:rPr>
            </w:pPr>
          </w:p>
        </w:tc>
      </w:tr>
      <w:tr>
        <w:trPr>
          <w:trHeight w:val="236"/>
        </w:trPr>
        <w:tc>
          <w:tcPr>
            <w:tcW w:w="90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Craig M. Hatkoff*</w:t>
            </w:r>
          </w:p>
        </w:tc>
        <w:tc>
          <w:tcPr>
            <w:tcW w:w="260" w:type="dxa"/>
            <w:vAlign w:val="bottom"/>
          </w:tcPr>
          <w:p>
            <w:pPr>
              <w:spacing w:after="0"/>
              <w:rPr>
                <w:sz w:val="20"/>
                <w:szCs w:val="20"/>
                <w:color w:val="auto"/>
              </w:rPr>
            </w:pPr>
          </w:p>
        </w:tc>
        <w:tc>
          <w:tcPr>
            <w:tcW w:w="26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89"/>
              </w:rPr>
              <w:t>64</w:t>
            </w:r>
          </w:p>
        </w:tc>
        <w:tc>
          <w:tcPr>
            <w:tcW w:w="260" w:type="dxa"/>
            <w:vAlign w:val="bottom"/>
          </w:tcPr>
          <w:p>
            <w:pPr>
              <w:spacing w:after="0"/>
              <w:rPr>
                <w:sz w:val="20"/>
                <w:szCs w:val="20"/>
                <w:color w:val="auto"/>
              </w:rPr>
            </w:pPr>
          </w:p>
        </w:tc>
        <w:tc>
          <w:tcPr>
            <w:tcW w:w="84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4"/>
              </w:rPr>
              <w:t>2019</w:t>
            </w:r>
          </w:p>
        </w:tc>
        <w:tc>
          <w:tcPr>
            <w:tcW w:w="280" w:type="dxa"/>
            <w:vAlign w:val="bottom"/>
          </w:tcPr>
          <w:p>
            <w:pPr>
              <w:spacing w:after="0"/>
              <w:rPr>
                <w:sz w:val="20"/>
                <w:szCs w:val="20"/>
                <w:color w:val="auto"/>
              </w:rPr>
            </w:pPr>
          </w:p>
        </w:tc>
        <w:tc>
          <w:tcPr>
            <w:tcW w:w="52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4"/>
              </w:rPr>
              <w:t>2011</w:t>
            </w:r>
          </w:p>
        </w:tc>
        <w:tc>
          <w:tcPr>
            <w:tcW w:w="0" w:type="dxa"/>
            <w:vAlign w:val="bottom"/>
          </w:tcPr>
          <w:p>
            <w:pPr>
              <w:spacing w:after="0"/>
              <w:rPr>
                <w:sz w:val="1"/>
                <w:szCs w:val="1"/>
                <w:color w:val="auto"/>
              </w:rPr>
            </w:pPr>
          </w:p>
        </w:tc>
      </w:tr>
      <w:tr>
        <w:trPr>
          <w:trHeight w:val="236"/>
        </w:trPr>
        <w:tc>
          <w:tcPr>
            <w:tcW w:w="90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Andrew W. Mathias</w:t>
            </w:r>
          </w:p>
        </w:tc>
        <w:tc>
          <w:tcPr>
            <w:tcW w:w="260" w:type="dxa"/>
            <w:vAlign w:val="bottom"/>
          </w:tcPr>
          <w:p>
            <w:pPr>
              <w:spacing w:after="0"/>
              <w:rPr>
                <w:sz w:val="20"/>
                <w:szCs w:val="20"/>
                <w:color w:val="auto"/>
              </w:rPr>
            </w:pPr>
          </w:p>
        </w:tc>
        <w:tc>
          <w:tcPr>
            <w:tcW w:w="26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89"/>
              </w:rPr>
              <w:t>44</w:t>
            </w:r>
          </w:p>
        </w:tc>
        <w:tc>
          <w:tcPr>
            <w:tcW w:w="260" w:type="dxa"/>
            <w:vAlign w:val="bottom"/>
          </w:tcPr>
          <w:p>
            <w:pPr>
              <w:spacing w:after="0"/>
              <w:rPr>
                <w:sz w:val="20"/>
                <w:szCs w:val="20"/>
                <w:color w:val="auto"/>
              </w:rPr>
            </w:pPr>
          </w:p>
        </w:tc>
        <w:tc>
          <w:tcPr>
            <w:tcW w:w="84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4"/>
              </w:rPr>
              <w:t>2019</w:t>
            </w:r>
          </w:p>
        </w:tc>
        <w:tc>
          <w:tcPr>
            <w:tcW w:w="280" w:type="dxa"/>
            <w:vAlign w:val="bottom"/>
          </w:tcPr>
          <w:p>
            <w:pPr>
              <w:spacing w:after="0"/>
              <w:rPr>
                <w:sz w:val="20"/>
                <w:szCs w:val="20"/>
                <w:color w:val="auto"/>
              </w:rPr>
            </w:pPr>
          </w:p>
        </w:tc>
        <w:tc>
          <w:tcPr>
            <w:tcW w:w="52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9"/>
              </w:rPr>
              <w:t>2014</w:t>
            </w:r>
          </w:p>
        </w:tc>
        <w:tc>
          <w:tcPr>
            <w:tcW w:w="0" w:type="dxa"/>
            <w:vAlign w:val="bottom"/>
          </w:tcPr>
          <w:p>
            <w:pPr>
              <w:spacing w:after="0"/>
              <w:rPr>
                <w:sz w:val="1"/>
                <w:szCs w:val="1"/>
                <w:color w:val="auto"/>
              </w:rPr>
            </w:pPr>
          </w:p>
        </w:tc>
      </w:tr>
      <w:tr>
        <w:trPr>
          <w:trHeight w:val="239"/>
        </w:trPr>
        <w:tc>
          <w:tcPr>
            <w:tcW w:w="9000" w:type="dxa"/>
            <w:vAlign w:val="bottom"/>
            <w:tcBorders>
              <w:bottom w:val="single" w:sz="8" w:color="345988"/>
            </w:tcBorders>
          </w:tcPr>
          <w:p>
            <w:pPr>
              <w:spacing w:after="0"/>
              <w:rPr>
                <w:sz w:val="20"/>
                <w:szCs w:val="20"/>
                <w:color w:val="auto"/>
              </w:rPr>
            </w:pPr>
            <w:r>
              <w:rPr>
                <w:rFonts w:ascii="Arial" w:cs="Arial" w:eastAsia="Arial" w:hAnsi="Arial"/>
                <w:sz w:val="18"/>
                <w:szCs w:val="18"/>
                <w:b w:val="1"/>
                <w:bCs w:val="1"/>
                <w:color w:val="1A1A1A"/>
              </w:rPr>
              <w:t>Continuing Directors (terms will expire in 2020)</w:t>
            </w:r>
          </w:p>
        </w:tc>
        <w:tc>
          <w:tcPr>
            <w:tcW w:w="260" w:type="dxa"/>
            <w:vAlign w:val="bottom"/>
          </w:tcPr>
          <w:p>
            <w:pPr>
              <w:spacing w:after="0"/>
              <w:rPr>
                <w:sz w:val="20"/>
                <w:szCs w:val="20"/>
                <w:color w:val="auto"/>
              </w:rPr>
            </w:pPr>
          </w:p>
        </w:tc>
        <w:tc>
          <w:tcPr>
            <w:tcW w:w="260" w:type="dxa"/>
            <w:vAlign w:val="bottom"/>
            <w:tcBorders>
              <w:bottom w:val="single" w:sz="8" w:color="8590A9"/>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bottom w:val="single" w:sz="8" w:color="8590A9"/>
            </w:tcBorders>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Borders>
              <w:bottom w:val="single" w:sz="8" w:color="8590A9"/>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0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Betsy Atkins*</w:t>
            </w:r>
          </w:p>
        </w:tc>
        <w:tc>
          <w:tcPr>
            <w:tcW w:w="260" w:type="dxa"/>
            <w:vAlign w:val="bottom"/>
          </w:tcPr>
          <w:p>
            <w:pPr>
              <w:spacing w:after="0"/>
              <w:rPr>
                <w:sz w:val="20"/>
                <w:szCs w:val="20"/>
                <w:color w:val="auto"/>
              </w:rPr>
            </w:pPr>
          </w:p>
        </w:tc>
        <w:tc>
          <w:tcPr>
            <w:tcW w:w="26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89"/>
              </w:rPr>
              <w:t>64</w:t>
            </w:r>
          </w:p>
        </w:tc>
        <w:tc>
          <w:tcPr>
            <w:tcW w:w="260" w:type="dxa"/>
            <w:vAlign w:val="bottom"/>
          </w:tcPr>
          <w:p>
            <w:pPr>
              <w:spacing w:after="0"/>
              <w:rPr>
                <w:sz w:val="20"/>
                <w:szCs w:val="20"/>
                <w:color w:val="auto"/>
              </w:rPr>
            </w:pPr>
          </w:p>
        </w:tc>
        <w:tc>
          <w:tcPr>
            <w:tcW w:w="84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4"/>
              </w:rPr>
              <w:t>2020</w:t>
            </w:r>
          </w:p>
        </w:tc>
        <w:tc>
          <w:tcPr>
            <w:tcW w:w="280" w:type="dxa"/>
            <w:vAlign w:val="bottom"/>
          </w:tcPr>
          <w:p>
            <w:pPr>
              <w:spacing w:after="0"/>
              <w:rPr>
                <w:sz w:val="20"/>
                <w:szCs w:val="20"/>
                <w:color w:val="auto"/>
              </w:rPr>
            </w:pPr>
          </w:p>
        </w:tc>
        <w:tc>
          <w:tcPr>
            <w:tcW w:w="52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9"/>
              </w:rPr>
              <w:t>2015</w:t>
            </w:r>
          </w:p>
        </w:tc>
        <w:tc>
          <w:tcPr>
            <w:tcW w:w="0" w:type="dxa"/>
            <w:vAlign w:val="bottom"/>
          </w:tcPr>
          <w:p>
            <w:pPr>
              <w:spacing w:after="0"/>
              <w:rPr>
                <w:sz w:val="1"/>
                <w:szCs w:val="1"/>
                <w:color w:val="auto"/>
              </w:rPr>
            </w:pPr>
          </w:p>
        </w:tc>
      </w:tr>
      <w:tr>
        <w:trPr>
          <w:trHeight w:val="236"/>
        </w:trPr>
        <w:tc>
          <w:tcPr>
            <w:tcW w:w="90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Marc Holliday</w:t>
            </w:r>
          </w:p>
        </w:tc>
        <w:tc>
          <w:tcPr>
            <w:tcW w:w="260" w:type="dxa"/>
            <w:vAlign w:val="bottom"/>
          </w:tcPr>
          <w:p>
            <w:pPr>
              <w:spacing w:after="0"/>
              <w:rPr>
                <w:sz w:val="20"/>
                <w:szCs w:val="20"/>
                <w:color w:val="auto"/>
              </w:rPr>
            </w:pPr>
          </w:p>
        </w:tc>
        <w:tc>
          <w:tcPr>
            <w:tcW w:w="26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89"/>
              </w:rPr>
              <w:t>51</w:t>
            </w:r>
          </w:p>
        </w:tc>
        <w:tc>
          <w:tcPr>
            <w:tcW w:w="260" w:type="dxa"/>
            <w:vAlign w:val="bottom"/>
          </w:tcPr>
          <w:p>
            <w:pPr>
              <w:spacing w:after="0"/>
              <w:rPr>
                <w:sz w:val="20"/>
                <w:szCs w:val="20"/>
                <w:color w:val="auto"/>
              </w:rPr>
            </w:pPr>
          </w:p>
        </w:tc>
        <w:tc>
          <w:tcPr>
            <w:tcW w:w="84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4"/>
              </w:rPr>
              <w:t>2020</w:t>
            </w:r>
          </w:p>
        </w:tc>
        <w:tc>
          <w:tcPr>
            <w:tcW w:w="280" w:type="dxa"/>
            <w:vAlign w:val="bottom"/>
          </w:tcPr>
          <w:p>
            <w:pPr>
              <w:spacing w:after="0"/>
              <w:rPr>
                <w:sz w:val="20"/>
                <w:szCs w:val="20"/>
                <w:color w:val="auto"/>
              </w:rPr>
            </w:pPr>
          </w:p>
        </w:tc>
        <w:tc>
          <w:tcPr>
            <w:tcW w:w="52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1A1A1A"/>
                <w:w w:val="99"/>
              </w:rPr>
              <w:t>2001</w:t>
            </w:r>
          </w:p>
        </w:tc>
        <w:tc>
          <w:tcPr>
            <w:tcW w:w="0" w:type="dxa"/>
            <w:vAlign w:val="bottom"/>
          </w:tcPr>
          <w:p>
            <w:pPr>
              <w:spacing w:after="0"/>
              <w:rPr>
                <w:sz w:val="1"/>
                <w:szCs w:val="1"/>
                <w:color w:val="auto"/>
              </w:rPr>
            </w:pPr>
          </w:p>
        </w:tc>
      </w:tr>
      <w:tr>
        <w:trPr>
          <w:trHeight w:val="246"/>
        </w:trPr>
        <w:tc>
          <w:tcPr>
            <w:tcW w:w="90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John S. Levy*</w:t>
            </w:r>
          </w:p>
        </w:tc>
        <w:tc>
          <w:tcPr>
            <w:tcW w:w="260" w:type="dxa"/>
            <w:vAlign w:val="bottom"/>
          </w:tcPr>
          <w:p>
            <w:pPr>
              <w:spacing w:after="0"/>
              <w:rPr>
                <w:sz w:val="21"/>
                <w:szCs w:val="21"/>
                <w:color w:val="auto"/>
              </w:rPr>
            </w:pPr>
          </w:p>
        </w:tc>
        <w:tc>
          <w:tcPr>
            <w:tcW w:w="260" w:type="dxa"/>
            <w:vAlign w:val="bottom"/>
            <w:tcBorders>
              <w:bottom w:val="single" w:sz="8" w:color="345988"/>
            </w:tcBorders>
          </w:tcPr>
          <w:p>
            <w:pPr>
              <w:jc w:val="center"/>
              <w:spacing w:after="0"/>
              <w:rPr>
                <w:sz w:val="20"/>
                <w:szCs w:val="20"/>
                <w:color w:val="auto"/>
              </w:rPr>
            </w:pPr>
            <w:r>
              <w:rPr>
                <w:rFonts w:ascii="Arial" w:cs="Arial" w:eastAsia="Arial" w:hAnsi="Arial"/>
                <w:sz w:val="18"/>
                <w:szCs w:val="18"/>
                <w:color w:val="1A1A1A"/>
                <w:w w:val="89"/>
              </w:rPr>
              <w:t>82</w:t>
            </w:r>
          </w:p>
        </w:tc>
        <w:tc>
          <w:tcPr>
            <w:tcW w:w="260" w:type="dxa"/>
            <w:vAlign w:val="bottom"/>
          </w:tcPr>
          <w:p>
            <w:pPr>
              <w:spacing w:after="0"/>
              <w:rPr>
                <w:sz w:val="21"/>
                <w:szCs w:val="21"/>
                <w:color w:val="auto"/>
              </w:rPr>
            </w:pPr>
          </w:p>
        </w:tc>
        <w:tc>
          <w:tcPr>
            <w:tcW w:w="840" w:type="dxa"/>
            <w:vAlign w:val="bottom"/>
            <w:tcBorders>
              <w:bottom w:val="single" w:sz="8" w:color="345988"/>
            </w:tcBorders>
          </w:tcPr>
          <w:p>
            <w:pPr>
              <w:jc w:val="center"/>
              <w:spacing w:after="0"/>
              <w:rPr>
                <w:sz w:val="20"/>
                <w:szCs w:val="20"/>
                <w:color w:val="auto"/>
              </w:rPr>
            </w:pPr>
            <w:r>
              <w:rPr>
                <w:rFonts w:ascii="Arial" w:cs="Arial" w:eastAsia="Arial" w:hAnsi="Arial"/>
                <w:sz w:val="18"/>
                <w:szCs w:val="18"/>
                <w:color w:val="1A1A1A"/>
                <w:w w:val="94"/>
              </w:rPr>
              <w:t>2020</w:t>
            </w:r>
          </w:p>
        </w:tc>
        <w:tc>
          <w:tcPr>
            <w:tcW w:w="280" w:type="dxa"/>
            <w:vAlign w:val="bottom"/>
          </w:tcPr>
          <w:p>
            <w:pPr>
              <w:spacing w:after="0"/>
              <w:rPr>
                <w:sz w:val="21"/>
                <w:szCs w:val="21"/>
                <w:color w:val="auto"/>
              </w:rPr>
            </w:pPr>
          </w:p>
        </w:tc>
        <w:tc>
          <w:tcPr>
            <w:tcW w:w="520" w:type="dxa"/>
            <w:vAlign w:val="bottom"/>
            <w:tcBorders>
              <w:bottom w:val="single" w:sz="8" w:color="345988"/>
            </w:tcBorders>
          </w:tcPr>
          <w:p>
            <w:pPr>
              <w:jc w:val="center"/>
              <w:spacing w:after="0"/>
              <w:rPr>
                <w:sz w:val="20"/>
                <w:szCs w:val="20"/>
                <w:color w:val="auto"/>
              </w:rPr>
            </w:pPr>
            <w:r>
              <w:rPr>
                <w:rFonts w:ascii="Arial" w:cs="Arial" w:eastAsia="Arial" w:hAnsi="Arial"/>
                <w:sz w:val="18"/>
                <w:szCs w:val="18"/>
                <w:color w:val="1A1A1A"/>
                <w:w w:val="99"/>
              </w:rPr>
              <w:t>1997</w:t>
            </w:r>
          </w:p>
        </w:tc>
        <w:tc>
          <w:tcPr>
            <w:tcW w:w="0" w:type="dxa"/>
            <w:vAlign w:val="bottom"/>
          </w:tcPr>
          <w:p>
            <w:pPr>
              <w:spacing w:after="0"/>
              <w:rPr>
                <w:sz w:val="1"/>
                <w:szCs w:val="1"/>
                <w:color w:val="auto"/>
              </w:rPr>
            </w:pPr>
          </w:p>
        </w:tc>
      </w:tr>
      <w:tr>
        <w:trPr>
          <w:trHeight w:val="271"/>
        </w:trPr>
        <w:tc>
          <w:tcPr>
            <w:tcW w:w="9260" w:type="dxa"/>
            <w:vAlign w:val="bottom"/>
            <w:gridSpan w:val="2"/>
          </w:tcPr>
          <w:p>
            <w:pPr>
              <w:spacing w:after="0"/>
              <w:rPr>
                <w:sz w:val="20"/>
                <w:szCs w:val="20"/>
                <w:color w:val="auto"/>
              </w:rPr>
            </w:pPr>
            <w:r>
              <w:rPr>
                <w:rFonts w:ascii="Arial" w:cs="Arial" w:eastAsia="Arial" w:hAnsi="Arial"/>
                <w:sz w:val="13"/>
                <w:szCs w:val="13"/>
                <w:color w:val="191919"/>
              </w:rPr>
              <w:t>*  Independent Director</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0"/>
        </w:trPr>
        <w:tc>
          <w:tcPr>
            <w:tcW w:w="9260" w:type="dxa"/>
            <w:vAlign w:val="bottom"/>
            <w:gridSpan w:val="2"/>
          </w:tcPr>
          <w:p>
            <w:pPr>
              <w:spacing w:after="0"/>
              <w:rPr>
                <w:sz w:val="20"/>
                <w:szCs w:val="20"/>
                <w:color w:val="auto"/>
              </w:rPr>
            </w:pPr>
            <w:r>
              <w:rPr>
                <w:rFonts w:ascii="Arial" w:cs="Arial" w:eastAsia="Arial" w:hAnsi="Arial"/>
                <w:sz w:val="20"/>
                <w:szCs w:val="20"/>
                <w:b w:val="1"/>
                <w:bCs w:val="1"/>
                <w:color w:val="345988"/>
              </w:rPr>
              <w:t>Director Nominees—Terms Will Expire in 2019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280" w:type="dxa"/>
            <w:vAlign w:val="bottom"/>
            <w:tcBorders>
              <w:top w:val="single" w:sz="8" w:color="345988"/>
            </w:tcBorders>
          </w:tcPr>
          <w:p>
            <w:pPr>
              <w:jc w:val="center"/>
              <w:spacing w:after="0"/>
              <w:rPr>
                <w:sz w:val="20"/>
                <w:szCs w:val="20"/>
                <w:color w:val="auto"/>
              </w:rPr>
            </w:pPr>
            <w:r>
              <w:rPr>
                <w:rFonts w:ascii="Arial" w:cs="Arial" w:eastAsia="Arial" w:hAnsi="Arial"/>
                <w:sz w:val="22"/>
                <w:szCs w:val="22"/>
                <w:b w:val="1"/>
                <w:bCs w:val="1"/>
                <w:color w:val="345988"/>
                <w:w w:val="99"/>
              </w:rPr>
              <w:t>John H.</w:t>
            </w:r>
          </w:p>
        </w:tc>
        <w:tc>
          <w:tcPr>
            <w:tcW w:w="100" w:type="dxa"/>
            <w:vAlign w:val="bottom"/>
          </w:tcPr>
          <w:p>
            <w:pPr>
              <w:spacing w:after="0"/>
              <w:rPr>
                <w:sz w:val="24"/>
                <w:szCs w:val="24"/>
                <w:color w:val="auto"/>
              </w:rPr>
            </w:pPr>
          </w:p>
        </w:tc>
        <w:tc>
          <w:tcPr>
            <w:tcW w:w="10040" w:type="dxa"/>
            <w:vAlign w:val="bottom"/>
            <w:tcBorders>
              <w:top w:val="single" w:sz="8" w:color="345988"/>
            </w:tcBorders>
            <w:vMerge w:val="restart"/>
            <w:shd w:val="clear" w:color="auto" w:fill="ECEFF2"/>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70 Lead Independent Director</w:t>
            </w:r>
          </w:p>
        </w:tc>
        <w:tc>
          <w:tcPr>
            <w:tcW w:w="0" w:type="dxa"/>
            <w:vAlign w:val="bottom"/>
          </w:tcPr>
          <w:p>
            <w:pPr>
              <w:spacing w:after="0"/>
              <w:rPr>
                <w:sz w:val="1"/>
                <w:szCs w:val="1"/>
                <w:color w:val="auto"/>
              </w:rPr>
            </w:pPr>
          </w:p>
        </w:tc>
      </w:tr>
      <w:tr>
        <w:trPr>
          <w:trHeight w:val="168"/>
        </w:trPr>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345988"/>
                <w:w w:val="99"/>
              </w:rPr>
              <w:t>Alschuler</w:t>
            </w:r>
          </w:p>
        </w:tc>
        <w:tc>
          <w:tcPr>
            <w:tcW w:w="100" w:type="dxa"/>
            <w:vAlign w:val="bottom"/>
          </w:tcPr>
          <w:p>
            <w:pPr>
              <w:spacing w:after="0"/>
              <w:rPr>
                <w:sz w:val="14"/>
                <w:szCs w:val="14"/>
                <w:color w:val="auto"/>
              </w:rPr>
            </w:pPr>
          </w:p>
        </w:tc>
        <w:tc>
          <w:tcPr>
            <w:tcW w:w="10040" w:type="dxa"/>
            <w:vAlign w:val="bottom"/>
            <w:vMerge w:val="continue"/>
            <w:shd w:val="clear" w:color="auto" w:fill="ECEFF2"/>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40" w:type="dxa"/>
            <w:vAlign w:val="bottom"/>
            <w:shd w:val="clear" w:color="auto" w:fill="ECEFF2"/>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280" w:type="dxa"/>
            <w:vAlign w:val="bottom"/>
            <w:tcBorders>
              <w:bottom w:val="single" w:sz="8" w:color="345988"/>
            </w:tcBorders>
          </w:tcPr>
          <w:p>
            <w:pPr>
              <w:spacing w:after="0"/>
              <w:rPr>
                <w:sz w:val="3"/>
                <w:szCs w:val="3"/>
                <w:color w:val="auto"/>
              </w:rPr>
            </w:pPr>
          </w:p>
        </w:tc>
        <w:tc>
          <w:tcPr>
            <w:tcW w:w="100" w:type="dxa"/>
            <w:vAlign w:val="bottom"/>
          </w:tcPr>
          <w:p>
            <w:pPr>
              <w:spacing w:after="0"/>
              <w:rPr>
                <w:sz w:val="3"/>
                <w:szCs w:val="3"/>
                <w:color w:val="auto"/>
              </w:rPr>
            </w:pPr>
          </w:p>
        </w:tc>
        <w:tc>
          <w:tcPr>
            <w:tcW w:w="10040" w:type="dxa"/>
            <w:vAlign w:val="bottom"/>
            <w:tcBorders>
              <w:bottom w:val="single" w:sz="8" w:color="ECEFF2"/>
            </w:tcBorders>
            <w:shd w:val="clear" w:color="auto" w:fill="ECEFF2"/>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Mr. Alschuler’s achievements in academia and business, as well as his extensive knowledge of commercial real estate, New York</w:t>
            </w: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w w:val="99"/>
              </w:rPr>
              <w:t>City’s economy, commercial and other markets in New York City and national and international markets for real estate, and his</w:t>
            </w: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rPr>
              <w:t>expertise in inter-governmental relations, allow him to assess the real estate market and the Company’s business from a</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knowledgeable and informed perspective, from which he provides valuable insights into the Company’s business.</w:t>
            </w:r>
          </w:p>
        </w:tc>
        <w:tc>
          <w:tcPr>
            <w:tcW w:w="0" w:type="dxa"/>
            <w:vAlign w:val="bottom"/>
          </w:tcPr>
          <w:p>
            <w:pPr>
              <w:spacing w:after="0"/>
              <w:rPr>
                <w:sz w:val="1"/>
                <w:szCs w:val="1"/>
                <w:color w:val="auto"/>
              </w:rPr>
            </w:pPr>
          </w:p>
        </w:tc>
      </w:tr>
      <w:tr>
        <w:trPr>
          <w:trHeight w:val="426"/>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Professional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-793115</wp:posOffset>
            </wp:positionV>
            <wp:extent cx="804545" cy="1086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04545" cy="108648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345" w:lineRule="auto"/>
        <w:rPr>
          <w:sz w:val="20"/>
          <w:szCs w:val="20"/>
          <w:color w:val="auto"/>
        </w:rPr>
      </w:pPr>
      <w:r>
        <w:rPr>
          <w:rFonts w:ascii="Arial" w:cs="Arial" w:eastAsia="Arial" w:hAnsi="Arial"/>
          <w:sz w:val="16"/>
          <w:szCs w:val="16"/>
          <w:b w:val="1"/>
          <w:bCs w:val="1"/>
          <w:color w:val="auto"/>
        </w:rPr>
        <w:t>SL Green Board Service:</w:t>
      </w:r>
    </w:p>
    <w:p>
      <w:pPr>
        <w:spacing w:after="0" w:line="93" w:lineRule="exact"/>
        <w:rPr>
          <w:sz w:val="20"/>
          <w:szCs w:val="20"/>
          <w:color w:val="auto"/>
        </w:rPr>
      </w:pPr>
    </w:p>
    <w:p>
      <w:pPr>
        <w:ind w:left="280" w:hanging="263"/>
        <w:spacing w:after="0" w:line="286" w:lineRule="auto"/>
        <w:tabs>
          <w:tab w:leader="none" w:pos="257" w:val="left"/>
        </w:tabs>
        <w:numPr>
          <w:ilvl w:val="0"/>
          <w:numId w:val="22"/>
        </w:numPr>
        <w:rPr>
          <w:rFonts w:ascii="Times New Roman" w:cs="Times New Roman" w:eastAsia="Times New Roman" w:hAnsi="Times New Roman"/>
          <w:sz w:val="16"/>
          <w:szCs w:val="16"/>
          <w:color w:val="345988"/>
        </w:rPr>
      </w:pPr>
      <w:r>
        <w:rPr>
          <w:rFonts w:ascii="Arial" w:cs="Arial" w:eastAsia="Arial" w:hAnsi="Arial"/>
          <w:sz w:val="16"/>
          <w:szCs w:val="16"/>
          <w:color w:val="auto"/>
        </w:rPr>
        <w:t>Compensation Committee</w:t>
      </w:r>
    </w:p>
    <w:p>
      <w:pPr>
        <w:ind w:left="260" w:hanging="243"/>
        <w:spacing w:after="0"/>
        <w:tabs>
          <w:tab w:leader="none" w:pos="260" w:val="left"/>
        </w:tabs>
        <w:numPr>
          <w:ilvl w:val="0"/>
          <w:numId w:val="22"/>
        </w:numPr>
        <w:rPr>
          <w:rFonts w:ascii="Times New Roman" w:cs="Times New Roman" w:eastAsia="Times New Roman" w:hAnsi="Times New Roman"/>
          <w:sz w:val="17"/>
          <w:szCs w:val="17"/>
          <w:color w:val="345988"/>
        </w:rPr>
      </w:pPr>
      <w:r>
        <w:rPr>
          <w:rFonts w:ascii="Arial" w:cs="Arial" w:eastAsia="Arial" w:hAnsi="Arial"/>
          <w:sz w:val="18"/>
          <w:szCs w:val="18"/>
          <w:color w:val="auto"/>
        </w:rPr>
        <w:t>Nominating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59" w:right="220" w:hanging="259"/>
        <w:spacing w:after="0" w:line="268" w:lineRule="auto"/>
        <w:tabs>
          <w:tab w:leader="none" w:pos="237"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Chairman of HR&amp;A Advisors Inc., an economic development, real-estate and public policy consulting organization, since 2008</w:t>
      </w:r>
    </w:p>
    <w:p>
      <w:pPr>
        <w:spacing w:after="0" w:line="49" w:lineRule="exact"/>
        <w:rPr>
          <w:rFonts w:ascii="Arial" w:cs="Arial" w:eastAsia="Arial" w:hAnsi="Arial"/>
          <w:sz w:val="17"/>
          <w:szCs w:val="17"/>
          <w:color w:val="345988"/>
        </w:rPr>
      </w:pPr>
    </w:p>
    <w:p>
      <w:pPr>
        <w:ind w:left="259" w:right="220" w:hanging="259"/>
        <w:spacing w:after="0" w:line="268" w:lineRule="auto"/>
        <w:tabs>
          <w:tab w:leader="none" w:pos="237"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Adjunct Associate Professor, Graduate School of Architecture, Planning &amp; Preservation at Columbia University, teaching real estate development</w:t>
      </w:r>
    </w:p>
    <w:p>
      <w:pPr>
        <w:spacing w:after="0" w:line="49" w:lineRule="exact"/>
        <w:rPr>
          <w:rFonts w:ascii="Arial" w:cs="Arial" w:eastAsia="Arial" w:hAnsi="Arial"/>
          <w:sz w:val="17"/>
          <w:szCs w:val="17"/>
          <w:color w:val="345988"/>
        </w:rPr>
      </w:pPr>
    </w:p>
    <w:p>
      <w:pPr>
        <w:ind w:left="259" w:right="40" w:hanging="259"/>
        <w:spacing w:after="0" w:line="268" w:lineRule="auto"/>
        <w:tabs>
          <w:tab w:leader="none" w:pos="237"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Board of Directors of the Center for an Urban Future, a Section 501(c)(3) tax-exempt organization, and Friends of the High Line Inc., a Section 501(c)(3) tax-exempt organization</w:t>
      </w:r>
    </w:p>
    <w:p>
      <w:pPr>
        <w:spacing w:after="0" w:line="49" w:lineRule="exact"/>
        <w:rPr>
          <w:rFonts w:ascii="Arial" w:cs="Arial" w:eastAsia="Arial" w:hAnsi="Arial"/>
          <w:sz w:val="17"/>
          <w:szCs w:val="17"/>
          <w:color w:val="345988"/>
        </w:rPr>
      </w:pPr>
    </w:p>
    <w:p>
      <w:pPr>
        <w:ind w:left="239" w:hanging="239"/>
        <w:spacing w:after="0"/>
        <w:tabs>
          <w:tab w:leader="none" w:pos="239"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B.A. degree from Wesleyan University and Ed.D. degree from the University of Massachusetts at Amherst</w:t>
      </w:r>
    </w:p>
    <w:p>
      <w:pPr>
        <w:spacing w:after="0" w:line="12" w:lineRule="exact"/>
        <w:rPr>
          <w:sz w:val="20"/>
          <w:szCs w:val="20"/>
          <w:color w:val="auto"/>
        </w:rPr>
      </w:pPr>
    </w:p>
    <w:p>
      <w:pPr>
        <w:sectPr>
          <w:pgSz w:w="11900" w:h="16838" w:orient="portrait"/>
          <w:cols w:equalWidth="0" w:num="2">
            <w:col w:w="1380" w:space="281"/>
            <w:col w:w="9759"/>
          </w:cols>
          <w:pgMar w:left="240" w:top="119" w:right="239" w:bottom="1440" w:gutter="0" w:footer="0" w:header="0"/>
          <w:type w:val="continuous"/>
        </w:sectPr>
      </w:pPr>
    </w:p>
    <w:p>
      <w:pPr>
        <w:ind w:left="280"/>
        <w:spacing w:after="0"/>
        <w:rPr>
          <w:sz w:val="20"/>
          <w:szCs w:val="20"/>
          <w:color w:val="auto"/>
        </w:rPr>
      </w:pPr>
      <w:r>
        <w:rPr>
          <w:rFonts w:ascii="Arial" w:cs="Arial" w:eastAsia="Arial" w:hAnsi="Arial"/>
          <w:sz w:val="18"/>
          <w:szCs w:val="18"/>
          <w:color w:val="auto"/>
        </w:rPr>
        <w:t>and Corporate</w:t>
      </w:r>
    </w:p>
    <w:tbl>
      <w:tblPr>
        <w:tblLayout w:type="fixed"/>
        <w:tblInd w:w="20" w:type="dxa"/>
        <w:tblCellMar>
          <w:top w:w="0" w:type="dxa"/>
          <w:left w:w="0" w:type="dxa"/>
          <w:bottom w:w="0" w:type="dxa"/>
          <w:right w:w="0" w:type="dxa"/>
        </w:tblCellMar>
      </w:tblPr>
      <w:tr>
        <w:trPr>
          <w:trHeight w:val="280"/>
        </w:trPr>
        <w:tc>
          <w:tcPr>
            <w:tcW w:w="1280" w:type="dxa"/>
            <w:vAlign w:val="bottom"/>
          </w:tcPr>
          <w:p>
            <w:pPr>
              <w:ind w:left="260"/>
              <w:spacing w:after="0"/>
              <w:rPr>
                <w:sz w:val="20"/>
                <w:szCs w:val="20"/>
                <w:color w:val="auto"/>
              </w:rPr>
            </w:pPr>
            <w:r>
              <w:rPr>
                <w:rFonts w:ascii="Arial" w:cs="Arial" w:eastAsia="Arial" w:hAnsi="Arial"/>
                <w:sz w:val="18"/>
                <w:szCs w:val="18"/>
                <w:color w:val="auto"/>
              </w:rPr>
              <w:t>Governance</w:t>
            </w:r>
          </w:p>
        </w:tc>
        <w:tc>
          <w:tcPr>
            <w:tcW w:w="3860" w:type="dxa"/>
            <w:vAlign w:val="bottom"/>
          </w:tcPr>
          <w:p>
            <w:pPr>
              <w:ind w:left="80"/>
              <w:spacing w:after="0"/>
              <w:rPr>
                <w:sz w:val="20"/>
                <w:szCs w:val="20"/>
                <w:color w:val="auto"/>
              </w:rPr>
            </w:pPr>
            <w:r>
              <w:rPr>
                <w:rFonts w:ascii="Arial" w:cs="Arial" w:eastAsia="Arial" w:hAnsi="Arial"/>
                <w:sz w:val="18"/>
                <w:szCs w:val="18"/>
                <w:b w:val="1"/>
                <w:bCs w:val="1"/>
                <w:color w:val="auto"/>
              </w:rPr>
              <w:t>Other Public Board Directorships</w:t>
            </w:r>
          </w:p>
        </w:tc>
        <w:tc>
          <w:tcPr>
            <w:tcW w:w="0" w:type="dxa"/>
            <w:vAlign w:val="bottom"/>
          </w:tcPr>
          <w:p>
            <w:pPr>
              <w:spacing w:after="0"/>
              <w:rPr>
                <w:sz w:val="1"/>
                <w:szCs w:val="1"/>
                <w:color w:val="auto"/>
              </w:rPr>
            </w:pPr>
          </w:p>
        </w:tc>
      </w:tr>
      <w:tr>
        <w:trPr>
          <w:trHeight w:val="102"/>
        </w:trPr>
        <w:tc>
          <w:tcPr>
            <w:tcW w:w="1280" w:type="dxa"/>
            <w:vAlign w:val="bottom"/>
          </w:tcPr>
          <w:p>
            <w:pPr>
              <w:ind w:left="260"/>
              <w:spacing w:after="0" w:line="103" w:lineRule="exact"/>
              <w:rPr>
                <w:sz w:val="20"/>
                <w:szCs w:val="20"/>
                <w:color w:val="auto"/>
              </w:rPr>
            </w:pPr>
            <w:r>
              <w:rPr>
                <w:rFonts w:ascii="Arial" w:cs="Arial" w:eastAsia="Arial" w:hAnsi="Arial"/>
                <w:sz w:val="11"/>
                <w:szCs w:val="11"/>
                <w:color w:val="auto"/>
              </w:rPr>
              <w:t>Committee</w:t>
            </w:r>
          </w:p>
        </w:tc>
        <w:tc>
          <w:tcPr>
            <w:tcW w:w="3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Executive</w:t>
            </w:r>
          </w:p>
        </w:tc>
        <w:tc>
          <w:tcPr>
            <w:tcW w:w="3860" w:type="dxa"/>
            <w:vAlign w:val="bottom"/>
            <w:vMerge w:val="restart"/>
          </w:tcPr>
          <w:p>
            <w:pPr>
              <w:ind w:left="36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Xenia Hotels and Resorts, Inc. since 2015</w:t>
            </w:r>
          </w:p>
        </w:tc>
        <w:tc>
          <w:tcPr>
            <w:tcW w:w="0" w:type="dxa"/>
            <w:vAlign w:val="bottom"/>
          </w:tcPr>
          <w:p>
            <w:pPr>
              <w:spacing w:after="0"/>
              <w:rPr>
                <w:sz w:val="1"/>
                <w:szCs w:val="1"/>
                <w:color w:val="auto"/>
              </w:rPr>
            </w:pPr>
          </w:p>
        </w:tc>
      </w:tr>
      <w:tr>
        <w:trPr>
          <w:trHeight w:val="156"/>
        </w:trPr>
        <w:tc>
          <w:tcPr>
            <w:tcW w:w="1280" w:type="dxa"/>
            <w:vAlign w:val="bottom"/>
            <w:vMerge w:val="restart"/>
          </w:tcPr>
          <w:p>
            <w:pPr>
              <w:ind w:left="260"/>
              <w:spacing w:after="0"/>
              <w:rPr>
                <w:sz w:val="20"/>
                <w:szCs w:val="20"/>
                <w:color w:val="auto"/>
              </w:rPr>
            </w:pPr>
            <w:r>
              <w:rPr>
                <w:rFonts w:ascii="Arial" w:cs="Arial" w:eastAsia="Arial" w:hAnsi="Arial"/>
                <w:sz w:val="18"/>
                <w:szCs w:val="18"/>
                <w:color w:val="auto"/>
              </w:rPr>
              <w:t>Committee</w:t>
            </w:r>
          </w:p>
        </w:tc>
        <w:tc>
          <w:tcPr>
            <w:tcW w:w="3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280" w:type="dxa"/>
            <w:vAlign w:val="bottom"/>
            <w:vMerge w:val="continue"/>
          </w:tcPr>
          <w:p>
            <w:pPr>
              <w:spacing w:after="0"/>
              <w:rPr>
                <w:sz w:val="7"/>
                <w:szCs w:val="7"/>
                <w:color w:val="auto"/>
              </w:rPr>
            </w:pPr>
          </w:p>
        </w:tc>
        <w:tc>
          <w:tcPr>
            <w:tcW w:w="38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right="6760" w:firstLine="1661"/>
        <w:spacing w:after="0" w:line="634" w:lineRule="auto"/>
        <w:tabs>
          <w:tab w:leader="none" w:pos="1891" w:val="left"/>
        </w:tabs>
        <w:numPr>
          <w:ilvl w:val="0"/>
          <w:numId w:val="24"/>
        </w:numPr>
        <w:rPr>
          <w:rFonts w:ascii="Arial" w:cs="Arial" w:eastAsia="Arial" w:hAnsi="Arial"/>
          <w:sz w:val="17"/>
          <w:szCs w:val="17"/>
          <w:color w:val="345988"/>
        </w:rPr>
      </w:pPr>
      <w:r>
        <w:rPr>
          <w:rFonts w:ascii="Arial" w:cs="Arial" w:eastAsia="Arial" w:hAnsi="Arial"/>
          <w:sz w:val="18"/>
          <w:szCs w:val="18"/>
          <w:color w:val="auto"/>
        </w:rPr>
        <w:t xml:space="preserve">The Macerich Company since 2015 </w:t>
      </w:r>
      <w:r>
        <w:rPr>
          <w:rFonts w:ascii="Arial" w:cs="Arial" w:eastAsia="Arial" w:hAnsi="Arial"/>
          <w:sz w:val="18"/>
          <w:szCs w:val="18"/>
          <w:color w:val="325889"/>
        </w:rPr>
        <w:t xml:space="preserve">10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6821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280" w:type="dxa"/>
            <w:vAlign w:val="bottom"/>
            <w:tcBorders>
              <w:top w:val="single" w:sz="8" w:color="345988"/>
            </w:tcBorders>
          </w:tcPr>
          <w:p>
            <w:pPr>
              <w:jc w:val="center"/>
              <w:spacing w:after="0"/>
              <w:rPr>
                <w:sz w:val="20"/>
                <w:szCs w:val="20"/>
                <w:color w:val="auto"/>
              </w:rPr>
            </w:pPr>
            <w:r>
              <w:rPr>
                <w:rFonts w:ascii="Arial" w:cs="Arial" w:eastAsia="Arial" w:hAnsi="Arial"/>
                <w:sz w:val="22"/>
                <w:szCs w:val="22"/>
                <w:b w:val="1"/>
                <w:bCs w:val="1"/>
                <w:color w:val="345988"/>
                <w:w w:val="98"/>
              </w:rPr>
              <w:t>Lauren B.</w:t>
            </w:r>
          </w:p>
        </w:tc>
        <w:tc>
          <w:tcPr>
            <w:tcW w:w="100" w:type="dxa"/>
            <w:vAlign w:val="bottom"/>
          </w:tcPr>
          <w:p>
            <w:pPr>
              <w:spacing w:after="0"/>
              <w:rPr>
                <w:sz w:val="24"/>
                <w:szCs w:val="24"/>
                <w:color w:val="auto"/>
              </w:rPr>
            </w:pPr>
          </w:p>
        </w:tc>
        <w:tc>
          <w:tcPr>
            <w:tcW w:w="10040" w:type="dxa"/>
            <w:vAlign w:val="bottom"/>
            <w:tcBorders>
              <w:top w:val="single" w:sz="8" w:color="345988"/>
            </w:tcBorders>
            <w:vMerge w:val="restart"/>
            <w:shd w:val="clear" w:color="auto" w:fill="ECEFF2"/>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2016</w:t>
            </w:r>
            <w:r>
              <w:rPr>
                <w:rFonts w:ascii="Arial" w:cs="Arial" w:eastAsia="Arial" w:hAnsi="Arial"/>
                <w:sz w:val="18"/>
                <w:szCs w:val="18"/>
                <w:color w:val="auto"/>
              </w:rPr>
              <w:t xml:space="preserve"> Age: </w:t>
            </w:r>
            <w:r>
              <w:rPr>
                <w:rFonts w:ascii="Arial" w:cs="Arial" w:eastAsia="Arial" w:hAnsi="Arial"/>
                <w:sz w:val="18"/>
                <w:szCs w:val="18"/>
                <w:b w:val="1"/>
                <w:bCs w:val="1"/>
                <w:color w:val="auto"/>
              </w:rPr>
              <w:t>42 Independent Director</w:t>
            </w:r>
          </w:p>
        </w:tc>
        <w:tc>
          <w:tcPr>
            <w:tcW w:w="0" w:type="dxa"/>
            <w:vAlign w:val="bottom"/>
          </w:tcPr>
          <w:p>
            <w:pPr>
              <w:spacing w:after="0"/>
              <w:rPr>
                <w:sz w:val="1"/>
                <w:szCs w:val="1"/>
                <w:color w:val="auto"/>
              </w:rPr>
            </w:pPr>
          </w:p>
        </w:tc>
      </w:tr>
      <w:tr>
        <w:trPr>
          <w:trHeight w:val="168"/>
        </w:trPr>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345988"/>
                <w:w w:val="99"/>
              </w:rPr>
              <w:t>Dillard</w:t>
            </w:r>
          </w:p>
        </w:tc>
        <w:tc>
          <w:tcPr>
            <w:tcW w:w="100" w:type="dxa"/>
            <w:vAlign w:val="bottom"/>
          </w:tcPr>
          <w:p>
            <w:pPr>
              <w:spacing w:after="0"/>
              <w:rPr>
                <w:sz w:val="14"/>
                <w:szCs w:val="14"/>
                <w:color w:val="auto"/>
              </w:rPr>
            </w:pPr>
          </w:p>
        </w:tc>
        <w:tc>
          <w:tcPr>
            <w:tcW w:w="10040" w:type="dxa"/>
            <w:vAlign w:val="bottom"/>
            <w:vMerge w:val="continue"/>
            <w:shd w:val="clear" w:color="auto" w:fill="ECEFF2"/>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40" w:type="dxa"/>
            <w:vAlign w:val="bottom"/>
            <w:shd w:val="clear" w:color="auto" w:fill="ECEFF2"/>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280" w:type="dxa"/>
            <w:vAlign w:val="bottom"/>
            <w:tcBorders>
              <w:bottom w:val="single" w:sz="8" w:color="345988"/>
            </w:tcBorders>
          </w:tcPr>
          <w:p>
            <w:pPr>
              <w:spacing w:after="0"/>
              <w:rPr>
                <w:sz w:val="3"/>
                <w:szCs w:val="3"/>
                <w:color w:val="auto"/>
              </w:rPr>
            </w:pPr>
          </w:p>
        </w:tc>
        <w:tc>
          <w:tcPr>
            <w:tcW w:w="100" w:type="dxa"/>
            <w:vAlign w:val="bottom"/>
          </w:tcPr>
          <w:p>
            <w:pPr>
              <w:spacing w:after="0"/>
              <w:rPr>
                <w:sz w:val="3"/>
                <w:szCs w:val="3"/>
                <w:color w:val="auto"/>
              </w:rPr>
            </w:pPr>
          </w:p>
        </w:tc>
        <w:tc>
          <w:tcPr>
            <w:tcW w:w="10040" w:type="dxa"/>
            <w:vAlign w:val="bottom"/>
            <w:tcBorders>
              <w:bottom w:val="single" w:sz="8" w:color="ECEFF2"/>
            </w:tcBorders>
            <w:shd w:val="clear" w:color="auto" w:fill="ECEFF2"/>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Ms. Dillard’s sophisticated understanding of tax, real estate, investment programs, finance, compensation and corporate</w:t>
            </w: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rPr>
              <w:t>governance, all viewed through the lens of over fifteen years of global private equity experience and together with her</w:t>
            </w: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rPr>
              <w:t>considerable operational expertise, provides the Board and the Company with deep and practical insight on a broad range of</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matters.</w:t>
            </w:r>
          </w:p>
        </w:tc>
        <w:tc>
          <w:tcPr>
            <w:tcW w:w="0" w:type="dxa"/>
            <w:vAlign w:val="bottom"/>
          </w:tcPr>
          <w:p>
            <w:pPr>
              <w:spacing w:after="0"/>
              <w:rPr>
                <w:sz w:val="1"/>
                <w:szCs w:val="1"/>
                <w:color w:val="auto"/>
              </w:rPr>
            </w:pPr>
          </w:p>
        </w:tc>
      </w:tr>
      <w:tr>
        <w:trPr>
          <w:trHeight w:val="426"/>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Professional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-793115</wp:posOffset>
            </wp:positionV>
            <wp:extent cx="804545" cy="1061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04545" cy="106108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345" w:lineRule="auto"/>
        <w:rPr>
          <w:sz w:val="20"/>
          <w:szCs w:val="20"/>
          <w:color w:val="auto"/>
        </w:rPr>
      </w:pPr>
      <w:r>
        <w:rPr>
          <w:rFonts w:ascii="Arial" w:cs="Arial" w:eastAsia="Arial" w:hAnsi="Arial"/>
          <w:sz w:val="16"/>
          <w:szCs w:val="16"/>
          <w:b w:val="1"/>
          <w:bCs w:val="1"/>
          <w:color w:val="auto"/>
        </w:rPr>
        <w:t>SL Green Board Service:</w:t>
      </w:r>
    </w:p>
    <w:p>
      <w:pPr>
        <w:spacing w:after="0" w:line="93" w:lineRule="exact"/>
        <w:rPr>
          <w:sz w:val="20"/>
          <w:szCs w:val="20"/>
          <w:color w:val="auto"/>
        </w:rPr>
      </w:pPr>
    </w:p>
    <w:p>
      <w:pPr>
        <w:ind w:left="280" w:right="260" w:hanging="263"/>
        <w:spacing w:after="0" w:line="286" w:lineRule="auto"/>
        <w:tabs>
          <w:tab w:leader="none" w:pos="257" w:val="left"/>
        </w:tabs>
        <w:numPr>
          <w:ilvl w:val="0"/>
          <w:numId w:val="25"/>
        </w:numPr>
        <w:rPr>
          <w:rFonts w:ascii="Times New Roman" w:cs="Times New Roman" w:eastAsia="Times New Roman" w:hAnsi="Times New Roman"/>
          <w:sz w:val="16"/>
          <w:szCs w:val="16"/>
          <w:color w:val="345988"/>
        </w:rPr>
      </w:pPr>
      <w:r>
        <w:rPr>
          <w:rFonts w:ascii="Arial" w:cs="Arial" w:eastAsia="Arial" w:hAnsi="Arial"/>
          <w:sz w:val="16"/>
          <w:szCs w:val="16"/>
          <w:color w:val="auto"/>
        </w:rPr>
        <w:t>Audit Committee</w:t>
      </w:r>
    </w:p>
    <w:p>
      <w:pPr>
        <w:ind w:left="280" w:hanging="263"/>
        <w:spacing w:after="0" w:line="291" w:lineRule="auto"/>
        <w:tabs>
          <w:tab w:leader="none" w:pos="257" w:val="left"/>
        </w:tabs>
        <w:numPr>
          <w:ilvl w:val="0"/>
          <w:numId w:val="25"/>
        </w:numPr>
        <w:rPr>
          <w:rFonts w:ascii="Times New Roman" w:cs="Times New Roman" w:eastAsia="Times New Roman" w:hAnsi="Times New Roman"/>
          <w:sz w:val="16"/>
          <w:szCs w:val="16"/>
          <w:color w:val="345988"/>
        </w:rPr>
      </w:pPr>
      <w:r>
        <w:rPr>
          <w:rFonts w:ascii="Arial" w:cs="Arial" w:eastAsia="Arial" w:hAnsi="Arial"/>
          <w:sz w:val="16"/>
          <w:szCs w:val="16"/>
          <w:color w:val="auto"/>
        </w:rPr>
        <w:t>Compensation Committee, Chair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59" w:right="420" w:hanging="259"/>
        <w:spacing w:after="0" w:line="332" w:lineRule="auto"/>
        <w:tabs>
          <w:tab w:leader="none" w:pos="237" w:val="left"/>
        </w:tabs>
        <w:numPr>
          <w:ilvl w:val="0"/>
          <w:numId w:val="26"/>
        </w:numPr>
        <w:rPr>
          <w:rFonts w:ascii="Arial" w:cs="Arial" w:eastAsia="Arial" w:hAnsi="Arial"/>
          <w:sz w:val="16"/>
          <w:szCs w:val="16"/>
          <w:color w:val="345988"/>
        </w:rPr>
      </w:pPr>
      <w:r>
        <w:rPr>
          <w:rFonts w:ascii="Arial" w:cs="Arial" w:eastAsia="Arial" w:hAnsi="Arial"/>
          <w:sz w:val="16"/>
          <w:szCs w:val="16"/>
          <w:color w:val="auto"/>
        </w:rPr>
        <w:t>Managing Director for the Carlyle Group, a global alternative asset manager, since 2011, head of Carlyle’s Investment Solutions Group since December 2015 and member of Carlyle’s Management Committee; joined Carlyle in 2002</w:t>
      </w:r>
    </w:p>
    <w:p>
      <w:pPr>
        <w:spacing w:after="0" w:line="2" w:lineRule="exact"/>
        <w:rPr>
          <w:rFonts w:ascii="Arial" w:cs="Arial" w:eastAsia="Arial" w:hAnsi="Arial"/>
          <w:sz w:val="16"/>
          <w:szCs w:val="16"/>
          <w:color w:val="345988"/>
        </w:rPr>
      </w:pPr>
    </w:p>
    <w:p>
      <w:pPr>
        <w:ind w:left="259" w:right="380" w:hanging="259"/>
        <w:spacing w:after="0" w:line="251" w:lineRule="auto"/>
        <w:tabs>
          <w:tab w:leader="none" w:pos="237" w:val="left"/>
        </w:tabs>
        <w:numPr>
          <w:ilvl w:val="0"/>
          <w:numId w:val="26"/>
        </w:numPr>
        <w:rPr>
          <w:rFonts w:ascii="Arial" w:cs="Arial" w:eastAsia="Arial" w:hAnsi="Arial"/>
          <w:sz w:val="17"/>
          <w:szCs w:val="17"/>
          <w:color w:val="345988"/>
        </w:rPr>
      </w:pPr>
      <w:r>
        <w:rPr>
          <w:rFonts w:ascii="Arial" w:cs="Arial" w:eastAsia="Arial" w:hAnsi="Arial"/>
          <w:sz w:val="18"/>
          <w:szCs w:val="18"/>
          <w:color w:val="auto"/>
        </w:rPr>
        <w:t>Chief Operating Officer and Chief Financial Officer for the Carlyle Group from 2013 to December 2015; former head of Global Tax Department and head of Global Equity Programs; and member of Carlyle’s Transaction Team where she played a significant role in transactions, including Carlyle’s initial public offering</w:t>
      </w:r>
    </w:p>
    <w:p>
      <w:pPr>
        <w:spacing w:after="0" w:line="64" w:lineRule="exact"/>
        <w:rPr>
          <w:rFonts w:ascii="Arial" w:cs="Arial" w:eastAsia="Arial" w:hAnsi="Arial"/>
          <w:sz w:val="17"/>
          <w:szCs w:val="17"/>
          <w:color w:val="345988"/>
        </w:rPr>
      </w:pPr>
    </w:p>
    <w:p>
      <w:pPr>
        <w:ind w:left="239" w:hanging="239"/>
        <w:spacing w:after="0"/>
        <w:tabs>
          <w:tab w:leader="none" w:pos="239" w:val="left"/>
        </w:tabs>
        <w:numPr>
          <w:ilvl w:val="0"/>
          <w:numId w:val="26"/>
        </w:numPr>
        <w:rPr>
          <w:rFonts w:ascii="Arial" w:cs="Arial" w:eastAsia="Arial" w:hAnsi="Arial"/>
          <w:sz w:val="17"/>
          <w:szCs w:val="17"/>
          <w:color w:val="345988"/>
        </w:rPr>
      </w:pPr>
      <w:r>
        <w:rPr>
          <w:rFonts w:ascii="Arial" w:cs="Arial" w:eastAsia="Arial" w:hAnsi="Arial"/>
          <w:sz w:val="18"/>
          <w:szCs w:val="18"/>
          <w:color w:val="auto"/>
        </w:rPr>
        <w:t>Served in the Real Estate and Financial Services Group of the Tax Practice of Arthur Andersen, LLP prior to 2002</w:t>
      </w:r>
    </w:p>
    <w:p>
      <w:pPr>
        <w:spacing w:after="0" w:line="102" w:lineRule="exact"/>
        <w:rPr>
          <w:rFonts w:ascii="Arial" w:cs="Arial" w:eastAsia="Arial" w:hAnsi="Arial"/>
          <w:sz w:val="17"/>
          <w:szCs w:val="17"/>
          <w:color w:val="345988"/>
        </w:rPr>
      </w:pPr>
    </w:p>
    <w:p>
      <w:pPr>
        <w:ind w:left="239" w:hanging="239"/>
        <w:spacing w:after="0"/>
        <w:tabs>
          <w:tab w:leader="none" w:pos="239" w:val="left"/>
        </w:tabs>
        <w:numPr>
          <w:ilvl w:val="0"/>
          <w:numId w:val="26"/>
        </w:numPr>
        <w:rPr>
          <w:rFonts w:ascii="Arial" w:cs="Arial" w:eastAsia="Arial" w:hAnsi="Arial"/>
          <w:sz w:val="17"/>
          <w:szCs w:val="17"/>
          <w:color w:val="345988"/>
        </w:rPr>
      </w:pPr>
      <w:r>
        <w:rPr>
          <w:rFonts w:ascii="Arial" w:cs="Arial" w:eastAsia="Arial" w:hAnsi="Arial"/>
          <w:sz w:val="18"/>
          <w:szCs w:val="18"/>
          <w:color w:val="auto"/>
        </w:rPr>
        <w:t>Member of the Board of Directors of AlpInvest Partners.</w:t>
      </w:r>
    </w:p>
    <w:p>
      <w:pPr>
        <w:spacing w:after="0" w:line="102" w:lineRule="exact"/>
        <w:rPr>
          <w:rFonts w:ascii="Arial" w:cs="Arial" w:eastAsia="Arial" w:hAnsi="Arial"/>
          <w:sz w:val="17"/>
          <w:szCs w:val="17"/>
          <w:color w:val="345988"/>
        </w:rPr>
      </w:pPr>
    </w:p>
    <w:p>
      <w:pPr>
        <w:ind w:left="259" w:right="480" w:hanging="259"/>
        <w:spacing w:after="0" w:line="268" w:lineRule="auto"/>
        <w:tabs>
          <w:tab w:leader="none" w:pos="237" w:val="left"/>
        </w:tabs>
        <w:numPr>
          <w:ilvl w:val="0"/>
          <w:numId w:val="26"/>
        </w:numPr>
        <w:rPr>
          <w:rFonts w:ascii="Arial" w:cs="Arial" w:eastAsia="Arial" w:hAnsi="Arial"/>
          <w:sz w:val="17"/>
          <w:szCs w:val="17"/>
          <w:color w:val="345988"/>
        </w:rPr>
      </w:pPr>
      <w:r>
        <w:rPr>
          <w:rFonts w:ascii="Arial" w:cs="Arial" w:eastAsia="Arial" w:hAnsi="Arial"/>
          <w:sz w:val="18"/>
          <w:szCs w:val="18"/>
          <w:color w:val="auto"/>
        </w:rPr>
        <w:t>Founder and leader of Carlyle’s Women’s Employee Resource Group, member of the Private Equity Women Investor Network (PEWIN) and other industry initiatives</w:t>
      </w:r>
    </w:p>
    <w:p>
      <w:pPr>
        <w:spacing w:after="0" w:line="49" w:lineRule="exact"/>
        <w:rPr>
          <w:rFonts w:ascii="Arial" w:cs="Arial" w:eastAsia="Arial" w:hAnsi="Arial"/>
          <w:sz w:val="17"/>
          <w:szCs w:val="17"/>
          <w:color w:val="345988"/>
        </w:rPr>
      </w:pPr>
    </w:p>
    <w:p>
      <w:pPr>
        <w:ind w:left="259" w:right="120" w:hanging="259"/>
        <w:spacing w:after="0" w:line="268" w:lineRule="auto"/>
        <w:tabs>
          <w:tab w:leader="none" w:pos="237" w:val="left"/>
        </w:tabs>
        <w:numPr>
          <w:ilvl w:val="0"/>
          <w:numId w:val="26"/>
        </w:numPr>
        <w:rPr>
          <w:rFonts w:ascii="Arial" w:cs="Arial" w:eastAsia="Arial" w:hAnsi="Arial"/>
          <w:sz w:val="17"/>
          <w:szCs w:val="17"/>
          <w:color w:val="345988"/>
        </w:rPr>
      </w:pPr>
      <w:r>
        <w:rPr>
          <w:rFonts w:ascii="Arial" w:cs="Arial" w:eastAsia="Arial" w:hAnsi="Arial"/>
          <w:sz w:val="18"/>
          <w:szCs w:val="18"/>
          <w:color w:val="auto"/>
        </w:rPr>
        <w:t>Recipient of the prestigious One Carlyle Award in recognition of her contributions to and support of the firm’s collaborative culture</w:t>
      </w:r>
    </w:p>
    <w:p>
      <w:pPr>
        <w:spacing w:after="0" w:line="49" w:lineRule="exact"/>
        <w:rPr>
          <w:rFonts w:ascii="Arial" w:cs="Arial" w:eastAsia="Arial" w:hAnsi="Arial"/>
          <w:sz w:val="17"/>
          <w:szCs w:val="17"/>
          <w:color w:val="345988"/>
        </w:rPr>
      </w:pPr>
    </w:p>
    <w:p>
      <w:pPr>
        <w:ind w:left="239" w:hanging="239"/>
        <w:spacing w:after="0"/>
        <w:tabs>
          <w:tab w:leader="none" w:pos="239" w:val="left"/>
        </w:tabs>
        <w:numPr>
          <w:ilvl w:val="0"/>
          <w:numId w:val="26"/>
        </w:numPr>
        <w:rPr>
          <w:rFonts w:ascii="Arial" w:cs="Arial" w:eastAsia="Arial" w:hAnsi="Arial"/>
          <w:sz w:val="17"/>
          <w:szCs w:val="17"/>
          <w:color w:val="345988"/>
        </w:rPr>
      </w:pPr>
      <w:r>
        <w:rPr>
          <w:rFonts w:ascii="Arial" w:cs="Arial" w:eastAsia="Arial" w:hAnsi="Arial"/>
          <w:sz w:val="18"/>
          <w:szCs w:val="18"/>
          <w:color w:val="auto"/>
        </w:rPr>
        <w:t>B.S. in business administration from the University of Richmond</w:t>
      </w:r>
    </w:p>
    <w:p>
      <w:pPr>
        <w:spacing w:after="0" w:line="200" w:lineRule="exact"/>
        <w:rPr>
          <w:sz w:val="20"/>
          <w:szCs w:val="20"/>
          <w:color w:val="auto"/>
        </w:rPr>
      </w:pPr>
    </w:p>
    <w:p>
      <w:pPr>
        <w:sectPr>
          <w:pgSz w:w="11900" w:h="16838" w:orient="portrait"/>
          <w:cols w:equalWidth="0" w:num="2">
            <w:col w:w="1380" w:space="281"/>
            <w:col w:w="9759"/>
          </w:cols>
          <w:pgMar w:left="240" w:top="119" w:right="239" w:bottom="1440" w:gutter="0" w:footer="0" w:header="0"/>
          <w:type w:val="continuous"/>
        </w:sectPr>
      </w:pPr>
    </w:p>
    <w:p>
      <w:pPr>
        <w:spacing w:after="0" w:line="9"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Other Public Board Directorships</w:t>
      </w:r>
    </w:p>
    <w:p>
      <w:pPr>
        <w:sectPr>
          <w:pgSz w:w="11900" w:h="16838" w:orient="portrait"/>
          <w:cols w:equalWidth="0" w:num="1">
            <w:col w:w="11420"/>
          </w:cols>
          <w:pgMar w:left="240" w:top="1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100"/>
        <w:spacing w:after="0"/>
        <w:rPr>
          <w:sz w:val="20"/>
          <w:szCs w:val="20"/>
          <w:color w:val="auto"/>
        </w:rPr>
      </w:pPr>
      <w:r>
        <w:rPr>
          <w:rFonts w:ascii="Arial" w:cs="Arial" w:eastAsia="Arial" w:hAnsi="Arial"/>
          <w:sz w:val="20"/>
          <w:szCs w:val="20"/>
          <w:b w:val="1"/>
          <w:bCs w:val="1"/>
          <w:color w:val="345988"/>
        </w:rPr>
        <w:t>Stephen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8045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04545" cy="17145"/>
                    </a:xfrm>
                    <a:prstGeom prst="rect">
                      <a:avLst/>
                    </a:prstGeom>
                    <a:noFill/>
                  </pic:spPr>
                </pic:pic>
              </a:graphicData>
            </a:graphic>
          </wp:anchor>
        </w:drawing>
      </w:r>
    </w:p>
    <w:p>
      <w:pPr>
        <w:spacing w:after="0" w:line="23" w:lineRule="exact"/>
        <w:rPr>
          <w:sz w:val="20"/>
          <w:szCs w:val="20"/>
          <w:color w:val="auto"/>
        </w:rPr>
      </w:pPr>
    </w:p>
    <w:p>
      <w:pPr>
        <w:jc w:val="center"/>
        <w:ind w:left="100"/>
        <w:spacing w:after="0"/>
        <w:rPr>
          <w:sz w:val="20"/>
          <w:szCs w:val="20"/>
          <w:color w:val="auto"/>
        </w:rPr>
      </w:pPr>
      <w:r>
        <w:rPr>
          <w:rFonts w:ascii="Arial" w:cs="Arial" w:eastAsia="Arial" w:hAnsi="Arial"/>
          <w:sz w:val="22"/>
          <w:szCs w:val="22"/>
          <w:b w:val="1"/>
          <w:bCs w:val="1"/>
          <w:color w:val="345988"/>
        </w:rPr>
        <w:t>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8045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440" w:hanging="239"/>
        <w:spacing w:after="0"/>
        <w:tabs>
          <w:tab w:leader="none" w:pos="440" w:val="left"/>
        </w:tabs>
        <w:numPr>
          <w:ilvl w:val="0"/>
          <w:numId w:val="27"/>
        </w:numPr>
        <w:rPr>
          <w:rFonts w:ascii="Arial" w:cs="Arial" w:eastAsia="Arial" w:hAnsi="Arial"/>
          <w:sz w:val="17"/>
          <w:szCs w:val="17"/>
          <w:color w:val="345988"/>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231140</wp:posOffset>
            </wp:positionV>
            <wp:extent cx="6374130" cy="419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74130" cy="41910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1997</w:t>
      </w:r>
      <w:r>
        <w:rPr>
          <w:rFonts w:ascii="Arial" w:cs="Arial" w:eastAsia="Arial" w:hAnsi="Arial"/>
          <w:sz w:val="16"/>
          <w:szCs w:val="16"/>
          <w:color w:val="auto"/>
        </w:rPr>
        <w:t xml:space="preserve"> Age: </w:t>
      </w:r>
      <w:r>
        <w:rPr>
          <w:rFonts w:ascii="Arial" w:cs="Arial" w:eastAsia="Arial" w:hAnsi="Arial"/>
          <w:sz w:val="16"/>
          <w:szCs w:val="16"/>
          <w:b w:val="1"/>
          <w:bCs w:val="1"/>
          <w:color w:val="auto"/>
        </w:rPr>
        <w:t>80 Chairman of the Board</w:t>
      </w:r>
    </w:p>
    <w:p>
      <w:pPr>
        <w:spacing w:after="0" w:line="343" w:lineRule="exact"/>
        <w:rPr>
          <w:sz w:val="20"/>
          <w:szCs w:val="20"/>
          <w:color w:val="auto"/>
        </w:rPr>
      </w:pPr>
    </w:p>
    <w:p>
      <w:pPr>
        <w:sectPr>
          <w:pgSz w:w="11900" w:h="16838" w:orient="portrait"/>
          <w:cols w:equalWidth="0" w:num="2">
            <w:col w:w="1200" w:space="260"/>
            <w:col w:w="9960"/>
          </w:cols>
          <w:pgMar w:left="240" w:top="1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345" w:lineRule="auto"/>
        <w:rPr>
          <w:sz w:val="20"/>
          <w:szCs w:val="20"/>
          <w:color w:val="auto"/>
        </w:rPr>
      </w:pPr>
      <w:r>
        <w:rPr>
          <w:rFonts w:ascii="Arial" w:cs="Arial" w:eastAsia="Arial" w:hAnsi="Arial"/>
          <w:sz w:val="16"/>
          <w:szCs w:val="16"/>
          <w:b w:val="1"/>
          <w:bCs w:val="1"/>
          <w:color w:val="auto"/>
        </w:rPr>
        <w:t>SL Green Board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-1528445</wp:posOffset>
            </wp:positionV>
            <wp:extent cx="804545" cy="1069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04545" cy="1069340"/>
                    </a:xfrm>
                    <a:prstGeom prst="rect">
                      <a:avLst/>
                    </a:prstGeom>
                    <a:noFill/>
                  </pic:spPr>
                </pic:pic>
              </a:graphicData>
            </a:graphic>
          </wp:anchor>
        </w:drawing>
      </w:r>
    </w:p>
    <w:p>
      <w:pPr>
        <w:spacing w:after="0" w:line="73" w:lineRule="exact"/>
        <w:rPr>
          <w:sz w:val="20"/>
          <w:szCs w:val="20"/>
          <w:color w:val="auto"/>
        </w:rPr>
      </w:pPr>
    </w:p>
    <w:p>
      <w:pPr>
        <w:ind w:left="280" w:right="60" w:hanging="263"/>
        <w:spacing w:after="0" w:line="306" w:lineRule="auto"/>
        <w:tabs>
          <w:tab w:leader="none" w:pos="257" w:val="left"/>
        </w:tabs>
        <w:numPr>
          <w:ilvl w:val="0"/>
          <w:numId w:val="28"/>
        </w:numPr>
        <w:rPr>
          <w:rFonts w:ascii="Times New Roman" w:cs="Times New Roman" w:eastAsia="Times New Roman" w:hAnsi="Times New Roman"/>
          <w:sz w:val="16"/>
          <w:szCs w:val="16"/>
          <w:color w:val="345988"/>
        </w:rPr>
      </w:pPr>
      <w:r>
        <w:rPr>
          <w:rFonts w:ascii="Arial" w:cs="Arial" w:eastAsia="Arial" w:hAnsi="Arial"/>
          <w:sz w:val="16"/>
          <w:szCs w:val="16"/>
          <w:color w:val="auto"/>
        </w:rPr>
        <w:t>Executive Committee, Chair</w:t>
      </w:r>
    </w:p>
    <w:p>
      <w:pPr>
        <w:spacing w:after="0" w:line="20" w:lineRule="exact"/>
        <w:rPr>
          <w:sz w:val="20"/>
          <w:szCs w:val="20"/>
          <w:color w:val="auto"/>
        </w:rPr>
      </w:pPr>
      <w:r>
        <w:rPr>
          <w:sz w:val="20"/>
          <w:szCs w:val="20"/>
          <w:color w:val="auto"/>
        </w:rPr>
        <w:br w:type="column"/>
      </w:r>
    </w:p>
    <w:p>
      <w:pPr>
        <w:ind w:right="200"/>
        <w:spacing w:after="0" w:line="245" w:lineRule="auto"/>
        <w:rPr>
          <w:sz w:val="20"/>
          <w:szCs w:val="20"/>
          <w:color w:val="auto"/>
        </w:rPr>
      </w:pPr>
      <w:r>
        <w:rPr>
          <w:rFonts w:ascii="Arial" w:cs="Arial" w:eastAsia="Arial" w:hAnsi="Arial"/>
          <w:sz w:val="18"/>
          <w:szCs w:val="18"/>
          <w:color w:val="auto"/>
        </w:rPr>
        <w:t>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13" w:lineRule="exact"/>
        <w:rPr>
          <w:sz w:val="20"/>
          <w:szCs w:val="20"/>
          <w:color w:val="auto"/>
        </w:rPr>
      </w:pPr>
    </w:p>
    <w:p>
      <w:pPr>
        <w:ind w:left="520" w:hanging="239"/>
        <w:spacing w:after="0"/>
        <w:tabs>
          <w:tab w:leader="none" w:pos="520"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Chairman of the Board of the Company since 1997</w:t>
      </w:r>
    </w:p>
    <w:p>
      <w:pPr>
        <w:spacing w:after="0" w:line="102" w:lineRule="exact"/>
        <w:rPr>
          <w:rFonts w:ascii="Arial" w:cs="Arial" w:eastAsia="Arial" w:hAnsi="Arial"/>
          <w:sz w:val="17"/>
          <w:szCs w:val="17"/>
          <w:color w:val="345988"/>
        </w:rPr>
      </w:pPr>
    </w:p>
    <w:p>
      <w:pPr>
        <w:ind w:left="540" w:right="280" w:hanging="259"/>
        <w:spacing w:after="0" w:line="268" w:lineRule="auto"/>
        <w:tabs>
          <w:tab w:leader="none" w:pos="517"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Executive officer, working in conjunction with our Chief Executive Officer, overseeing the Company’s long-term strategic direction; formerly served as our Chief Executive Officer</w:t>
      </w:r>
    </w:p>
    <w:p>
      <w:pPr>
        <w:spacing w:after="0" w:line="49" w:lineRule="exact"/>
        <w:rPr>
          <w:rFonts w:ascii="Arial" w:cs="Arial" w:eastAsia="Arial" w:hAnsi="Arial"/>
          <w:sz w:val="17"/>
          <w:szCs w:val="17"/>
          <w:color w:val="345988"/>
        </w:rPr>
      </w:pPr>
    </w:p>
    <w:p>
      <w:pPr>
        <w:ind w:left="540" w:right="300" w:hanging="259"/>
        <w:spacing w:after="0" w:line="268" w:lineRule="auto"/>
        <w:tabs>
          <w:tab w:leader="none" w:pos="517"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Founded our predecessor, S.L. Green Properties, Inc., in 1980; prior to our initial public offering in 1997, Mr. Green was involved in the acquisition of over 50 Manhattan office buildings containing in excess of 10.0 million square feet</w:t>
      </w:r>
    </w:p>
    <w:p>
      <w:pPr>
        <w:spacing w:after="0" w:line="49" w:lineRule="exact"/>
        <w:rPr>
          <w:rFonts w:ascii="Arial" w:cs="Arial" w:eastAsia="Arial" w:hAnsi="Arial"/>
          <w:sz w:val="17"/>
          <w:szCs w:val="17"/>
          <w:color w:val="345988"/>
        </w:rPr>
      </w:pPr>
    </w:p>
    <w:p>
      <w:pPr>
        <w:ind w:left="520" w:hanging="239"/>
        <w:spacing w:after="0"/>
        <w:tabs>
          <w:tab w:leader="none" w:pos="520"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Chairman of the Board of Gramercy Capital Corp., or Gramercy, August 2004 to June 2009</w:t>
      </w:r>
    </w:p>
    <w:p>
      <w:pPr>
        <w:spacing w:after="0" w:line="102" w:lineRule="exact"/>
        <w:rPr>
          <w:rFonts w:ascii="Arial" w:cs="Arial" w:eastAsia="Arial" w:hAnsi="Arial"/>
          <w:sz w:val="17"/>
          <w:szCs w:val="17"/>
          <w:color w:val="345988"/>
        </w:rPr>
      </w:pPr>
    </w:p>
    <w:p>
      <w:pPr>
        <w:ind w:left="520" w:hanging="239"/>
        <w:spacing w:after="0"/>
        <w:tabs>
          <w:tab w:leader="none" w:pos="520"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At-large member of the Executive Committee of the Board of Governors of the Real Estate Board of New York</w:t>
      </w:r>
    </w:p>
    <w:p>
      <w:pPr>
        <w:spacing w:after="0" w:line="102" w:lineRule="exact"/>
        <w:rPr>
          <w:rFonts w:ascii="Arial" w:cs="Arial" w:eastAsia="Arial" w:hAnsi="Arial"/>
          <w:sz w:val="17"/>
          <w:szCs w:val="17"/>
          <w:color w:val="345988"/>
        </w:rPr>
      </w:pPr>
    </w:p>
    <w:p>
      <w:pPr>
        <w:ind w:left="520" w:hanging="239"/>
        <w:spacing w:after="0"/>
        <w:tabs>
          <w:tab w:leader="none" w:pos="520"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Member of the Board of Directors of Streetsquash, Inc., a Section 501(c)(3) tax-exempt organization</w:t>
      </w:r>
    </w:p>
    <w:p>
      <w:pPr>
        <w:spacing w:after="0" w:line="102" w:lineRule="exact"/>
        <w:rPr>
          <w:rFonts w:ascii="Arial" w:cs="Arial" w:eastAsia="Arial" w:hAnsi="Arial"/>
          <w:sz w:val="17"/>
          <w:szCs w:val="17"/>
          <w:color w:val="345988"/>
        </w:rPr>
      </w:pPr>
    </w:p>
    <w:p>
      <w:pPr>
        <w:ind w:left="540" w:right="40" w:hanging="259"/>
        <w:spacing w:after="0" w:line="268" w:lineRule="auto"/>
        <w:tabs>
          <w:tab w:leader="none" w:pos="517"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Previously member of the Board of Directors of Stemedica Cell Technologies, Inc., August 2007 to April 2009; Chairman of the Real Estate Board of New York’s Tax Committee</w:t>
      </w:r>
    </w:p>
    <w:p>
      <w:pPr>
        <w:spacing w:after="0" w:line="49" w:lineRule="exact"/>
        <w:rPr>
          <w:rFonts w:ascii="Arial" w:cs="Arial" w:eastAsia="Arial" w:hAnsi="Arial"/>
          <w:sz w:val="17"/>
          <w:szCs w:val="17"/>
          <w:color w:val="345988"/>
        </w:rPr>
      </w:pPr>
    </w:p>
    <w:p>
      <w:pPr>
        <w:ind w:left="520" w:hanging="239"/>
        <w:spacing w:after="0"/>
        <w:tabs>
          <w:tab w:leader="none" w:pos="520"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B.A. degree from Hartwick College and J.D. degree from Boston College Law School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Directorships</w:t>
      </w:r>
    </w:p>
    <w:p>
      <w:pPr>
        <w:spacing w:after="0" w:line="213" w:lineRule="exact"/>
        <w:rPr>
          <w:sz w:val="20"/>
          <w:szCs w:val="20"/>
          <w:color w:val="auto"/>
        </w:rPr>
      </w:pPr>
    </w:p>
    <w:p>
      <w:pPr>
        <w:ind w:left="520" w:hanging="239"/>
        <w:spacing w:after="0"/>
        <w:tabs>
          <w:tab w:leader="none" w:pos="520" w:val="left"/>
        </w:tabs>
        <w:numPr>
          <w:ilvl w:val="0"/>
          <w:numId w:val="30"/>
        </w:numPr>
        <w:rPr>
          <w:rFonts w:ascii="Arial" w:cs="Arial" w:eastAsia="Arial" w:hAnsi="Arial"/>
          <w:sz w:val="17"/>
          <w:szCs w:val="17"/>
          <w:color w:val="345988"/>
        </w:rPr>
      </w:pP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1240" w:space="140"/>
            <w:col w:w="10040"/>
          </w:cols>
          <w:pgMar w:left="240" w:top="119" w:right="239" w:bottom="1440" w:gutter="0" w:footer="0" w:header="0"/>
          <w:type w:val="continuous"/>
        </w:sectPr>
      </w:pPr>
    </w:p>
    <w:p>
      <w:pPr>
        <w:spacing w:after="0" w:line="118"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Continuing Directors—Terms Will Expire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5734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573405"/>
                    </a:xfrm>
                    <a:prstGeom prst="rect">
                      <a:avLst/>
                    </a:prstGeom>
                    <a:noFill/>
                  </pic:spPr>
                </pic:pic>
              </a:graphicData>
            </a:graphic>
          </wp:anchor>
        </w:drawing>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345988"/>
        </w:rPr>
        <w:t>Edwin</w:t>
      </w:r>
    </w:p>
    <w:p>
      <w:pPr>
        <w:ind w:left="220"/>
        <w:spacing w:after="0" w:line="236" w:lineRule="auto"/>
        <w:tabs>
          <w:tab w:leader="none" w:pos="1420" w:val="left"/>
        </w:tabs>
        <w:rPr>
          <w:sz w:val="20"/>
          <w:szCs w:val="20"/>
          <w:color w:val="auto"/>
        </w:rPr>
      </w:pPr>
      <w:r>
        <w:rPr>
          <w:rFonts w:ascii="Arial" w:cs="Arial" w:eastAsia="Arial" w:hAnsi="Arial"/>
          <w:sz w:val="22"/>
          <w:szCs w:val="22"/>
          <w:b w:val="1"/>
          <w:bCs w:val="1"/>
          <w:color w:val="345988"/>
        </w:rPr>
        <w:t>Thomas</w:t>
      </w:r>
      <w:r>
        <w:rPr>
          <w:sz w:val="20"/>
          <w:szCs w:val="20"/>
          <w:color w:val="auto"/>
        </w:rPr>
        <w:tab/>
      </w: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75 Independent Director</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345988"/>
        </w:rPr>
        <w:t>Burton,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956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46" w:lineRule="exact"/>
        <w:rPr>
          <w:sz w:val="20"/>
          <w:szCs w:val="20"/>
          <w:color w:val="auto"/>
        </w:rPr>
      </w:pPr>
    </w:p>
    <w:p>
      <w:pPr>
        <w:ind w:left="1360" w:right="120"/>
        <w:spacing w:after="0" w:line="251" w:lineRule="auto"/>
        <w:rPr>
          <w:sz w:val="20"/>
          <w:szCs w:val="20"/>
          <w:color w:val="auto"/>
        </w:rPr>
      </w:pPr>
      <w:r>
        <w:rPr>
          <w:rFonts w:ascii="Arial" w:cs="Arial" w:eastAsia="Arial" w:hAnsi="Arial"/>
          <w:sz w:val="18"/>
          <w:szCs w:val="18"/>
          <w:color w:val="auto"/>
        </w:rPr>
        <w:t>In addition to his experience in academia as a seasoned professor of economics, Mr. Burton’s extensive skills and experience in corporate governance, financial, compensation and legal matters allow him to provide valuable financial expertise and insights into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95655" cy="1043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95655" cy="1043940"/>
                    </a:xfrm>
                    <a:prstGeom prst="rect">
                      <a:avLst/>
                    </a:prstGeom>
                    <a:noFill/>
                  </pic:spPr>
                </pic:pic>
              </a:graphicData>
            </a:graphic>
          </wp:anchor>
        </w:drawing>
      </w:r>
    </w:p>
    <w:p>
      <w:pPr>
        <w:spacing w:after="0" w:line="150"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Professional Experience</w:t>
      </w:r>
    </w:p>
    <w:p>
      <w:pPr>
        <w:sectPr>
          <w:pgSz w:w="11900" w:h="16838" w:orient="portrait"/>
          <w:cols w:equalWidth="0" w:num="1">
            <w:col w:w="11380"/>
          </w:cols>
          <w:pgMar w:left="240" w:top="11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40"/>
        <w:spacing w:after="0" w:line="345" w:lineRule="auto"/>
        <w:rPr>
          <w:sz w:val="20"/>
          <w:szCs w:val="20"/>
          <w:color w:val="auto"/>
        </w:rPr>
      </w:pPr>
      <w:r>
        <w:rPr>
          <w:rFonts w:ascii="Arial" w:cs="Arial" w:eastAsia="Arial" w:hAnsi="Arial"/>
          <w:sz w:val="16"/>
          <w:szCs w:val="16"/>
          <w:b w:val="1"/>
          <w:bCs w:val="1"/>
          <w:color w:val="auto"/>
        </w:rPr>
        <w:t>SL Green Board Service:</w:t>
      </w:r>
    </w:p>
    <w:p>
      <w:pPr>
        <w:spacing w:after="0" w:line="93" w:lineRule="exact"/>
        <w:rPr>
          <w:sz w:val="20"/>
          <w:szCs w:val="20"/>
          <w:color w:val="auto"/>
        </w:rPr>
      </w:pPr>
    </w:p>
    <w:p>
      <w:pPr>
        <w:ind w:left="280" w:right="200" w:hanging="263"/>
        <w:spacing w:after="0" w:line="278" w:lineRule="auto"/>
        <w:tabs>
          <w:tab w:leader="none" w:pos="257" w:val="left"/>
        </w:tabs>
        <w:numPr>
          <w:ilvl w:val="0"/>
          <w:numId w:val="31"/>
        </w:numPr>
        <w:rPr>
          <w:rFonts w:ascii="Times New Roman" w:cs="Times New Roman" w:eastAsia="Times New Roman" w:hAnsi="Times New Roman"/>
          <w:sz w:val="16"/>
          <w:szCs w:val="16"/>
          <w:color w:val="345988"/>
        </w:rPr>
      </w:pPr>
      <w:r>
        <w:rPr>
          <w:rFonts w:ascii="Arial" w:cs="Arial" w:eastAsia="Arial" w:hAnsi="Arial"/>
          <w:sz w:val="16"/>
          <w:szCs w:val="16"/>
          <w:color w:val="auto"/>
        </w:rPr>
        <w:t>Audit Committee, Chair</w:t>
      </w:r>
    </w:p>
    <w:p>
      <w:pPr>
        <w:spacing w:after="0" w:line="1" w:lineRule="exact"/>
        <w:rPr>
          <w:rFonts w:ascii="Times New Roman" w:cs="Times New Roman" w:eastAsia="Times New Roman" w:hAnsi="Times New Roman"/>
          <w:sz w:val="16"/>
          <w:szCs w:val="16"/>
          <w:color w:val="345988"/>
        </w:rPr>
      </w:pPr>
    </w:p>
    <w:p>
      <w:pPr>
        <w:ind w:left="280" w:hanging="263"/>
        <w:spacing w:after="0" w:line="320" w:lineRule="auto"/>
        <w:tabs>
          <w:tab w:leader="none" w:pos="257" w:val="left"/>
        </w:tabs>
        <w:numPr>
          <w:ilvl w:val="0"/>
          <w:numId w:val="31"/>
        </w:numPr>
        <w:rPr>
          <w:rFonts w:ascii="Times New Roman" w:cs="Times New Roman" w:eastAsia="Times New Roman" w:hAnsi="Times New Roman"/>
          <w:sz w:val="16"/>
          <w:szCs w:val="16"/>
          <w:color w:val="345988"/>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53" w:right="740" w:hanging="253"/>
        <w:spacing w:after="0" w:line="268" w:lineRule="auto"/>
        <w:tabs>
          <w:tab w:leader="none" w:pos="230" w:val="left"/>
        </w:tabs>
        <w:numPr>
          <w:ilvl w:val="0"/>
          <w:numId w:val="32"/>
        </w:numPr>
        <w:rPr>
          <w:rFonts w:ascii="Arial" w:cs="Arial" w:eastAsia="Arial" w:hAnsi="Arial"/>
          <w:sz w:val="17"/>
          <w:szCs w:val="17"/>
          <w:color w:val="345988"/>
        </w:rPr>
      </w:pPr>
      <w:r>
        <w:rPr>
          <w:rFonts w:ascii="Arial" w:cs="Arial" w:eastAsia="Arial" w:hAnsi="Arial"/>
          <w:sz w:val="18"/>
          <w:szCs w:val="18"/>
          <w:color w:val="auto"/>
        </w:rPr>
        <w:t>Professor of Economics at the University of Virginia since 1988; has held teaching positions at York College, Rice University and Cornell University, and has written and lectured extensively in the field of Economics</w:t>
      </w:r>
    </w:p>
    <w:p>
      <w:pPr>
        <w:spacing w:after="0" w:line="49" w:lineRule="exact"/>
        <w:rPr>
          <w:rFonts w:ascii="Arial" w:cs="Arial" w:eastAsia="Arial" w:hAnsi="Arial"/>
          <w:sz w:val="17"/>
          <w:szCs w:val="17"/>
          <w:color w:val="345988"/>
        </w:rPr>
      </w:pPr>
    </w:p>
    <w:p>
      <w:pPr>
        <w:ind w:left="233" w:hanging="233"/>
        <w:spacing w:after="0"/>
        <w:tabs>
          <w:tab w:leader="none" w:pos="233" w:val="left"/>
        </w:tabs>
        <w:numPr>
          <w:ilvl w:val="0"/>
          <w:numId w:val="32"/>
        </w:numPr>
        <w:rPr>
          <w:rFonts w:ascii="Arial" w:cs="Arial" w:eastAsia="Arial" w:hAnsi="Arial"/>
          <w:sz w:val="17"/>
          <w:szCs w:val="17"/>
          <w:color w:val="345988"/>
        </w:rPr>
      </w:pPr>
      <w:r>
        <w:rPr>
          <w:rFonts w:ascii="Arial" w:cs="Arial" w:eastAsia="Arial" w:hAnsi="Arial"/>
          <w:sz w:val="18"/>
          <w:szCs w:val="18"/>
          <w:color w:val="auto"/>
        </w:rPr>
        <w:t>Consultant to numerous companies on investment strategy and investment banking</w:t>
      </w:r>
    </w:p>
    <w:p>
      <w:pPr>
        <w:spacing w:after="0" w:line="102" w:lineRule="exact"/>
        <w:rPr>
          <w:rFonts w:ascii="Arial" w:cs="Arial" w:eastAsia="Arial" w:hAnsi="Arial"/>
          <w:sz w:val="17"/>
          <w:szCs w:val="17"/>
          <w:color w:val="345988"/>
        </w:rPr>
      </w:pPr>
    </w:p>
    <w:p>
      <w:pPr>
        <w:ind w:left="253" w:hanging="253"/>
        <w:spacing w:after="0" w:line="332" w:lineRule="auto"/>
        <w:tabs>
          <w:tab w:leader="none" w:pos="230" w:val="left"/>
        </w:tabs>
        <w:numPr>
          <w:ilvl w:val="0"/>
          <w:numId w:val="32"/>
        </w:numPr>
        <w:rPr>
          <w:rFonts w:ascii="Arial" w:cs="Arial" w:eastAsia="Arial" w:hAnsi="Arial"/>
          <w:sz w:val="16"/>
          <w:szCs w:val="16"/>
          <w:color w:val="345988"/>
        </w:rPr>
      </w:pPr>
      <w:r>
        <w:rPr>
          <w:rFonts w:ascii="Arial" w:cs="Arial" w:eastAsia="Arial" w:hAnsi="Arial"/>
          <w:sz w:val="16"/>
          <w:szCs w:val="16"/>
          <w:color w:val="auto"/>
        </w:rPr>
        <w:t>Member of the Board of Trustees of the Virginia Retirement System for state and local employees of the Commonwealth of Virginia from 1994 to 2001 and then again from 2004 to 2014, and served as its Chairman from 1997 until March 2001</w:t>
      </w:r>
    </w:p>
    <w:p>
      <w:pPr>
        <w:spacing w:after="0" w:line="2" w:lineRule="exact"/>
        <w:rPr>
          <w:rFonts w:ascii="Arial" w:cs="Arial" w:eastAsia="Arial" w:hAnsi="Arial"/>
          <w:sz w:val="16"/>
          <w:szCs w:val="16"/>
          <w:color w:val="345988"/>
        </w:rPr>
      </w:pPr>
    </w:p>
    <w:p>
      <w:pPr>
        <w:ind w:left="253" w:right="260" w:hanging="253"/>
        <w:spacing w:after="0" w:line="268" w:lineRule="auto"/>
        <w:tabs>
          <w:tab w:leader="none" w:pos="230" w:val="left"/>
        </w:tabs>
        <w:numPr>
          <w:ilvl w:val="0"/>
          <w:numId w:val="32"/>
        </w:numPr>
        <w:rPr>
          <w:rFonts w:ascii="Arial" w:cs="Arial" w:eastAsia="Arial" w:hAnsi="Arial"/>
          <w:sz w:val="17"/>
          <w:szCs w:val="17"/>
          <w:color w:val="345988"/>
        </w:rPr>
      </w:pPr>
      <w:r>
        <w:rPr>
          <w:rFonts w:ascii="Arial" w:cs="Arial" w:eastAsia="Arial" w:hAnsi="Arial"/>
          <w:sz w:val="18"/>
          <w:szCs w:val="18"/>
          <w:color w:val="auto"/>
        </w:rPr>
        <w:t>Senior Vice President, Managing Director and director of Interstate Johnson Lane, Incorporated, an investment banking firm, where he was in charge of the Corporate Finance and Public Finance Divisions from 1994 to 1995</w:t>
      </w:r>
    </w:p>
    <w:p>
      <w:pPr>
        <w:spacing w:after="0" w:line="49" w:lineRule="exact"/>
        <w:rPr>
          <w:rFonts w:ascii="Arial" w:cs="Arial" w:eastAsia="Arial" w:hAnsi="Arial"/>
          <w:sz w:val="17"/>
          <w:szCs w:val="17"/>
          <w:color w:val="345988"/>
        </w:rPr>
      </w:pPr>
    </w:p>
    <w:p>
      <w:pPr>
        <w:ind w:left="253" w:right="60" w:hanging="253"/>
        <w:spacing w:after="0" w:line="251" w:lineRule="auto"/>
        <w:tabs>
          <w:tab w:leader="none" w:pos="230" w:val="left"/>
        </w:tabs>
        <w:numPr>
          <w:ilvl w:val="0"/>
          <w:numId w:val="32"/>
        </w:numPr>
        <w:rPr>
          <w:rFonts w:ascii="Arial" w:cs="Arial" w:eastAsia="Arial" w:hAnsi="Arial"/>
          <w:sz w:val="17"/>
          <w:szCs w:val="17"/>
          <w:color w:val="345988"/>
        </w:rPr>
      </w:pPr>
      <w:r>
        <w:rPr>
          <w:rFonts w:ascii="Arial" w:cs="Arial" w:eastAsia="Arial" w:hAnsi="Arial"/>
          <w:sz w:val="18"/>
          <w:szCs w:val="18"/>
          <w:color w:val="auto"/>
        </w:rPr>
        <w:t>President of Rothschild Financial Services, Incorporated (a subsidiary of Rothschild, Inc. of North America), an investment banking company headquartered in New York City that is involved in proprietary trading, securities lending and other investment activities from 1987 to 1994</w:t>
      </w:r>
    </w:p>
    <w:p>
      <w:pPr>
        <w:spacing w:after="0" w:line="64" w:lineRule="exact"/>
        <w:rPr>
          <w:rFonts w:ascii="Arial" w:cs="Arial" w:eastAsia="Arial" w:hAnsi="Arial"/>
          <w:sz w:val="17"/>
          <w:szCs w:val="17"/>
          <w:color w:val="345988"/>
        </w:rPr>
      </w:pPr>
    </w:p>
    <w:p>
      <w:pPr>
        <w:ind w:left="233" w:hanging="233"/>
        <w:spacing w:after="0"/>
        <w:tabs>
          <w:tab w:leader="none" w:pos="233" w:val="left"/>
        </w:tabs>
        <w:numPr>
          <w:ilvl w:val="0"/>
          <w:numId w:val="32"/>
        </w:numPr>
        <w:rPr>
          <w:rFonts w:ascii="Arial" w:cs="Arial" w:eastAsia="Arial" w:hAnsi="Arial"/>
          <w:sz w:val="17"/>
          <w:szCs w:val="17"/>
          <w:color w:val="345988"/>
        </w:rPr>
      </w:pPr>
      <w:r>
        <w:rPr>
          <w:rFonts w:ascii="Arial" w:cs="Arial" w:eastAsia="Arial" w:hAnsi="Arial"/>
          <w:sz w:val="18"/>
          <w:szCs w:val="18"/>
          <w:color w:val="auto"/>
        </w:rPr>
        <w:t>Consultant to the American Stock Exchange from 1985 to 1986</w:t>
      </w:r>
    </w:p>
    <w:p>
      <w:pPr>
        <w:spacing w:after="0" w:line="102" w:lineRule="exact"/>
        <w:rPr>
          <w:rFonts w:ascii="Arial" w:cs="Arial" w:eastAsia="Arial" w:hAnsi="Arial"/>
          <w:sz w:val="17"/>
          <w:szCs w:val="17"/>
          <w:color w:val="345988"/>
        </w:rPr>
      </w:pPr>
    </w:p>
    <w:p>
      <w:pPr>
        <w:ind w:left="233" w:hanging="233"/>
        <w:spacing w:after="0"/>
        <w:tabs>
          <w:tab w:leader="none" w:pos="233" w:val="left"/>
        </w:tabs>
        <w:numPr>
          <w:ilvl w:val="0"/>
          <w:numId w:val="32"/>
        </w:numPr>
        <w:rPr>
          <w:rFonts w:ascii="Arial" w:cs="Arial" w:eastAsia="Arial" w:hAnsi="Arial"/>
          <w:sz w:val="17"/>
          <w:szCs w:val="17"/>
          <w:color w:val="345988"/>
        </w:rPr>
      </w:pPr>
      <w:r>
        <w:rPr>
          <w:rFonts w:ascii="Arial" w:cs="Arial" w:eastAsia="Arial" w:hAnsi="Arial"/>
          <w:sz w:val="18"/>
          <w:szCs w:val="18"/>
          <w:color w:val="auto"/>
        </w:rPr>
        <w:t>Senior vice president with Smith Barney (or its corporate predecessor) from 1976 to 1984</w:t>
      </w:r>
    </w:p>
    <w:p>
      <w:pPr>
        <w:spacing w:after="0" w:line="102" w:lineRule="exact"/>
        <w:rPr>
          <w:rFonts w:ascii="Arial" w:cs="Arial" w:eastAsia="Arial" w:hAnsi="Arial"/>
          <w:sz w:val="17"/>
          <w:szCs w:val="17"/>
          <w:color w:val="345988"/>
        </w:rPr>
      </w:pPr>
    </w:p>
    <w:p>
      <w:pPr>
        <w:ind w:left="233" w:hanging="233"/>
        <w:spacing w:after="0"/>
        <w:tabs>
          <w:tab w:leader="none" w:pos="233" w:val="left"/>
        </w:tabs>
        <w:numPr>
          <w:ilvl w:val="0"/>
          <w:numId w:val="32"/>
        </w:numPr>
        <w:rPr>
          <w:rFonts w:ascii="Arial" w:cs="Arial" w:eastAsia="Arial" w:hAnsi="Arial"/>
          <w:sz w:val="17"/>
          <w:szCs w:val="17"/>
          <w:color w:val="345988"/>
        </w:rPr>
      </w:pPr>
      <w:r>
        <w:rPr>
          <w:rFonts w:ascii="Arial" w:cs="Arial" w:eastAsia="Arial" w:hAnsi="Arial"/>
          <w:sz w:val="18"/>
          <w:szCs w:val="18"/>
          <w:color w:val="auto"/>
        </w:rPr>
        <w:t>Member of the Board of Directors of Chase Investors, a privately-held registered investment advisor, since 2004</w:t>
      </w:r>
    </w:p>
    <w:p>
      <w:pPr>
        <w:spacing w:after="0" w:line="102" w:lineRule="exact"/>
        <w:rPr>
          <w:rFonts w:ascii="Arial" w:cs="Arial" w:eastAsia="Arial" w:hAnsi="Arial"/>
          <w:sz w:val="17"/>
          <w:szCs w:val="17"/>
          <w:color w:val="345988"/>
        </w:rPr>
      </w:pPr>
    </w:p>
    <w:p>
      <w:pPr>
        <w:ind w:left="253" w:right="260" w:hanging="253"/>
        <w:spacing w:after="0" w:line="268" w:lineRule="auto"/>
        <w:tabs>
          <w:tab w:leader="none" w:pos="230" w:val="left"/>
        </w:tabs>
        <w:numPr>
          <w:ilvl w:val="0"/>
          <w:numId w:val="32"/>
        </w:numPr>
        <w:rPr>
          <w:rFonts w:ascii="Arial" w:cs="Arial" w:eastAsia="Arial" w:hAnsi="Arial"/>
          <w:sz w:val="17"/>
          <w:szCs w:val="17"/>
          <w:color w:val="345988"/>
        </w:rPr>
      </w:pPr>
      <w:r>
        <w:rPr>
          <w:rFonts w:ascii="Arial" w:cs="Arial" w:eastAsia="Arial" w:hAnsi="Arial"/>
          <w:sz w:val="18"/>
          <w:szCs w:val="18"/>
          <w:color w:val="auto"/>
        </w:rPr>
        <w:t>Former member of the Board of Directors of Capstar Hotel Company, a publicly-traded hotel company, Virginia National Bank, a publicly-traded commercial bank, and SNL Securities, a private securities data company</w:t>
      </w:r>
    </w:p>
    <w:p>
      <w:pPr>
        <w:spacing w:after="0" w:line="49" w:lineRule="exact"/>
        <w:rPr>
          <w:rFonts w:ascii="Arial" w:cs="Arial" w:eastAsia="Arial" w:hAnsi="Arial"/>
          <w:sz w:val="17"/>
          <w:szCs w:val="17"/>
          <w:color w:val="345988"/>
        </w:rPr>
      </w:pPr>
    </w:p>
    <w:p>
      <w:pPr>
        <w:ind w:left="233" w:hanging="233"/>
        <w:spacing w:after="0"/>
        <w:tabs>
          <w:tab w:leader="none" w:pos="233" w:val="left"/>
        </w:tabs>
        <w:numPr>
          <w:ilvl w:val="0"/>
          <w:numId w:val="32"/>
        </w:numPr>
        <w:rPr>
          <w:rFonts w:ascii="Arial" w:cs="Arial" w:eastAsia="Arial" w:hAnsi="Arial"/>
          <w:sz w:val="17"/>
          <w:szCs w:val="17"/>
          <w:color w:val="345988"/>
        </w:rPr>
      </w:pPr>
      <w:r>
        <w:rPr>
          <w:rFonts w:ascii="Arial" w:cs="Arial" w:eastAsia="Arial" w:hAnsi="Arial"/>
          <w:sz w:val="18"/>
          <w:szCs w:val="18"/>
          <w:color w:val="auto"/>
        </w:rPr>
        <w:t>B.A. degree in Economics from Rice University and Ph.D. degree in Economics from Northwestern University</w:t>
      </w:r>
    </w:p>
    <w:p>
      <w:pPr>
        <w:spacing w:after="0" w:line="200" w:lineRule="exact"/>
        <w:rPr>
          <w:sz w:val="20"/>
          <w:szCs w:val="20"/>
          <w:color w:val="auto"/>
        </w:rPr>
      </w:pPr>
    </w:p>
    <w:p>
      <w:pPr>
        <w:sectPr>
          <w:pgSz w:w="11900" w:h="16838" w:orient="portrait"/>
          <w:cols w:equalWidth="0" w:num="2">
            <w:col w:w="1380" w:space="267"/>
            <w:col w:w="9733"/>
          </w:cols>
          <w:pgMar w:left="240" w:top="119" w:right="279" w:bottom="1440" w:gutter="0" w:footer="0" w:header="0"/>
          <w:type w:val="continuous"/>
        </w:sectPr>
      </w:pPr>
    </w:p>
    <w:p>
      <w:pPr>
        <w:spacing w:after="0" w:line="9" w:lineRule="exact"/>
        <w:rPr>
          <w:sz w:val="20"/>
          <w:szCs w:val="20"/>
          <w:color w:val="auto"/>
        </w:rPr>
      </w:pPr>
    </w:p>
    <w:p>
      <w:pPr>
        <w:jc w:val="right"/>
        <w:ind w:right="7240"/>
        <w:spacing w:after="0"/>
        <w:rPr>
          <w:sz w:val="20"/>
          <w:szCs w:val="20"/>
          <w:color w:val="auto"/>
        </w:rPr>
      </w:pPr>
      <w:r>
        <w:rPr>
          <w:rFonts w:ascii="Arial" w:cs="Arial" w:eastAsia="Arial" w:hAnsi="Arial"/>
          <w:sz w:val="18"/>
          <w:szCs w:val="18"/>
          <w:b w:val="1"/>
          <w:bCs w:val="1"/>
          <w:color w:val="auto"/>
        </w:rPr>
        <w:t>Other Public Board Directorships</w:t>
      </w:r>
    </w:p>
    <w:p>
      <w:pPr>
        <w:spacing w:after="0" w:line="213" w:lineRule="exact"/>
        <w:rPr>
          <w:sz w:val="20"/>
          <w:szCs w:val="20"/>
          <w:color w:val="auto"/>
        </w:rPr>
      </w:pPr>
    </w:p>
    <w:p>
      <w:pPr>
        <w:ind w:left="1880" w:hanging="233"/>
        <w:spacing w:after="0"/>
        <w:tabs>
          <w:tab w:leader="none" w:pos="1880" w:val="left"/>
        </w:tabs>
        <w:numPr>
          <w:ilvl w:val="0"/>
          <w:numId w:val="33"/>
        </w:numPr>
        <w:rPr>
          <w:rFonts w:ascii="Arial" w:cs="Arial" w:eastAsia="Arial" w:hAnsi="Arial"/>
          <w:sz w:val="17"/>
          <w:szCs w:val="17"/>
          <w:color w:val="345988"/>
        </w:rPr>
      </w:pPr>
      <w:r>
        <w:rPr>
          <w:rFonts w:ascii="Arial" w:cs="Arial" w:eastAsia="Arial" w:hAnsi="Arial"/>
          <w:sz w:val="18"/>
          <w:szCs w:val="18"/>
          <w:color w:val="auto"/>
        </w:rPr>
        <w:t>None</w:t>
      </w:r>
    </w:p>
    <w:p>
      <w:pPr>
        <w:spacing w:after="0" w:line="318" w:lineRule="exact"/>
        <w:rPr>
          <w:rFonts w:ascii="Arial" w:cs="Arial" w:eastAsia="Arial" w:hAnsi="Arial"/>
          <w:sz w:val="17"/>
          <w:szCs w:val="17"/>
          <w:color w:val="345988"/>
        </w:rPr>
      </w:pPr>
    </w:p>
    <w:p>
      <w:pPr>
        <w:spacing w:after="0"/>
        <w:rPr>
          <w:rFonts w:ascii="Arial" w:cs="Arial" w:eastAsia="Arial" w:hAnsi="Arial"/>
          <w:sz w:val="17"/>
          <w:szCs w:val="17"/>
          <w:color w:val="345988"/>
        </w:rPr>
      </w:pPr>
      <w:r>
        <w:rPr>
          <w:rFonts w:ascii="Arial" w:cs="Arial" w:eastAsia="Arial" w:hAnsi="Arial"/>
          <w:sz w:val="18"/>
          <w:szCs w:val="18"/>
          <w:color w:val="325889"/>
        </w:rPr>
        <w:t xml:space="preserve">12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80"/>
          </w:cols>
          <w:pgMar w:left="240" w:top="119" w:right="2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60" w:type="dxa"/>
            <w:vAlign w:val="bottom"/>
            <w:tcBorders>
              <w:top w:val="single" w:sz="8" w:color="345988"/>
            </w:tcBorders>
          </w:tcPr>
          <w:p>
            <w:pPr>
              <w:spacing w:after="0"/>
              <w:rPr>
                <w:sz w:val="24"/>
                <w:szCs w:val="24"/>
                <w:color w:val="auto"/>
              </w:rPr>
            </w:pPr>
          </w:p>
        </w:tc>
        <w:tc>
          <w:tcPr>
            <w:tcW w:w="1100" w:type="dxa"/>
            <w:vAlign w:val="bottom"/>
            <w:tcBorders>
              <w:top w:val="single" w:sz="8" w:color="345988"/>
            </w:tcBorders>
          </w:tcPr>
          <w:p>
            <w:pPr>
              <w:ind w:left="40"/>
              <w:spacing w:after="0"/>
              <w:rPr>
                <w:sz w:val="20"/>
                <w:szCs w:val="20"/>
                <w:color w:val="auto"/>
              </w:rPr>
            </w:pPr>
            <w:r>
              <w:rPr>
                <w:rFonts w:ascii="Arial" w:cs="Arial" w:eastAsia="Arial" w:hAnsi="Arial"/>
                <w:sz w:val="22"/>
                <w:szCs w:val="22"/>
                <w:b w:val="1"/>
                <w:bCs w:val="1"/>
                <w:color w:val="345988"/>
              </w:rPr>
              <w:t>Craig M.</w:t>
            </w:r>
          </w:p>
        </w:tc>
        <w:tc>
          <w:tcPr>
            <w:tcW w:w="100" w:type="dxa"/>
            <w:vAlign w:val="bottom"/>
          </w:tcPr>
          <w:p>
            <w:pPr>
              <w:spacing w:after="0"/>
              <w:rPr>
                <w:sz w:val="24"/>
                <w:szCs w:val="24"/>
                <w:color w:val="auto"/>
              </w:rPr>
            </w:pPr>
          </w:p>
        </w:tc>
        <w:tc>
          <w:tcPr>
            <w:tcW w:w="10060" w:type="dxa"/>
            <w:vAlign w:val="bottom"/>
            <w:tcBorders>
              <w:top w:val="single" w:sz="8" w:color="345988"/>
            </w:tcBorders>
            <w:gridSpan w:val="2"/>
            <w:vMerge w:val="restart"/>
            <w:shd w:val="clear" w:color="auto" w:fill="ECEFF2"/>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2011</w:t>
            </w:r>
            <w:r>
              <w:rPr>
                <w:rFonts w:ascii="Arial" w:cs="Arial" w:eastAsia="Arial" w:hAnsi="Arial"/>
                <w:sz w:val="18"/>
                <w:szCs w:val="18"/>
                <w:color w:val="auto"/>
              </w:rPr>
              <w:t xml:space="preserve"> Age: </w:t>
            </w:r>
            <w:r>
              <w:rPr>
                <w:rFonts w:ascii="Arial" w:cs="Arial" w:eastAsia="Arial" w:hAnsi="Arial"/>
                <w:sz w:val="18"/>
                <w:szCs w:val="18"/>
                <w:b w:val="1"/>
                <w:bCs w:val="1"/>
                <w:color w:val="auto"/>
              </w:rPr>
              <w:t>64 Independent Director</w:t>
            </w: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1100" w:type="dxa"/>
            <w:vAlign w:val="bottom"/>
            <w:vMerge w:val="restart"/>
          </w:tcPr>
          <w:p>
            <w:pPr>
              <w:ind w:left="100"/>
              <w:spacing w:after="0"/>
              <w:rPr>
                <w:sz w:val="20"/>
                <w:szCs w:val="20"/>
                <w:color w:val="auto"/>
              </w:rPr>
            </w:pPr>
            <w:r>
              <w:rPr>
                <w:rFonts w:ascii="Arial" w:cs="Arial" w:eastAsia="Arial" w:hAnsi="Arial"/>
                <w:sz w:val="22"/>
                <w:szCs w:val="22"/>
                <w:b w:val="1"/>
                <w:bCs w:val="1"/>
                <w:color w:val="345988"/>
              </w:rPr>
              <w:t>Hatkoff</w:t>
            </w:r>
          </w:p>
        </w:tc>
        <w:tc>
          <w:tcPr>
            <w:tcW w:w="100" w:type="dxa"/>
            <w:vAlign w:val="bottom"/>
          </w:tcPr>
          <w:p>
            <w:pPr>
              <w:spacing w:after="0"/>
              <w:rPr>
                <w:sz w:val="14"/>
                <w:szCs w:val="14"/>
                <w:color w:val="auto"/>
              </w:rPr>
            </w:pPr>
          </w:p>
        </w:tc>
        <w:tc>
          <w:tcPr>
            <w:tcW w:w="10060" w:type="dxa"/>
            <w:vAlign w:val="bottom"/>
            <w:gridSpan w:val="2"/>
            <w:vMerge w:val="continue"/>
            <w:shd w:val="clear" w:color="auto" w:fill="ECEFF2"/>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shd w:val="clear" w:color="auto" w:fill="ECEFF2"/>
          </w:tcPr>
          <w:p>
            <w:pPr>
              <w:spacing w:after="0"/>
              <w:rPr>
                <w:sz w:val="11"/>
                <w:szCs w:val="11"/>
                <w:color w:val="auto"/>
              </w:rPr>
            </w:pPr>
          </w:p>
        </w:tc>
        <w:tc>
          <w:tcPr>
            <w:tcW w:w="9600" w:type="dxa"/>
            <w:vAlign w:val="bottom"/>
            <w:shd w:val="clear" w:color="auto" w:fill="ECEFF2"/>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60" w:type="dxa"/>
            <w:vAlign w:val="bottom"/>
            <w:tcBorders>
              <w:bottom w:val="single" w:sz="8" w:color="345988"/>
            </w:tcBorders>
          </w:tcPr>
          <w:p>
            <w:pPr>
              <w:spacing w:after="0"/>
              <w:rPr>
                <w:sz w:val="3"/>
                <w:szCs w:val="3"/>
                <w:color w:val="auto"/>
              </w:rPr>
            </w:pPr>
          </w:p>
        </w:tc>
        <w:tc>
          <w:tcPr>
            <w:tcW w:w="1100" w:type="dxa"/>
            <w:vAlign w:val="bottom"/>
            <w:tcBorders>
              <w:bottom w:val="single" w:sz="8" w:color="345988"/>
            </w:tcBorders>
          </w:tcPr>
          <w:p>
            <w:pPr>
              <w:spacing w:after="0"/>
              <w:rPr>
                <w:sz w:val="3"/>
                <w:szCs w:val="3"/>
                <w:color w:val="auto"/>
              </w:rPr>
            </w:pPr>
          </w:p>
        </w:tc>
        <w:tc>
          <w:tcPr>
            <w:tcW w:w="100" w:type="dxa"/>
            <w:vAlign w:val="bottom"/>
          </w:tcPr>
          <w:p>
            <w:pPr>
              <w:spacing w:after="0"/>
              <w:rPr>
                <w:sz w:val="3"/>
                <w:szCs w:val="3"/>
                <w:color w:val="auto"/>
              </w:rPr>
            </w:pPr>
          </w:p>
        </w:tc>
        <w:tc>
          <w:tcPr>
            <w:tcW w:w="10060" w:type="dxa"/>
            <w:vAlign w:val="bottom"/>
            <w:tcBorders>
              <w:bottom w:val="single" w:sz="8" w:color="ECEFF2"/>
            </w:tcBorders>
            <w:gridSpan w:val="2"/>
            <w:shd w:val="clear" w:color="auto" w:fill="ECEFF2"/>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160" w:type="dxa"/>
            <w:vAlign w:val="bottom"/>
            <w:gridSpan w:val="3"/>
          </w:tcPr>
          <w:p>
            <w:pPr>
              <w:ind w:left="100"/>
              <w:spacing w:after="0"/>
              <w:rPr>
                <w:sz w:val="20"/>
                <w:szCs w:val="20"/>
                <w:color w:val="auto"/>
              </w:rPr>
            </w:pPr>
            <w:r>
              <w:rPr>
                <w:rFonts w:ascii="Arial" w:cs="Arial" w:eastAsia="Arial" w:hAnsi="Arial"/>
                <w:sz w:val="18"/>
                <w:szCs w:val="18"/>
                <w:color w:val="auto"/>
                <w:w w:val="97"/>
              </w:rPr>
              <w:t>Mr. Hatkoff has in-depth expertise and knowledge of real estate, capital markets, finance, private investing, entrepreneurship and</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160" w:type="dxa"/>
            <w:vAlign w:val="bottom"/>
            <w:gridSpan w:val="3"/>
          </w:tcPr>
          <w:p>
            <w:pPr>
              <w:ind w:left="100"/>
              <w:spacing w:after="0" w:line="202" w:lineRule="exact"/>
              <w:rPr>
                <w:sz w:val="20"/>
                <w:szCs w:val="20"/>
                <w:color w:val="auto"/>
              </w:rPr>
            </w:pPr>
            <w:r>
              <w:rPr>
                <w:rFonts w:ascii="Arial" w:cs="Arial" w:eastAsia="Arial" w:hAnsi="Arial"/>
                <w:sz w:val="18"/>
                <w:szCs w:val="18"/>
                <w:color w:val="auto"/>
                <w:w w:val="97"/>
              </w:rPr>
              <w:t>executive management through his work with Chemical Bank, Victor Capital Group and Capital Trust. As a result of the foregoing,</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1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Mr. Hatkoff provides a unique insight into the financial markets generally, valuation analysis, strategic planning, and unique</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1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financing structures and alternatives. He also possesses entrepreneurial, brand marketing, social media, technology and</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160" w:type="dxa"/>
            <w:vAlign w:val="bottom"/>
            <w:gridSpan w:val="3"/>
          </w:tcPr>
          <w:p>
            <w:pPr>
              <w:ind w:left="100"/>
              <w:spacing w:after="0" w:line="202" w:lineRule="exact"/>
              <w:rPr>
                <w:sz w:val="20"/>
                <w:szCs w:val="20"/>
                <w:color w:val="auto"/>
              </w:rPr>
            </w:pPr>
            <w:r>
              <w:rPr>
                <w:rFonts w:ascii="Arial" w:cs="Arial" w:eastAsia="Arial" w:hAnsi="Arial"/>
                <w:sz w:val="18"/>
                <w:szCs w:val="18"/>
                <w:color w:val="auto"/>
                <w:w w:val="97"/>
              </w:rPr>
              <w:t>innovation, and senior leadership experience through his private investments and service on the Boards of numerous educational</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160" w:type="dxa"/>
            <w:vAlign w:val="bottom"/>
            <w:gridSpan w:val="3"/>
          </w:tcPr>
          <w:p>
            <w:pPr>
              <w:ind w:left="100"/>
              <w:spacing w:after="0" w:line="202" w:lineRule="exact"/>
              <w:rPr>
                <w:sz w:val="20"/>
                <w:szCs w:val="20"/>
                <w:color w:val="auto"/>
              </w:rPr>
            </w:pPr>
            <w:r>
              <w:rPr>
                <w:rFonts w:ascii="Arial" w:cs="Arial" w:eastAsia="Arial" w:hAnsi="Arial"/>
                <w:sz w:val="18"/>
                <w:szCs w:val="18"/>
                <w:color w:val="auto"/>
                <w:w w:val="99"/>
              </w:rPr>
              <w:t>and charitable organizations. Mr. Hatkoff also has extensive Board and Board committee experience at other public companies,</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160" w:type="dxa"/>
            <w:vAlign w:val="bottom"/>
            <w:gridSpan w:val="3"/>
          </w:tcPr>
          <w:p>
            <w:pPr>
              <w:ind w:left="100"/>
              <w:spacing w:after="0" w:line="202" w:lineRule="exact"/>
              <w:rPr>
                <w:sz w:val="20"/>
                <w:szCs w:val="20"/>
                <w:color w:val="auto"/>
              </w:rPr>
            </w:pPr>
            <w:r>
              <w:rPr>
                <w:rFonts w:ascii="Arial" w:cs="Arial" w:eastAsia="Arial" w:hAnsi="Arial"/>
                <w:sz w:val="18"/>
                <w:szCs w:val="18"/>
                <w:color w:val="auto"/>
                <w:w w:val="99"/>
              </w:rPr>
              <w:t>including his current service at Taubman Centers, Inc. and his long-standing service to Capital Trust, Inc., which enables him to</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160" w:type="dxa"/>
            <w:vAlign w:val="bottom"/>
            <w:gridSpan w:val="3"/>
          </w:tcPr>
          <w:p>
            <w:pPr>
              <w:ind w:left="100"/>
              <w:spacing w:after="0"/>
              <w:rPr>
                <w:sz w:val="20"/>
                <w:szCs w:val="20"/>
                <w:color w:val="auto"/>
              </w:rPr>
            </w:pPr>
            <w:r>
              <w:rPr>
                <w:rFonts w:ascii="Arial" w:cs="Arial" w:eastAsia="Arial" w:hAnsi="Arial"/>
                <w:sz w:val="18"/>
                <w:szCs w:val="18"/>
                <w:color w:val="auto"/>
              </w:rPr>
              <w:t>provide significant insight as to governance and compliance-related matters particular to real estate companies.</w:t>
            </w:r>
          </w:p>
        </w:tc>
        <w:tc>
          <w:tcPr>
            <w:tcW w:w="0" w:type="dxa"/>
            <w:vAlign w:val="bottom"/>
          </w:tcPr>
          <w:p>
            <w:pPr>
              <w:spacing w:after="0"/>
              <w:rPr>
                <w:sz w:val="1"/>
                <w:szCs w:val="1"/>
                <w:color w:val="auto"/>
              </w:rPr>
            </w:pPr>
          </w:p>
        </w:tc>
      </w:tr>
      <w:tr>
        <w:trPr>
          <w:trHeight w:val="426"/>
        </w:trPr>
        <w:tc>
          <w:tcPr>
            <w:tcW w:w="1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SL Green</w:t>
            </w:r>
          </w:p>
        </w:tc>
        <w:tc>
          <w:tcPr>
            <w:tcW w:w="10160" w:type="dxa"/>
            <w:vAlign w:val="bottom"/>
            <w:gridSpan w:val="3"/>
          </w:tcPr>
          <w:p>
            <w:pPr>
              <w:ind w:left="100"/>
              <w:spacing w:after="0"/>
              <w:rPr>
                <w:sz w:val="20"/>
                <w:szCs w:val="20"/>
                <w:color w:val="auto"/>
              </w:rPr>
            </w:pPr>
            <w:r>
              <w:rPr>
                <w:rFonts w:ascii="Arial" w:cs="Arial" w:eastAsia="Arial" w:hAnsi="Arial"/>
                <w:sz w:val="18"/>
                <w:szCs w:val="18"/>
                <w:b w:val="1"/>
                <w:bCs w:val="1"/>
                <w:color w:val="auto"/>
              </w:rPr>
              <w:t>Professional Experience</w:t>
            </w:r>
          </w:p>
        </w:tc>
        <w:tc>
          <w:tcPr>
            <w:tcW w:w="0" w:type="dxa"/>
            <w:vAlign w:val="bottom"/>
          </w:tcPr>
          <w:p>
            <w:pPr>
              <w:spacing w:after="0"/>
              <w:rPr>
                <w:sz w:val="1"/>
                <w:szCs w:val="1"/>
                <w:color w:val="auto"/>
              </w:rPr>
            </w:pPr>
          </w:p>
        </w:tc>
      </w:tr>
      <w:tr>
        <w:trPr>
          <w:trHeight w:val="77"/>
        </w:trPr>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7"/>
              </w:rPr>
              <w:t>Board Service:</w:t>
            </w:r>
          </w:p>
        </w:tc>
        <w:tc>
          <w:tcPr>
            <w:tcW w:w="100" w:type="dxa"/>
            <w:vAlign w:val="bottom"/>
          </w:tcPr>
          <w:p>
            <w:pPr>
              <w:spacing w:after="0"/>
              <w:rPr>
                <w:sz w:val="21"/>
                <w:szCs w:val="21"/>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345988"/>
              </w:rPr>
              <w:t>●</w:t>
            </w:r>
          </w:p>
        </w:tc>
        <w:tc>
          <w:tcPr>
            <w:tcW w:w="9600" w:type="dxa"/>
            <w:vAlign w:val="bottom"/>
            <w:vMerge w:val="restart"/>
          </w:tcPr>
          <w:p>
            <w:pPr>
              <w:ind w:left="60"/>
              <w:spacing w:after="0"/>
              <w:rPr>
                <w:sz w:val="20"/>
                <w:szCs w:val="20"/>
                <w:color w:val="auto"/>
              </w:rPr>
            </w:pPr>
            <w:r>
              <w:rPr>
                <w:rFonts w:ascii="Arial" w:cs="Arial" w:eastAsia="Arial" w:hAnsi="Arial"/>
                <w:sz w:val="18"/>
                <w:szCs w:val="18"/>
                <w:color w:val="auto"/>
                <w:w w:val="97"/>
              </w:rPr>
              <w:t>Vice Chairman of Capital Trust, Inc., a real estate investment management company that was listed on the New York Stock</w:t>
            </w:r>
          </w:p>
        </w:tc>
        <w:tc>
          <w:tcPr>
            <w:tcW w:w="0" w:type="dxa"/>
            <w:vAlign w:val="bottom"/>
          </w:tcPr>
          <w:p>
            <w:pPr>
              <w:spacing w:after="0"/>
              <w:rPr>
                <w:sz w:val="1"/>
                <w:szCs w:val="1"/>
                <w:color w:val="auto"/>
              </w:rPr>
            </w:pPr>
          </w:p>
        </w:tc>
      </w:tr>
      <w:tr>
        <w:trPr>
          <w:trHeight w:val="52"/>
        </w:trPr>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9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345988"/>
              </w:rPr>
              <w:t>●</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auto"/>
              </w:rPr>
              <w:t>Audit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tcPr>
          <w:p>
            <w:pPr>
              <w:ind w:left="80"/>
              <w:spacing w:after="0" w:line="202" w:lineRule="exact"/>
              <w:rPr>
                <w:sz w:val="20"/>
                <w:szCs w:val="20"/>
                <w:color w:val="auto"/>
              </w:rPr>
            </w:pPr>
            <w:r>
              <w:rPr>
                <w:rFonts w:ascii="Arial" w:cs="Arial" w:eastAsia="Arial" w:hAnsi="Arial"/>
                <w:sz w:val="18"/>
                <w:szCs w:val="18"/>
                <w:color w:val="auto"/>
              </w:rPr>
              <w:t>Exchange, and one of the largest dedicated real estate mezzanine lenders, 1997 to 2000, and served on its Board of</w:t>
            </w:r>
          </w:p>
        </w:tc>
        <w:tc>
          <w:tcPr>
            <w:tcW w:w="0" w:type="dxa"/>
            <w:vAlign w:val="bottom"/>
          </w:tcPr>
          <w:p>
            <w:pPr>
              <w:spacing w:after="0"/>
              <w:rPr>
                <w:sz w:val="1"/>
                <w:szCs w:val="1"/>
                <w:color w:val="auto"/>
              </w:rPr>
            </w:pPr>
          </w:p>
        </w:tc>
      </w:tr>
      <w:tr>
        <w:trPr>
          <w:trHeight w:val="135"/>
        </w:trPr>
        <w:tc>
          <w:tcPr>
            <w:tcW w:w="1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0" w:type="dxa"/>
            <w:vAlign w:val="bottom"/>
            <w:vMerge w:val="restart"/>
          </w:tcPr>
          <w:p>
            <w:pPr>
              <w:ind w:left="80"/>
              <w:spacing w:after="0"/>
              <w:rPr>
                <w:sz w:val="20"/>
                <w:szCs w:val="20"/>
                <w:color w:val="auto"/>
              </w:rPr>
            </w:pPr>
            <w:r>
              <w:rPr>
                <w:rFonts w:ascii="Arial" w:cs="Arial" w:eastAsia="Arial" w:hAnsi="Arial"/>
                <w:sz w:val="18"/>
                <w:szCs w:val="18"/>
                <w:color w:val="auto"/>
              </w:rPr>
              <w:t>Directors 1997 to 2010</w:t>
            </w: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110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Committee</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345988"/>
              </w:rPr>
              <w:t>●</w:t>
            </w:r>
          </w:p>
        </w:tc>
        <w:tc>
          <w:tcPr>
            <w:tcW w:w="9600" w:type="dxa"/>
            <w:vAlign w:val="bottom"/>
            <w:vMerge w:val="restart"/>
          </w:tcPr>
          <w:p>
            <w:pPr>
              <w:ind w:left="60"/>
              <w:spacing w:after="0"/>
              <w:rPr>
                <w:sz w:val="20"/>
                <w:szCs w:val="20"/>
                <w:color w:val="auto"/>
              </w:rPr>
            </w:pPr>
            <w:r>
              <w:rPr>
                <w:rFonts w:ascii="Arial" w:cs="Arial" w:eastAsia="Arial" w:hAnsi="Arial"/>
                <w:sz w:val="18"/>
                <w:szCs w:val="18"/>
                <w:color w:val="auto"/>
              </w:rPr>
              <w:t>Trustee of the New York City School Construction Authority, the agency responsible for the construction of all public</w:t>
            </w:r>
          </w:p>
        </w:tc>
        <w:tc>
          <w:tcPr>
            <w:tcW w:w="0" w:type="dxa"/>
            <w:vAlign w:val="bottom"/>
          </w:tcPr>
          <w:p>
            <w:pPr>
              <w:spacing w:after="0"/>
              <w:rPr>
                <w:sz w:val="1"/>
                <w:szCs w:val="1"/>
                <w:color w:val="auto"/>
              </w:rPr>
            </w:pPr>
          </w:p>
        </w:tc>
      </w:tr>
      <w:tr>
        <w:trPr>
          <w:trHeight w:val="181"/>
        </w:trPr>
        <w:tc>
          <w:tcPr>
            <w:tcW w:w="1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345988"/>
              </w:rPr>
              <w:t>●</w:t>
            </w:r>
          </w:p>
        </w:tc>
        <w:tc>
          <w:tcPr>
            <w:tcW w:w="1100" w:type="dxa"/>
            <w:vAlign w:val="bottom"/>
          </w:tcPr>
          <w:p>
            <w:pPr>
              <w:ind w:left="100"/>
              <w:spacing w:after="0" w:line="181" w:lineRule="exact"/>
              <w:rPr>
                <w:sz w:val="20"/>
                <w:szCs w:val="20"/>
                <w:color w:val="auto"/>
              </w:rPr>
            </w:pPr>
            <w:r>
              <w:rPr>
                <w:rFonts w:ascii="Arial" w:cs="Arial" w:eastAsia="Arial" w:hAnsi="Arial"/>
                <w:sz w:val="18"/>
                <w:szCs w:val="18"/>
                <w:color w:val="auto"/>
              </w:rPr>
              <w:t>Nominating</w:t>
            </w:r>
          </w:p>
        </w:tc>
        <w:tc>
          <w:tcPr>
            <w:tcW w:w="1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9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and Corporate</w:t>
            </w:r>
          </w:p>
        </w:tc>
        <w:tc>
          <w:tcPr>
            <w:tcW w:w="9600" w:type="dxa"/>
            <w:vAlign w:val="bottom"/>
          </w:tcPr>
          <w:p>
            <w:pPr>
              <w:ind w:left="80"/>
              <w:spacing w:after="0"/>
              <w:rPr>
                <w:sz w:val="20"/>
                <w:szCs w:val="20"/>
                <w:color w:val="auto"/>
              </w:rPr>
            </w:pPr>
            <w:r>
              <w:rPr>
                <w:rFonts w:ascii="Arial" w:cs="Arial" w:eastAsia="Arial" w:hAnsi="Arial"/>
                <w:sz w:val="18"/>
                <w:szCs w:val="18"/>
                <w:color w:val="auto"/>
              </w:rPr>
              <w:t>schools in New York City, from 2002 to 2005</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100" w:type="dxa"/>
            <w:vAlign w:val="bottom"/>
          </w:tcPr>
          <w:p>
            <w:pPr>
              <w:ind w:left="120"/>
              <w:spacing w:after="0" w:line="202" w:lineRule="exact"/>
              <w:rPr>
                <w:sz w:val="20"/>
                <w:szCs w:val="20"/>
                <w:color w:val="auto"/>
              </w:rPr>
            </w:pPr>
            <w:r>
              <w:rPr>
                <w:rFonts w:ascii="Arial" w:cs="Arial" w:eastAsia="Arial" w:hAnsi="Arial"/>
                <w:sz w:val="18"/>
                <w:szCs w:val="18"/>
                <w:color w:val="auto"/>
                <w:w w:val="97"/>
              </w:rPr>
              <w:t>Governance</w:t>
            </w:r>
          </w:p>
        </w:tc>
        <w:tc>
          <w:tcPr>
            <w:tcW w:w="100" w:type="dxa"/>
            <w:vAlign w:val="bottom"/>
          </w:tcPr>
          <w:p>
            <w:pPr>
              <w:spacing w:after="0"/>
              <w:rPr>
                <w:sz w:val="17"/>
                <w:szCs w:val="17"/>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345988"/>
              </w:rPr>
              <w:t>●</w:t>
            </w:r>
          </w:p>
        </w:tc>
        <w:tc>
          <w:tcPr>
            <w:tcW w:w="9600" w:type="dxa"/>
            <w:vAlign w:val="bottom"/>
            <w:vMerge w:val="restart"/>
          </w:tcPr>
          <w:p>
            <w:pPr>
              <w:ind w:left="60"/>
              <w:spacing w:after="0"/>
              <w:rPr>
                <w:sz w:val="20"/>
                <w:szCs w:val="20"/>
                <w:color w:val="auto"/>
              </w:rPr>
            </w:pPr>
            <w:r>
              <w:rPr>
                <w:rFonts w:ascii="Arial" w:cs="Arial" w:eastAsia="Arial" w:hAnsi="Arial"/>
                <w:sz w:val="18"/>
                <w:szCs w:val="18"/>
                <w:color w:val="auto"/>
              </w:rPr>
              <w:t>Founder and a managing partner of Victor Capital Group, L.P. 1989 until its acquisition by Capital Trust, Inc. in 1997</w:t>
            </w: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110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Committee,</w:t>
            </w:r>
          </w:p>
        </w:tc>
        <w:tc>
          <w:tcPr>
            <w:tcW w:w="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9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345988"/>
              </w:rPr>
              <w:t>●</w:t>
            </w:r>
          </w:p>
        </w:tc>
        <w:tc>
          <w:tcPr>
            <w:tcW w:w="9600" w:type="dxa"/>
            <w:vAlign w:val="bottom"/>
            <w:vMerge w:val="restart"/>
          </w:tcPr>
          <w:p>
            <w:pPr>
              <w:ind w:left="60"/>
              <w:spacing w:after="0"/>
              <w:rPr>
                <w:sz w:val="20"/>
                <w:szCs w:val="20"/>
                <w:color w:val="auto"/>
              </w:rPr>
            </w:pPr>
            <w:r>
              <w:rPr>
                <w:rFonts w:ascii="Arial" w:cs="Arial" w:eastAsia="Arial" w:hAnsi="Arial"/>
                <w:sz w:val="18"/>
                <w:szCs w:val="18"/>
                <w:color w:val="auto"/>
              </w:rPr>
              <w:t>Former co-head of the real estate investment banking unit at Chemical Bank, where he was a pioneer in commercial</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100" w:type="dxa"/>
            <w:vAlign w:val="bottom"/>
          </w:tcPr>
          <w:p>
            <w:pPr>
              <w:ind w:left="120"/>
              <w:spacing w:after="0" w:line="181" w:lineRule="exact"/>
              <w:rPr>
                <w:sz w:val="20"/>
                <w:szCs w:val="20"/>
                <w:color w:val="auto"/>
              </w:rPr>
            </w:pPr>
            <w:r>
              <w:rPr>
                <w:rFonts w:ascii="Arial" w:cs="Arial" w:eastAsia="Arial" w:hAnsi="Arial"/>
                <w:sz w:val="18"/>
                <w:szCs w:val="18"/>
                <w:color w:val="auto"/>
              </w:rPr>
              <w:t>Chair</w:t>
            </w:r>
          </w:p>
        </w:tc>
        <w:tc>
          <w:tcPr>
            <w:tcW w:w="1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9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0" w:type="dxa"/>
            <w:vAlign w:val="bottom"/>
          </w:tcPr>
          <w:p>
            <w:pPr>
              <w:ind w:left="80"/>
              <w:spacing w:after="0"/>
              <w:rPr>
                <w:sz w:val="20"/>
                <w:szCs w:val="20"/>
                <w:color w:val="auto"/>
              </w:rPr>
            </w:pPr>
            <w:r>
              <w:rPr>
                <w:rFonts w:ascii="Arial" w:cs="Arial" w:eastAsia="Arial" w:hAnsi="Arial"/>
                <w:sz w:val="18"/>
                <w:szCs w:val="18"/>
                <w:color w:val="auto"/>
              </w:rPr>
              <w:t>mortgage securitization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-2673350</wp:posOffset>
            </wp:positionV>
            <wp:extent cx="795655" cy="1103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95655" cy="1103630"/>
                    </a:xfrm>
                    <a:prstGeom prst="rect">
                      <a:avLst/>
                    </a:prstGeom>
                    <a:noFill/>
                  </pic:spPr>
                </pic:pic>
              </a:graphicData>
            </a:graphic>
          </wp:anchor>
        </w:drawing>
      </w:r>
    </w:p>
    <w:p>
      <w:pPr>
        <w:spacing w:after="0" w:line="48" w:lineRule="exact"/>
        <w:rPr>
          <w:sz w:val="20"/>
          <w:szCs w:val="20"/>
          <w:color w:val="auto"/>
        </w:rPr>
      </w:pPr>
    </w:p>
    <w:p>
      <w:pPr>
        <w:ind w:left="1900" w:right="120" w:hanging="253"/>
        <w:spacing w:after="0" w:line="268" w:lineRule="auto"/>
        <w:tabs>
          <w:tab w:leader="none" w:pos="1877" w:val="left"/>
        </w:tabs>
        <w:numPr>
          <w:ilvl w:val="0"/>
          <w:numId w:val="34"/>
        </w:numPr>
        <w:rPr>
          <w:rFonts w:ascii="Arial" w:cs="Arial" w:eastAsia="Arial" w:hAnsi="Arial"/>
          <w:sz w:val="17"/>
          <w:szCs w:val="17"/>
          <w:color w:val="345988"/>
        </w:rPr>
      </w:pPr>
      <w:r>
        <w:rPr>
          <w:rFonts w:ascii="Arial" w:cs="Arial" w:eastAsia="Arial" w:hAnsi="Arial"/>
          <w:sz w:val="18"/>
          <w:szCs w:val="18"/>
          <w:color w:val="auto"/>
        </w:rPr>
        <w:t>Co-founder of the Tribeca Film Festival; Chairman of Turtle Pond Publications LLC, which is active in children’s publishing and entertainment, and private investor in other entrepreneurial ventures</w:t>
      </w:r>
    </w:p>
    <w:p>
      <w:pPr>
        <w:spacing w:after="0" w:line="49" w:lineRule="exact"/>
        <w:rPr>
          <w:rFonts w:ascii="Arial" w:cs="Arial" w:eastAsia="Arial" w:hAnsi="Arial"/>
          <w:sz w:val="17"/>
          <w:szCs w:val="17"/>
          <w:color w:val="345988"/>
        </w:rPr>
      </w:pPr>
    </w:p>
    <w:p>
      <w:pPr>
        <w:ind w:left="1880" w:hanging="233"/>
        <w:spacing w:after="0"/>
        <w:tabs>
          <w:tab w:leader="none" w:pos="1880" w:val="left"/>
        </w:tabs>
        <w:numPr>
          <w:ilvl w:val="0"/>
          <w:numId w:val="34"/>
        </w:numPr>
        <w:rPr>
          <w:rFonts w:ascii="Arial" w:cs="Arial" w:eastAsia="Arial" w:hAnsi="Arial"/>
          <w:sz w:val="17"/>
          <w:szCs w:val="17"/>
          <w:color w:val="345988"/>
        </w:rPr>
      </w:pPr>
      <w:r>
        <w:rPr>
          <w:rFonts w:ascii="Arial" w:cs="Arial" w:eastAsia="Arial" w:hAnsi="Arial"/>
          <w:sz w:val="18"/>
          <w:szCs w:val="18"/>
          <w:color w:val="auto"/>
        </w:rPr>
        <w:t>Adjunct Professor at Columbia Business School, where he teaches courses on entrepreneurship and innovation</w:t>
      </w:r>
    </w:p>
    <w:p>
      <w:pPr>
        <w:spacing w:after="0" w:line="31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Other Public Board Directorships</w:t>
      </w:r>
    </w:p>
    <w:p>
      <w:pPr>
        <w:spacing w:after="0" w:line="213" w:lineRule="exact"/>
        <w:rPr>
          <w:sz w:val="20"/>
          <w:szCs w:val="20"/>
          <w:color w:val="auto"/>
        </w:rPr>
      </w:pPr>
    </w:p>
    <w:p>
      <w:pPr>
        <w:ind w:left="164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Taubman Centers, Inc. since 2004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260" w:type="dxa"/>
            <w:vAlign w:val="bottom"/>
            <w:tcBorders>
              <w:top w:val="single" w:sz="8" w:color="345988"/>
            </w:tcBorders>
          </w:tcPr>
          <w:p>
            <w:pPr>
              <w:jc w:val="center"/>
              <w:spacing w:after="0"/>
              <w:rPr>
                <w:sz w:val="20"/>
                <w:szCs w:val="20"/>
                <w:color w:val="auto"/>
              </w:rPr>
            </w:pPr>
            <w:r>
              <w:rPr>
                <w:rFonts w:ascii="Arial" w:cs="Arial" w:eastAsia="Arial" w:hAnsi="Arial"/>
                <w:sz w:val="22"/>
                <w:szCs w:val="22"/>
                <w:b w:val="1"/>
                <w:bCs w:val="1"/>
                <w:color w:val="345988"/>
                <w:w w:val="96"/>
              </w:rPr>
              <w:t>Andrew W.</w:t>
            </w:r>
          </w:p>
        </w:tc>
        <w:tc>
          <w:tcPr>
            <w:tcW w:w="100" w:type="dxa"/>
            <w:vAlign w:val="bottom"/>
          </w:tcPr>
          <w:p>
            <w:pPr>
              <w:spacing w:after="0"/>
              <w:rPr>
                <w:sz w:val="24"/>
                <w:szCs w:val="24"/>
                <w:color w:val="auto"/>
              </w:rPr>
            </w:pPr>
          </w:p>
        </w:tc>
        <w:tc>
          <w:tcPr>
            <w:tcW w:w="10060" w:type="dxa"/>
            <w:vAlign w:val="bottom"/>
            <w:tcBorders>
              <w:top w:val="single" w:sz="8" w:color="345988"/>
            </w:tcBorders>
            <w:vMerge w:val="restart"/>
            <w:shd w:val="clear" w:color="auto" w:fill="ECEFF2"/>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April 2007</w:t>
            </w:r>
            <w:r>
              <w:rPr>
                <w:rFonts w:ascii="Arial" w:cs="Arial" w:eastAsia="Arial" w:hAnsi="Arial"/>
                <w:sz w:val="18"/>
                <w:szCs w:val="18"/>
                <w:color w:val="auto"/>
              </w:rPr>
              <w:t xml:space="preserve"> Age: </w:t>
            </w:r>
            <w:r>
              <w:rPr>
                <w:rFonts w:ascii="Arial" w:cs="Arial" w:eastAsia="Arial" w:hAnsi="Arial"/>
                <w:sz w:val="18"/>
                <w:szCs w:val="18"/>
                <w:b w:val="1"/>
                <w:bCs w:val="1"/>
                <w:color w:val="auto"/>
              </w:rPr>
              <w:t>44 President</w:t>
            </w:r>
          </w:p>
        </w:tc>
        <w:tc>
          <w:tcPr>
            <w:tcW w:w="0" w:type="dxa"/>
            <w:vAlign w:val="bottom"/>
          </w:tcPr>
          <w:p>
            <w:pPr>
              <w:spacing w:after="0"/>
              <w:rPr>
                <w:sz w:val="1"/>
                <w:szCs w:val="1"/>
                <w:color w:val="auto"/>
              </w:rPr>
            </w:pPr>
          </w:p>
        </w:tc>
      </w:tr>
      <w:tr>
        <w:trPr>
          <w:trHeight w:val="168"/>
        </w:trPr>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345988"/>
                <w:w w:val="97"/>
              </w:rPr>
              <w:t>Mathias</w:t>
            </w:r>
          </w:p>
        </w:tc>
        <w:tc>
          <w:tcPr>
            <w:tcW w:w="100" w:type="dxa"/>
            <w:vAlign w:val="bottom"/>
          </w:tcPr>
          <w:p>
            <w:pPr>
              <w:spacing w:after="0"/>
              <w:rPr>
                <w:sz w:val="14"/>
                <w:szCs w:val="14"/>
                <w:color w:val="auto"/>
              </w:rPr>
            </w:pPr>
          </w:p>
        </w:tc>
        <w:tc>
          <w:tcPr>
            <w:tcW w:w="10060" w:type="dxa"/>
            <w:vAlign w:val="bottom"/>
            <w:vMerge w:val="continue"/>
            <w:shd w:val="clear" w:color="auto" w:fill="ECEFF2"/>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60" w:type="dxa"/>
            <w:vAlign w:val="bottom"/>
            <w:shd w:val="clear" w:color="auto" w:fill="ECEFF2"/>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260" w:type="dxa"/>
            <w:vAlign w:val="bottom"/>
            <w:tcBorders>
              <w:bottom w:val="single" w:sz="8" w:color="345988"/>
            </w:tcBorders>
          </w:tcPr>
          <w:p>
            <w:pPr>
              <w:spacing w:after="0"/>
              <w:rPr>
                <w:sz w:val="3"/>
                <w:szCs w:val="3"/>
                <w:color w:val="auto"/>
              </w:rPr>
            </w:pPr>
          </w:p>
        </w:tc>
        <w:tc>
          <w:tcPr>
            <w:tcW w:w="100" w:type="dxa"/>
            <w:vAlign w:val="bottom"/>
          </w:tcPr>
          <w:p>
            <w:pPr>
              <w:spacing w:after="0"/>
              <w:rPr>
                <w:sz w:val="3"/>
                <w:szCs w:val="3"/>
                <w:color w:val="auto"/>
              </w:rPr>
            </w:pPr>
          </w:p>
        </w:tc>
        <w:tc>
          <w:tcPr>
            <w:tcW w:w="10060" w:type="dxa"/>
            <w:vAlign w:val="bottom"/>
            <w:tcBorders>
              <w:bottom w:val="single" w:sz="8" w:color="ECEFF2"/>
            </w:tcBorders>
            <w:shd w:val="clear" w:color="auto" w:fill="ECEFF2"/>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1260" w:type="dxa"/>
            <w:vAlign w:val="bottom"/>
          </w:tcPr>
          <w:p>
            <w:pPr>
              <w:spacing w:after="0"/>
              <w:rPr>
                <w:sz w:val="24"/>
                <w:szCs w:val="24"/>
                <w:color w:val="auto"/>
              </w:rPr>
            </w:pP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7"/>
              </w:rPr>
              <w:t>Mr. Mathias’ extensive experience in real estate, including commercial real estate investment, and in-depth knowledge of the New</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101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York City real estate market, as well as his role as President of the Company, provide him with valuable knowledge of our</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1016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business and industry. Furthermore, Mr. Mathias’ presence on the Board facilitates communication between the Board and the</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Company’s senior management.</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1016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Professional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-793115</wp:posOffset>
            </wp:positionV>
            <wp:extent cx="795655" cy="1061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95655" cy="1061085"/>
                    </a:xfrm>
                    <a:prstGeom prst="rect">
                      <a:avLst/>
                    </a:prstGeom>
                    <a:noFill/>
                  </pic:spPr>
                </pic:pic>
              </a:graphicData>
            </a:graphic>
          </wp:anchor>
        </w:drawing>
      </w:r>
    </w:p>
    <w:p>
      <w:pPr>
        <w:spacing w:after="0" w:line="153" w:lineRule="exact"/>
        <w:rPr>
          <w:sz w:val="20"/>
          <w:szCs w:val="20"/>
          <w:color w:val="auto"/>
        </w:rPr>
      </w:pPr>
    </w:p>
    <w:p>
      <w:pPr>
        <w:ind w:left="1880" w:hanging="233"/>
        <w:spacing w:after="0"/>
        <w:tabs>
          <w:tab w:leader="none" w:pos="1880" w:val="left"/>
        </w:tabs>
        <w:numPr>
          <w:ilvl w:val="0"/>
          <w:numId w:val="35"/>
        </w:numPr>
        <w:rPr>
          <w:rFonts w:ascii="Arial" w:cs="Arial" w:eastAsia="Arial" w:hAnsi="Arial"/>
          <w:sz w:val="17"/>
          <w:szCs w:val="17"/>
          <w:color w:val="345988"/>
        </w:rPr>
      </w:pPr>
      <w:r>
        <w:rPr>
          <w:rFonts w:ascii="Arial" w:cs="Arial" w:eastAsia="Arial" w:hAnsi="Arial"/>
          <w:sz w:val="18"/>
          <w:szCs w:val="18"/>
          <w:color w:val="auto"/>
        </w:rPr>
        <w:t>President of the Company since 2007</w:t>
      </w:r>
    </w:p>
    <w:p>
      <w:pPr>
        <w:spacing w:after="0" w:line="102" w:lineRule="exact"/>
        <w:rPr>
          <w:rFonts w:ascii="Arial" w:cs="Arial" w:eastAsia="Arial" w:hAnsi="Arial"/>
          <w:sz w:val="17"/>
          <w:szCs w:val="17"/>
          <w:color w:val="345988"/>
        </w:rPr>
      </w:pPr>
    </w:p>
    <w:p>
      <w:pPr>
        <w:ind w:left="1880" w:hanging="233"/>
        <w:spacing w:after="0"/>
        <w:tabs>
          <w:tab w:leader="none" w:pos="1880" w:val="left"/>
        </w:tabs>
        <w:numPr>
          <w:ilvl w:val="0"/>
          <w:numId w:val="35"/>
        </w:numPr>
        <w:rPr>
          <w:rFonts w:ascii="Arial" w:cs="Arial" w:eastAsia="Arial" w:hAnsi="Arial"/>
          <w:sz w:val="17"/>
          <w:szCs w:val="17"/>
          <w:color w:val="345988"/>
        </w:rPr>
      </w:pPr>
      <w:r>
        <w:rPr>
          <w:rFonts w:ascii="Arial" w:cs="Arial" w:eastAsia="Arial" w:hAnsi="Arial"/>
          <w:sz w:val="18"/>
          <w:szCs w:val="18"/>
          <w:color w:val="auto"/>
        </w:rPr>
        <w:t>Joined the Company in March 1999 as Vice President and was promoted to Director of Investments in 2002</w:t>
      </w:r>
    </w:p>
    <w:p>
      <w:pPr>
        <w:spacing w:after="0" w:line="102" w:lineRule="exact"/>
        <w:rPr>
          <w:rFonts w:ascii="Arial" w:cs="Arial" w:eastAsia="Arial" w:hAnsi="Arial"/>
          <w:sz w:val="17"/>
          <w:szCs w:val="17"/>
          <w:color w:val="345988"/>
        </w:rPr>
      </w:pPr>
    </w:p>
    <w:p>
      <w:pPr>
        <w:ind w:left="1880" w:hanging="233"/>
        <w:spacing w:after="0"/>
        <w:tabs>
          <w:tab w:leader="none" w:pos="1880" w:val="left"/>
        </w:tabs>
        <w:numPr>
          <w:ilvl w:val="0"/>
          <w:numId w:val="35"/>
        </w:numPr>
        <w:rPr>
          <w:rFonts w:ascii="Arial" w:cs="Arial" w:eastAsia="Arial" w:hAnsi="Arial"/>
          <w:sz w:val="17"/>
          <w:szCs w:val="17"/>
          <w:color w:val="345988"/>
        </w:rPr>
      </w:pPr>
      <w:r>
        <w:rPr>
          <w:rFonts w:ascii="Arial" w:cs="Arial" w:eastAsia="Arial" w:hAnsi="Arial"/>
          <w:sz w:val="18"/>
          <w:szCs w:val="18"/>
          <w:color w:val="auto"/>
        </w:rPr>
        <w:t>Chief Investment Officer of the Company from January 2004 until January 2011</w:t>
      </w:r>
    </w:p>
    <w:p>
      <w:pPr>
        <w:spacing w:after="0" w:line="102" w:lineRule="exact"/>
        <w:rPr>
          <w:rFonts w:ascii="Arial" w:cs="Arial" w:eastAsia="Arial" w:hAnsi="Arial"/>
          <w:sz w:val="17"/>
          <w:szCs w:val="17"/>
          <w:color w:val="345988"/>
        </w:rPr>
      </w:pPr>
    </w:p>
    <w:p>
      <w:pPr>
        <w:ind w:left="1880" w:hanging="233"/>
        <w:spacing w:after="0"/>
        <w:tabs>
          <w:tab w:leader="none" w:pos="1880" w:val="left"/>
        </w:tabs>
        <w:numPr>
          <w:ilvl w:val="0"/>
          <w:numId w:val="35"/>
        </w:numPr>
        <w:rPr>
          <w:rFonts w:ascii="Arial" w:cs="Arial" w:eastAsia="Arial" w:hAnsi="Arial"/>
          <w:sz w:val="17"/>
          <w:szCs w:val="17"/>
          <w:color w:val="345988"/>
        </w:rPr>
      </w:pPr>
      <w:r>
        <w:rPr>
          <w:rFonts w:ascii="Arial" w:cs="Arial" w:eastAsia="Arial" w:hAnsi="Arial"/>
          <w:sz w:val="18"/>
          <w:szCs w:val="18"/>
          <w:color w:val="auto"/>
        </w:rPr>
        <w:t>Chief Investment Officer of Gramercy August 2004 to October 2008</w:t>
      </w:r>
    </w:p>
    <w:p>
      <w:pPr>
        <w:spacing w:after="0" w:line="102" w:lineRule="exact"/>
        <w:rPr>
          <w:rFonts w:ascii="Arial" w:cs="Arial" w:eastAsia="Arial" w:hAnsi="Arial"/>
          <w:sz w:val="17"/>
          <w:szCs w:val="17"/>
          <w:color w:val="345988"/>
        </w:rPr>
      </w:pPr>
    </w:p>
    <w:p>
      <w:pPr>
        <w:ind w:left="1880" w:hanging="233"/>
        <w:spacing w:after="0"/>
        <w:tabs>
          <w:tab w:leader="none" w:pos="1880" w:val="left"/>
        </w:tabs>
        <w:numPr>
          <w:ilvl w:val="0"/>
          <w:numId w:val="35"/>
        </w:numPr>
        <w:rPr>
          <w:rFonts w:ascii="Arial" w:cs="Arial" w:eastAsia="Arial" w:hAnsi="Arial"/>
          <w:sz w:val="17"/>
          <w:szCs w:val="17"/>
          <w:color w:val="345988"/>
        </w:rPr>
      </w:pPr>
      <w:r>
        <w:rPr>
          <w:rFonts w:ascii="Arial" w:cs="Arial" w:eastAsia="Arial" w:hAnsi="Arial"/>
          <w:sz w:val="18"/>
          <w:szCs w:val="18"/>
          <w:color w:val="auto"/>
        </w:rPr>
        <w:t>Worked at Capital Trust, Inc. and its predecessor, Victor Capital Group, L.P.</w:t>
      </w:r>
    </w:p>
    <w:p>
      <w:pPr>
        <w:spacing w:after="0" w:line="102" w:lineRule="exact"/>
        <w:rPr>
          <w:rFonts w:ascii="Arial" w:cs="Arial" w:eastAsia="Arial" w:hAnsi="Arial"/>
          <w:sz w:val="17"/>
          <w:szCs w:val="17"/>
          <w:color w:val="345988"/>
        </w:rPr>
      </w:pPr>
    </w:p>
    <w:p>
      <w:pPr>
        <w:ind w:left="1880" w:hanging="233"/>
        <w:spacing w:after="0"/>
        <w:tabs>
          <w:tab w:leader="none" w:pos="1880" w:val="left"/>
        </w:tabs>
        <w:numPr>
          <w:ilvl w:val="0"/>
          <w:numId w:val="35"/>
        </w:numPr>
        <w:rPr>
          <w:rFonts w:ascii="Arial" w:cs="Arial" w:eastAsia="Arial" w:hAnsi="Arial"/>
          <w:sz w:val="17"/>
          <w:szCs w:val="17"/>
          <w:color w:val="345988"/>
        </w:rPr>
      </w:pPr>
      <w:r>
        <w:rPr>
          <w:rFonts w:ascii="Arial" w:cs="Arial" w:eastAsia="Arial" w:hAnsi="Arial"/>
          <w:sz w:val="18"/>
          <w:szCs w:val="18"/>
          <w:color w:val="auto"/>
        </w:rPr>
        <w:t>Worked on the high yield and restructuring desk at Bear Stearns and Co.</w:t>
      </w:r>
    </w:p>
    <w:p>
      <w:pPr>
        <w:spacing w:after="0" w:line="102" w:lineRule="exact"/>
        <w:rPr>
          <w:rFonts w:ascii="Arial" w:cs="Arial" w:eastAsia="Arial" w:hAnsi="Arial"/>
          <w:sz w:val="17"/>
          <w:szCs w:val="17"/>
          <w:color w:val="345988"/>
        </w:rPr>
      </w:pPr>
    </w:p>
    <w:p>
      <w:pPr>
        <w:ind w:left="1900" w:right="140" w:hanging="253"/>
        <w:spacing w:after="0" w:line="268" w:lineRule="auto"/>
        <w:tabs>
          <w:tab w:leader="none" w:pos="1877" w:val="left"/>
        </w:tabs>
        <w:numPr>
          <w:ilvl w:val="0"/>
          <w:numId w:val="35"/>
        </w:numPr>
        <w:rPr>
          <w:rFonts w:ascii="Arial" w:cs="Arial" w:eastAsia="Arial" w:hAnsi="Arial"/>
          <w:sz w:val="17"/>
          <w:szCs w:val="17"/>
          <w:color w:val="345988"/>
        </w:rPr>
      </w:pPr>
      <w:r>
        <w:rPr>
          <w:rFonts w:ascii="Arial" w:cs="Arial" w:eastAsia="Arial" w:hAnsi="Arial"/>
          <w:sz w:val="18"/>
          <w:szCs w:val="18"/>
          <w:color w:val="auto"/>
        </w:rPr>
        <w:t>Member of the Board of Directors for the Regional Plan Association, which works to improve the prosperity, infrastructure, sustainability and quality of life of the New York-New Jersey- Connecticut metropolitan region</w:t>
      </w:r>
    </w:p>
    <w:p>
      <w:pPr>
        <w:spacing w:after="0" w:line="49" w:lineRule="exact"/>
        <w:rPr>
          <w:rFonts w:ascii="Arial" w:cs="Arial" w:eastAsia="Arial" w:hAnsi="Arial"/>
          <w:sz w:val="17"/>
          <w:szCs w:val="17"/>
          <w:color w:val="345988"/>
        </w:rPr>
      </w:pPr>
    </w:p>
    <w:p>
      <w:pPr>
        <w:ind w:left="1880" w:hanging="233"/>
        <w:spacing w:after="0"/>
        <w:tabs>
          <w:tab w:leader="none" w:pos="1880" w:val="left"/>
        </w:tabs>
        <w:numPr>
          <w:ilvl w:val="0"/>
          <w:numId w:val="35"/>
        </w:numPr>
        <w:rPr>
          <w:rFonts w:ascii="Arial" w:cs="Arial" w:eastAsia="Arial" w:hAnsi="Arial"/>
          <w:sz w:val="17"/>
          <w:szCs w:val="17"/>
          <w:color w:val="345988"/>
        </w:rPr>
      </w:pPr>
      <w:r>
        <w:rPr>
          <w:rFonts w:ascii="Arial" w:cs="Arial" w:eastAsia="Arial" w:hAnsi="Arial"/>
          <w:sz w:val="18"/>
          <w:szCs w:val="18"/>
          <w:color w:val="auto"/>
        </w:rPr>
        <w:t>B.S. degree in Economics from the Wharton School at the University of Pennsylvania</w:t>
      </w:r>
    </w:p>
    <w:p>
      <w:pPr>
        <w:spacing w:after="0" w:line="209"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Other Public Board Directorships</w:t>
      </w:r>
    </w:p>
    <w:p>
      <w:pPr>
        <w:spacing w:after="0" w:line="213" w:lineRule="exact"/>
        <w:rPr>
          <w:sz w:val="20"/>
          <w:szCs w:val="20"/>
          <w:color w:val="auto"/>
        </w:rPr>
      </w:pPr>
    </w:p>
    <w:p>
      <w:pPr>
        <w:ind w:left="1880" w:hanging="233"/>
        <w:spacing w:after="0"/>
        <w:tabs>
          <w:tab w:leader="none" w:pos="1880" w:val="left"/>
        </w:tabs>
        <w:numPr>
          <w:ilvl w:val="0"/>
          <w:numId w:val="36"/>
        </w:numPr>
        <w:rPr>
          <w:rFonts w:ascii="Arial" w:cs="Arial" w:eastAsia="Arial" w:hAnsi="Arial"/>
          <w:sz w:val="17"/>
          <w:szCs w:val="17"/>
          <w:color w:val="345988"/>
        </w:rPr>
      </w:pPr>
      <w:r>
        <w:rPr>
          <w:rFonts w:ascii="Arial" w:cs="Arial" w:eastAsia="Arial" w:hAnsi="Arial"/>
          <w:sz w:val="18"/>
          <w:szCs w:val="18"/>
          <w:color w:val="auto"/>
        </w:rPr>
        <w:t>None</w:t>
      </w:r>
    </w:p>
    <w:p>
      <w:pPr>
        <w:spacing w:after="0" w:line="318"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Continuing Directors—Terms Will Expire in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280" w:type="dxa"/>
            <w:vAlign w:val="bottom"/>
            <w:tcBorders>
              <w:top w:val="single" w:sz="8" w:color="345988"/>
            </w:tcBorders>
          </w:tcPr>
          <w:p>
            <w:pPr>
              <w:jc w:val="center"/>
              <w:spacing w:after="0"/>
              <w:rPr>
                <w:sz w:val="20"/>
                <w:szCs w:val="20"/>
                <w:color w:val="auto"/>
              </w:rPr>
            </w:pPr>
            <w:r>
              <w:rPr>
                <w:rFonts w:ascii="Arial" w:cs="Arial" w:eastAsia="Arial" w:hAnsi="Arial"/>
                <w:sz w:val="22"/>
                <w:szCs w:val="22"/>
                <w:b w:val="1"/>
                <w:bCs w:val="1"/>
                <w:color w:val="345988"/>
              </w:rPr>
              <w:t>Betsy</w:t>
            </w:r>
          </w:p>
        </w:tc>
        <w:tc>
          <w:tcPr>
            <w:tcW w:w="100" w:type="dxa"/>
            <w:vAlign w:val="bottom"/>
          </w:tcPr>
          <w:p>
            <w:pPr>
              <w:spacing w:after="0"/>
              <w:rPr>
                <w:sz w:val="24"/>
                <w:szCs w:val="24"/>
                <w:color w:val="auto"/>
              </w:rPr>
            </w:pPr>
          </w:p>
        </w:tc>
        <w:tc>
          <w:tcPr>
            <w:tcW w:w="10040" w:type="dxa"/>
            <w:vAlign w:val="bottom"/>
            <w:tcBorders>
              <w:top w:val="single" w:sz="8" w:color="345988"/>
            </w:tcBorders>
            <w:vMerge w:val="restart"/>
            <w:shd w:val="clear" w:color="auto" w:fill="ECEFF2"/>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April 2015</w:t>
            </w:r>
            <w:r>
              <w:rPr>
                <w:rFonts w:ascii="Arial" w:cs="Arial" w:eastAsia="Arial" w:hAnsi="Arial"/>
                <w:sz w:val="18"/>
                <w:szCs w:val="18"/>
                <w:color w:val="auto"/>
              </w:rPr>
              <w:t xml:space="preserve"> Age: </w:t>
            </w:r>
            <w:r>
              <w:rPr>
                <w:rFonts w:ascii="Arial" w:cs="Arial" w:eastAsia="Arial" w:hAnsi="Arial"/>
                <w:sz w:val="18"/>
                <w:szCs w:val="18"/>
                <w:b w:val="1"/>
                <w:bCs w:val="1"/>
                <w:color w:val="auto"/>
              </w:rPr>
              <w:t>64 Independent Director</w:t>
            </w:r>
          </w:p>
        </w:tc>
        <w:tc>
          <w:tcPr>
            <w:tcW w:w="0" w:type="dxa"/>
            <w:vAlign w:val="bottom"/>
          </w:tcPr>
          <w:p>
            <w:pPr>
              <w:spacing w:after="0"/>
              <w:rPr>
                <w:sz w:val="1"/>
                <w:szCs w:val="1"/>
                <w:color w:val="auto"/>
              </w:rPr>
            </w:pPr>
          </w:p>
        </w:tc>
      </w:tr>
      <w:tr>
        <w:trPr>
          <w:trHeight w:val="168"/>
        </w:trPr>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345988"/>
                <w:w w:val="98"/>
              </w:rPr>
              <w:t>Atkins</w:t>
            </w:r>
          </w:p>
        </w:tc>
        <w:tc>
          <w:tcPr>
            <w:tcW w:w="100" w:type="dxa"/>
            <w:vAlign w:val="bottom"/>
          </w:tcPr>
          <w:p>
            <w:pPr>
              <w:spacing w:after="0"/>
              <w:rPr>
                <w:sz w:val="14"/>
                <w:szCs w:val="14"/>
                <w:color w:val="auto"/>
              </w:rPr>
            </w:pPr>
          </w:p>
        </w:tc>
        <w:tc>
          <w:tcPr>
            <w:tcW w:w="10040" w:type="dxa"/>
            <w:vAlign w:val="bottom"/>
            <w:vMerge w:val="continue"/>
            <w:shd w:val="clear" w:color="auto" w:fill="ECEFF2"/>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40" w:type="dxa"/>
            <w:vAlign w:val="bottom"/>
            <w:shd w:val="clear" w:color="auto" w:fill="ECEFF2"/>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280" w:type="dxa"/>
            <w:vAlign w:val="bottom"/>
            <w:tcBorders>
              <w:bottom w:val="single" w:sz="8" w:color="345988"/>
            </w:tcBorders>
          </w:tcPr>
          <w:p>
            <w:pPr>
              <w:spacing w:after="0"/>
              <w:rPr>
                <w:sz w:val="3"/>
                <w:szCs w:val="3"/>
                <w:color w:val="auto"/>
              </w:rPr>
            </w:pPr>
          </w:p>
        </w:tc>
        <w:tc>
          <w:tcPr>
            <w:tcW w:w="100" w:type="dxa"/>
            <w:vAlign w:val="bottom"/>
          </w:tcPr>
          <w:p>
            <w:pPr>
              <w:spacing w:after="0"/>
              <w:rPr>
                <w:sz w:val="3"/>
                <w:szCs w:val="3"/>
                <w:color w:val="auto"/>
              </w:rPr>
            </w:pPr>
          </w:p>
        </w:tc>
        <w:tc>
          <w:tcPr>
            <w:tcW w:w="10040" w:type="dxa"/>
            <w:vAlign w:val="bottom"/>
            <w:tcBorders>
              <w:bottom w:val="single" w:sz="8" w:color="ECEFF2"/>
            </w:tcBorders>
            <w:shd w:val="clear" w:color="auto" w:fill="ECEFF2"/>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9"/>
              </w:rPr>
              <w:t>Ms. Atkins has deep expertise in many areas, including executive leadership and operational experience in various technology,</w:t>
            </w: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w w:val="99"/>
              </w:rPr>
              <w:t>durable goods, energy efficiency infrastructure and retail industries, as well as significant public board experience, which gives</w:t>
            </w: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w w:val="98"/>
              </w:rPr>
              <w:t>her broad experience and thought leadership in corporate governance matters generally, including executive compensation and</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evolving best practices in sustainability and enterprise risk management.</w:t>
            </w:r>
          </w:p>
        </w:tc>
        <w:tc>
          <w:tcPr>
            <w:tcW w:w="0" w:type="dxa"/>
            <w:vAlign w:val="bottom"/>
          </w:tcPr>
          <w:p>
            <w:pPr>
              <w:spacing w:after="0"/>
              <w:rPr>
                <w:sz w:val="1"/>
                <w:szCs w:val="1"/>
                <w:color w:val="auto"/>
              </w:rPr>
            </w:pPr>
          </w:p>
        </w:tc>
      </w:tr>
      <w:tr>
        <w:trPr>
          <w:trHeight w:val="426"/>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Professional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-793115</wp:posOffset>
            </wp:positionV>
            <wp:extent cx="804545" cy="1069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04545" cy="106934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spacing w:after="0" w:line="345" w:lineRule="auto"/>
        <w:rPr>
          <w:sz w:val="20"/>
          <w:szCs w:val="20"/>
          <w:color w:val="auto"/>
        </w:rPr>
      </w:pPr>
      <w:r>
        <w:rPr>
          <w:rFonts w:ascii="Arial" w:cs="Arial" w:eastAsia="Arial" w:hAnsi="Arial"/>
          <w:sz w:val="16"/>
          <w:szCs w:val="16"/>
          <w:b w:val="1"/>
          <w:bCs w:val="1"/>
          <w:color w:val="auto"/>
        </w:rPr>
        <w:t>SL Green Board Service:</w:t>
      </w:r>
    </w:p>
    <w:p>
      <w:pPr>
        <w:spacing w:after="0" w:line="93" w:lineRule="exact"/>
        <w:rPr>
          <w:sz w:val="20"/>
          <w:szCs w:val="20"/>
          <w:color w:val="auto"/>
        </w:rPr>
      </w:pPr>
    </w:p>
    <w:p>
      <w:pPr>
        <w:ind w:left="280" w:right="280" w:hanging="263"/>
        <w:spacing w:after="0" w:line="286" w:lineRule="auto"/>
        <w:tabs>
          <w:tab w:leader="none" w:pos="257" w:val="left"/>
        </w:tabs>
        <w:numPr>
          <w:ilvl w:val="0"/>
          <w:numId w:val="37"/>
        </w:numPr>
        <w:rPr>
          <w:rFonts w:ascii="Times New Roman" w:cs="Times New Roman" w:eastAsia="Times New Roman" w:hAnsi="Times New Roman"/>
          <w:sz w:val="16"/>
          <w:szCs w:val="16"/>
          <w:color w:val="345988"/>
        </w:rPr>
      </w:pPr>
      <w:r>
        <w:rPr>
          <w:rFonts w:ascii="Arial" w:cs="Arial" w:eastAsia="Arial" w:hAnsi="Arial"/>
          <w:sz w:val="16"/>
          <w:szCs w:val="16"/>
          <w:color w:val="auto"/>
        </w:rPr>
        <w:t>Audit Committee</w:t>
      </w:r>
    </w:p>
    <w:p>
      <w:pPr>
        <w:ind w:left="280" w:hanging="263"/>
        <w:spacing w:after="0" w:line="282" w:lineRule="auto"/>
        <w:tabs>
          <w:tab w:leader="none" w:pos="257" w:val="left"/>
        </w:tabs>
        <w:numPr>
          <w:ilvl w:val="0"/>
          <w:numId w:val="37"/>
        </w:numPr>
        <w:rPr>
          <w:rFonts w:ascii="Times New Roman" w:cs="Times New Roman" w:eastAsia="Times New Roman" w:hAnsi="Times New Roman"/>
          <w:sz w:val="16"/>
          <w:szCs w:val="16"/>
          <w:color w:val="345988"/>
        </w:rPr>
      </w:pPr>
      <w:r>
        <w:rPr>
          <w:rFonts w:ascii="Arial" w:cs="Arial" w:eastAsia="Arial" w:hAnsi="Arial"/>
          <w:sz w:val="16"/>
          <w:szCs w:val="16"/>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59" w:right="260" w:hanging="259"/>
        <w:spacing w:after="0" w:line="268" w:lineRule="auto"/>
        <w:tabs>
          <w:tab w:leader="none" w:pos="237" w:val="left"/>
        </w:tabs>
        <w:numPr>
          <w:ilvl w:val="0"/>
          <w:numId w:val="38"/>
        </w:numPr>
        <w:rPr>
          <w:rFonts w:ascii="Arial" w:cs="Arial" w:eastAsia="Arial" w:hAnsi="Arial"/>
          <w:sz w:val="17"/>
          <w:szCs w:val="17"/>
          <w:color w:val="345988"/>
        </w:rPr>
      </w:pPr>
      <w:r>
        <w:rPr>
          <w:rFonts w:ascii="Arial" w:cs="Arial" w:eastAsia="Arial" w:hAnsi="Arial"/>
          <w:sz w:val="18"/>
          <w:szCs w:val="18"/>
          <w:color w:val="auto"/>
        </w:rPr>
        <w:t>Chief Executive Officer of Baja Corp, an independent venture capital firm focused on technology, renewable energy and life sciences industries, since 1994</w:t>
      </w:r>
    </w:p>
    <w:p>
      <w:pPr>
        <w:spacing w:after="0" w:line="49" w:lineRule="exact"/>
        <w:rPr>
          <w:rFonts w:ascii="Arial" w:cs="Arial" w:eastAsia="Arial" w:hAnsi="Arial"/>
          <w:sz w:val="17"/>
          <w:szCs w:val="17"/>
          <w:color w:val="345988"/>
        </w:rPr>
      </w:pPr>
    </w:p>
    <w:p>
      <w:pPr>
        <w:jc w:val="both"/>
        <w:ind w:left="259" w:right="40" w:hanging="259"/>
        <w:spacing w:after="0" w:line="332" w:lineRule="auto"/>
        <w:tabs>
          <w:tab w:leader="none" w:pos="237" w:val="left"/>
        </w:tabs>
        <w:numPr>
          <w:ilvl w:val="0"/>
          <w:numId w:val="38"/>
        </w:numPr>
        <w:rPr>
          <w:rFonts w:ascii="Arial" w:cs="Arial" w:eastAsia="Arial" w:hAnsi="Arial"/>
          <w:sz w:val="16"/>
          <w:szCs w:val="16"/>
          <w:color w:val="345988"/>
        </w:rPr>
      </w:pPr>
      <w:r>
        <w:rPr>
          <w:rFonts w:ascii="Arial" w:cs="Arial" w:eastAsia="Arial" w:hAnsi="Arial"/>
          <w:sz w:val="16"/>
          <w:szCs w:val="16"/>
          <w:color w:val="auto"/>
        </w:rPr>
        <w:t>Chief Executive Officer and Chairman of the Board of Directors of Clear Standards, Inc., a provider of energy management solutions, February 2009 to August 2009, when Clear Standards was acquired by SAP AG, a business software company</w:t>
      </w:r>
    </w:p>
    <w:p>
      <w:pPr>
        <w:spacing w:after="0" w:line="2" w:lineRule="exact"/>
        <w:rPr>
          <w:rFonts w:ascii="Arial" w:cs="Arial" w:eastAsia="Arial" w:hAnsi="Arial"/>
          <w:sz w:val="16"/>
          <w:szCs w:val="16"/>
          <w:color w:val="345988"/>
        </w:rPr>
      </w:pPr>
    </w:p>
    <w:p>
      <w:pPr>
        <w:ind w:left="239" w:hanging="239"/>
        <w:spacing w:after="0"/>
        <w:tabs>
          <w:tab w:leader="none" w:pos="239" w:val="left"/>
        </w:tabs>
        <w:numPr>
          <w:ilvl w:val="0"/>
          <w:numId w:val="38"/>
        </w:numPr>
        <w:rPr>
          <w:rFonts w:ascii="Arial" w:cs="Arial" w:eastAsia="Arial" w:hAnsi="Arial"/>
          <w:sz w:val="17"/>
          <w:szCs w:val="17"/>
          <w:color w:val="345988"/>
        </w:rPr>
      </w:pPr>
      <w:r>
        <w:rPr>
          <w:rFonts w:ascii="Arial" w:cs="Arial" w:eastAsia="Arial" w:hAnsi="Arial"/>
          <w:sz w:val="18"/>
          <w:szCs w:val="18"/>
          <w:color w:val="auto"/>
        </w:rPr>
        <w:t>Chairman and Chief Executive Officer of NCI, Inc., a functional food/nutraceutical company, from 1991 through 1993</w:t>
      </w:r>
    </w:p>
    <w:p>
      <w:pPr>
        <w:spacing w:after="0" w:line="102" w:lineRule="exact"/>
        <w:rPr>
          <w:rFonts w:ascii="Arial" w:cs="Arial" w:eastAsia="Arial" w:hAnsi="Arial"/>
          <w:sz w:val="17"/>
          <w:szCs w:val="17"/>
          <w:color w:val="345988"/>
        </w:rPr>
      </w:pPr>
    </w:p>
    <w:p>
      <w:pPr>
        <w:ind w:left="259" w:right="480" w:hanging="259"/>
        <w:spacing w:after="0" w:line="332" w:lineRule="auto"/>
        <w:tabs>
          <w:tab w:leader="none" w:pos="237" w:val="left"/>
        </w:tabs>
        <w:numPr>
          <w:ilvl w:val="0"/>
          <w:numId w:val="38"/>
        </w:numPr>
        <w:rPr>
          <w:rFonts w:ascii="Arial" w:cs="Arial" w:eastAsia="Arial" w:hAnsi="Arial"/>
          <w:sz w:val="16"/>
          <w:szCs w:val="16"/>
          <w:color w:val="345988"/>
        </w:rPr>
      </w:pPr>
      <w:r>
        <w:rPr>
          <w:rFonts w:ascii="Arial" w:cs="Arial" w:eastAsia="Arial" w:hAnsi="Arial"/>
          <w:sz w:val="16"/>
          <w:szCs w:val="16"/>
          <w:color w:val="auto"/>
        </w:rPr>
        <w:t>Co-founded Ascend Communications, Inc. in 1989, member of its Board of Directors and Executive Vice President of sales, marketing, professional services and international operations prior to acquisition by Lucent Technologies</w:t>
      </w:r>
    </w:p>
    <w:p>
      <w:pPr>
        <w:spacing w:after="0" w:line="2" w:lineRule="exact"/>
        <w:rPr>
          <w:rFonts w:ascii="Arial" w:cs="Arial" w:eastAsia="Arial" w:hAnsi="Arial"/>
          <w:sz w:val="16"/>
          <w:szCs w:val="16"/>
          <w:color w:val="345988"/>
        </w:rPr>
      </w:pPr>
    </w:p>
    <w:p>
      <w:pPr>
        <w:ind w:left="259" w:right="740" w:hanging="259"/>
        <w:spacing w:after="0" w:line="268" w:lineRule="auto"/>
        <w:tabs>
          <w:tab w:leader="none" w:pos="237" w:val="left"/>
        </w:tabs>
        <w:numPr>
          <w:ilvl w:val="0"/>
          <w:numId w:val="38"/>
        </w:numPr>
        <w:rPr>
          <w:rFonts w:ascii="Arial" w:cs="Arial" w:eastAsia="Arial" w:hAnsi="Arial"/>
          <w:sz w:val="17"/>
          <w:szCs w:val="17"/>
          <w:color w:val="345988"/>
        </w:rPr>
      </w:pPr>
      <w:r>
        <w:rPr>
          <w:rFonts w:ascii="Arial" w:cs="Arial" w:eastAsia="Arial" w:hAnsi="Arial"/>
          <w:sz w:val="18"/>
          <w:szCs w:val="18"/>
          <w:color w:val="auto"/>
        </w:rPr>
        <w:t>Formerly an advisor to SAP SE, an advisor to British Telecom and a presidential-appointee to the Pension Benefit Guaranty Corporation advisory committee</w:t>
      </w:r>
    </w:p>
    <w:p>
      <w:pPr>
        <w:spacing w:after="0" w:line="49" w:lineRule="exact"/>
        <w:rPr>
          <w:rFonts w:ascii="Arial" w:cs="Arial" w:eastAsia="Arial" w:hAnsi="Arial"/>
          <w:sz w:val="17"/>
          <w:szCs w:val="17"/>
          <w:color w:val="345988"/>
        </w:rPr>
      </w:pPr>
    </w:p>
    <w:p>
      <w:pPr>
        <w:ind w:left="239" w:hanging="239"/>
        <w:spacing w:after="0"/>
        <w:tabs>
          <w:tab w:leader="none" w:pos="239" w:val="left"/>
        </w:tabs>
        <w:numPr>
          <w:ilvl w:val="0"/>
          <w:numId w:val="38"/>
        </w:numPr>
        <w:rPr>
          <w:rFonts w:ascii="Arial" w:cs="Arial" w:eastAsia="Arial" w:hAnsi="Arial"/>
          <w:sz w:val="17"/>
          <w:szCs w:val="17"/>
          <w:color w:val="345988"/>
        </w:rPr>
      </w:pPr>
      <w:r>
        <w:rPr>
          <w:rFonts w:ascii="Arial" w:cs="Arial" w:eastAsia="Arial" w:hAnsi="Arial"/>
          <w:sz w:val="18"/>
          <w:szCs w:val="18"/>
          <w:color w:val="auto"/>
        </w:rPr>
        <w:t>B.A. from the University of Massachusetts</w:t>
      </w:r>
    </w:p>
    <w:p>
      <w:pPr>
        <w:spacing w:after="0" w:line="200" w:lineRule="exact"/>
        <w:rPr>
          <w:sz w:val="20"/>
          <w:szCs w:val="20"/>
          <w:color w:val="auto"/>
        </w:rPr>
      </w:pPr>
    </w:p>
    <w:p>
      <w:pPr>
        <w:sectPr>
          <w:pgSz w:w="11900" w:h="16838" w:orient="portrait"/>
          <w:cols w:equalWidth="0" w:num="2">
            <w:col w:w="1400" w:space="261"/>
            <w:col w:w="9759"/>
          </w:cols>
          <w:pgMar w:left="240" w:top="119" w:right="239" w:bottom="1440" w:gutter="0" w:footer="0" w:header="0"/>
          <w:type w:val="continuous"/>
        </w:sectPr>
      </w:pPr>
    </w:p>
    <w:p>
      <w:pPr>
        <w:spacing w:after="0" w:line="116"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Other Public Board Directorships</w:t>
      </w:r>
    </w:p>
    <w:p>
      <w:pPr>
        <w:spacing w:after="0" w:line="213" w:lineRule="exact"/>
        <w:rPr>
          <w:sz w:val="20"/>
          <w:szCs w:val="20"/>
          <w:color w:val="auto"/>
        </w:rPr>
      </w:pPr>
    </w:p>
    <w:p>
      <w:pPr>
        <w:ind w:left="1900" w:hanging="239"/>
        <w:spacing w:after="0"/>
        <w:tabs>
          <w:tab w:leader="none" w:pos="1900" w:val="left"/>
        </w:tabs>
        <w:numPr>
          <w:ilvl w:val="0"/>
          <w:numId w:val="39"/>
        </w:numPr>
        <w:rPr>
          <w:rFonts w:ascii="Arial" w:cs="Arial" w:eastAsia="Arial" w:hAnsi="Arial"/>
          <w:sz w:val="17"/>
          <w:szCs w:val="17"/>
          <w:color w:val="345988"/>
        </w:rPr>
      </w:pPr>
      <w:r>
        <w:rPr>
          <w:rFonts w:ascii="Arial" w:cs="Arial" w:eastAsia="Arial" w:hAnsi="Arial"/>
          <w:sz w:val="18"/>
          <w:szCs w:val="18"/>
          <w:color w:val="auto"/>
        </w:rPr>
        <w:t>Schneider Electric, SA since April 2011</w:t>
      </w:r>
    </w:p>
    <w:p>
      <w:pPr>
        <w:spacing w:after="0" w:line="102" w:lineRule="exact"/>
        <w:rPr>
          <w:rFonts w:ascii="Arial" w:cs="Arial" w:eastAsia="Arial" w:hAnsi="Arial"/>
          <w:sz w:val="17"/>
          <w:szCs w:val="17"/>
          <w:color w:val="345988"/>
        </w:rPr>
      </w:pPr>
    </w:p>
    <w:p>
      <w:pPr>
        <w:ind w:left="1900" w:hanging="239"/>
        <w:spacing w:after="0"/>
        <w:tabs>
          <w:tab w:leader="none" w:pos="1900" w:val="left"/>
        </w:tabs>
        <w:numPr>
          <w:ilvl w:val="0"/>
          <w:numId w:val="39"/>
        </w:numPr>
        <w:rPr>
          <w:rFonts w:ascii="Arial" w:cs="Arial" w:eastAsia="Arial" w:hAnsi="Arial"/>
          <w:sz w:val="17"/>
          <w:szCs w:val="17"/>
          <w:color w:val="345988"/>
        </w:rPr>
      </w:pPr>
      <w:r>
        <w:rPr>
          <w:rFonts w:ascii="Arial" w:cs="Arial" w:eastAsia="Arial" w:hAnsi="Arial"/>
          <w:sz w:val="18"/>
          <w:szCs w:val="18"/>
          <w:color w:val="auto"/>
        </w:rPr>
        <w:t>Cognizant Technology Solutions Corporation since April 2017</w:t>
      </w:r>
    </w:p>
    <w:p>
      <w:pPr>
        <w:spacing w:after="0" w:line="102" w:lineRule="exact"/>
        <w:rPr>
          <w:rFonts w:ascii="Arial" w:cs="Arial" w:eastAsia="Arial" w:hAnsi="Arial"/>
          <w:sz w:val="17"/>
          <w:szCs w:val="17"/>
          <w:color w:val="345988"/>
        </w:rPr>
      </w:pPr>
    </w:p>
    <w:p>
      <w:pPr>
        <w:ind w:left="1900" w:hanging="239"/>
        <w:spacing w:after="0"/>
        <w:tabs>
          <w:tab w:leader="none" w:pos="1900" w:val="left"/>
        </w:tabs>
        <w:numPr>
          <w:ilvl w:val="0"/>
          <w:numId w:val="39"/>
        </w:numPr>
        <w:rPr>
          <w:rFonts w:ascii="Arial" w:cs="Arial" w:eastAsia="Arial" w:hAnsi="Arial"/>
          <w:sz w:val="17"/>
          <w:szCs w:val="17"/>
          <w:color w:val="345988"/>
        </w:rPr>
      </w:pPr>
      <w:r>
        <w:rPr>
          <w:rFonts w:ascii="Arial" w:cs="Arial" w:eastAsia="Arial" w:hAnsi="Arial"/>
          <w:sz w:val="18"/>
          <w:szCs w:val="18"/>
          <w:color w:val="auto"/>
        </w:rPr>
        <w:t>Wynn Resorts Ltd. since April 2018</w:t>
      </w:r>
    </w:p>
    <w:p>
      <w:pPr>
        <w:spacing w:after="0" w:line="320"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Previous (during the past 5 years):</w:t>
      </w:r>
    </w:p>
    <w:p>
      <w:pPr>
        <w:spacing w:after="0" w:line="209" w:lineRule="exact"/>
        <w:rPr>
          <w:sz w:val="20"/>
          <w:szCs w:val="20"/>
          <w:color w:val="auto"/>
        </w:rPr>
      </w:pPr>
    </w:p>
    <w:p>
      <w:pPr>
        <w:ind w:left="1900" w:hanging="239"/>
        <w:spacing w:after="0"/>
        <w:tabs>
          <w:tab w:leader="none" w:pos="1900" w:val="left"/>
        </w:tabs>
        <w:numPr>
          <w:ilvl w:val="0"/>
          <w:numId w:val="40"/>
        </w:numPr>
        <w:rPr>
          <w:rFonts w:ascii="Arial" w:cs="Arial" w:eastAsia="Arial" w:hAnsi="Arial"/>
          <w:sz w:val="17"/>
          <w:szCs w:val="17"/>
          <w:color w:val="345988"/>
        </w:rPr>
      </w:pPr>
      <w:r>
        <w:rPr>
          <w:rFonts w:ascii="Arial" w:cs="Arial" w:eastAsia="Arial" w:hAnsi="Arial"/>
          <w:sz w:val="18"/>
          <w:szCs w:val="18"/>
          <w:color w:val="auto"/>
        </w:rPr>
        <w:t>HD Supply, Inc. from September 2013 to April 2018</w:t>
      </w:r>
    </w:p>
    <w:p>
      <w:pPr>
        <w:spacing w:after="0" w:line="102" w:lineRule="exact"/>
        <w:rPr>
          <w:rFonts w:ascii="Arial" w:cs="Arial" w:eastAsia="Arial" w:hAnsi="Arial"/>
          <w:sz w:val="17"/>
          <w:szCs w:val="17"/>
          <w:color w:val="345988"/>
        </w:rPr>
      </w:pPr>
    </w:p>
    <w:p>
      <w:pPr>
        <w:ind w:left="1900" w:hanging="239"/>
        <w:spacing w:after="0"/>
        <w:tabs>
          <w:tab w:leader="none" w:pos="1900" w:val="left"/>
        </w:tabs>
        <w:numPr>
          <w:ilvl w:val="0"/>
          <w:numId w:val="40"/>
        </w:numPr>
        <w:rPr>
          <w:rFonts w:ascii="Arial" w:cs="Arial" w:eastAsia="Arial" w:hAnsi="Arial"/>
          <w:sz w:val="17"/>
          <w:szCs w:val="17"/>
          <w:color w:val="345988"/>
        </w:rPr>
      </w:pPr>
      <w:r>
        <w:rPr>
          <w:rFonts w:ascii="Arial" w:cs="Arial" w:eastAsia="Arial" w:hAnsi="Arial"/>
          <w:sz w:val="18"/>
          <w:szCs w:val="18"/>
          <w:color w:val="auto"/>
        </w:rPr>
        <w:t>Polycom, Inc. from 1999 to 2016</w:t>
      </w:r>
    </w:p>
    <w:p>
      <w:pPr>
        <w:spacing w:after="0" w:line="102" w:lineRule="exact"/>
        <w:rPr>
          <w:rFonts w:ascii="Arial" w:cs="Arial" w:eastAsia="Arial" w:hAnsi="Arial"/>
          <w:sz w:val="17"/>
          <w:szCs w:val="17"/>
          <w:color w:val="345988"/>
        </w:rPr>
      </w:pPr>
    </w:p>
    <w:p>
      <w:pPr>
        <w:ind w:left="1900" w:hanging="239"/>
        <w:spacing w:after="0"/>
        <w:tabs>
          <w:tab w:leader="none" w:pos="1900" w:val="left"/>
        </w:tabs>
        <w:numPr>
          <w:ilvl w:val="0"/>
          <w:numId w:val="40"/>
        </w:numPr>
        <w:rPr>
          <w:rFonts w:ascii="Arial" w:cs="Arial" w:eastAsia="Arial" w:hAnsi="Arial"/>
          <w:sz w:val="16"/>
          <w:szCs w:val="16"/>
          <w:color w:val="345988"/>
        </w:rPr>
      </w:pPr>
      <w:r>
        <w:rPr>
          <w:rFonts w:ascii="Arial" w:cs="Arial" w:eastAsia="Arial" w:hAnsi="Arial"/>
          <w:sz w:val="16"/>
          <w:szCs w:val="16"/>
          <w:color w:val="auto"/>
        </w:rPr>
        <w:t>Darden Restaurants, Inc. from October 2014 to September 2015</w:t>
      </w:r>
    </w:p>
    <w:p>
      <w:pPr>
        <w:spacing w:after="0" w:line="125" w:lineRule="exact"/>
        <w:rPr>
          <w:rFonts w:ascii="Arial" w:cs="Arial" w:eastAsia="Arial" w:hAnsi="Arial"/>
          <w:sz w:val="16"/>
          <w:szCs w:val="16"/>
          <w:color w:val="345988"/>
        </w:rPr>
      </w:pPr>
    </w:p>
    <w:p>
      <w:pPr>
        <w:ind w:left="1900" w:hanging="239"/>
        <w:spacing w:after="0"/>
        <w:tabs>
          <w:tab w:leader="none" w:pos="1900" w:val="left"/>
        </w:tabs>
        <w:numPr>
          <w:ilvl w:val="0"/>
          <w:numId w:val="40"/>
        </w:numPr>
        <w:rPr>
          <w:rFonts w:ascii="Arial" w:cs="Arial" w:eastAsia="Arial" w:hAnsi="Arial"/>
          <w:sz w:val="17"/>
          <w:szCs w:val="17"/>
          <w:color w:val="345988"/>
        </w:rPr>
      </w:pPr>
      <w:r>
        <w:rPr>
          <w:rFonts w:ascii="Arial" w:cs="Arial" w:eastAsia="Arial" w:hAnsi="Arial"/>
          <w:sz w:val="18"/>
          <w:szCs w:val="18"/>
          <w:color w:val="auto"/>
        </w:rPr>
        <w:t>Ciber, Inc. from July 2014 to October 2014</w:t>
      </w:r>
    </w:p>
    <w:p>
      <w:pPr>
        <w:spacing w:after="0" w:line="102" w:lineRule="exact"/>
        <w:rPr>
          <w:rFonts w:ascii="Arial" w:cs="Arial" w:eastAsia="Arial" w:hAnsi="Arial"/>
          <w:sz w:val="17"/>
          <w:szCs w:val="17"/>
          <w:color w:val="345988"/>
        </w:rPr>
      </w:pPr>
    </w:p>
    <w:p>
      <w:pPr>
        <w:ind w:left="1900" w:hanging="239"/>
        <w:spacing w:after="0"/>
        <w:tabs>
          <w:tab w:leader="none" w:pos="1900" w:val="left"/>
        </w:tabs>
        <w:numPr>
          <w:ilvl w:val="0"/>
          <w:numId w:val="40"/>
        </w:numPr>
        <w:rPr>
          <w:rFonts w:ascii="Arial" w:cs="Arial" w:eastAsia="Arial" w:hAnsi="Arial"/>
          <w:sz w:val="17"/>
          <w:szCs w:val="17"/>
          <w:color w:val="345988"/>
        </w:rPr>
      </w:pPr>
      <w:r>
        <w:rPr>
          <w:rFonts w:ascii="Arial" w:cs="Arial" w:eastAsia="Arial" w:hAnsi="Arial"/>
          <w:sz w:val="18"/>
          <w:szCs w:val="18"/>
          <w:color w:val="auto"/>
        </w:rPr>
        <w:t>Chico’s FAS, Inc. from January 2004 to July 2013</w:t>
      </w:r>
    </w:p>
    <w:p>
      <w:pPr>
        <w:spacing w:after="0" w:line="318"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419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1910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p>
      <w:pPr>
        <w:spacing w:after="0" w:line="287"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345988"/>
        </w:rPr>
        <w:t>Marc</w:t>
      </w:r>
    </w:p>
    <w:p>
      <w:pPr>
        <w:spacing w:after="0" w:line="20"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345988"/>
        </w:rPr>
        <w:t>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804545" cy="11296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04545" cy="1129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804545" cy="11296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04545" cy="1129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345" w:lineRule="auto"/>
        <w:rPr>
          <w:sz w:val="20"/>
          <w:szCs w:val="20"/>
          <w:color w:val="auto"/>
        </w:rPr>
      </w:pPr>
      <w:r>
        <w:rPr>
          <w:rFonts w:ascii="Arial" w:cs="Arial" w:eastAsia="Arial" w:hAnsi="Arial"/>
          <w:sz w:val="16"/>
          <w:szCs w:val="16"/>
          <w:b w:val="1"/>
          <w:bCs w:val="1"/>
          <w:color w:val="auto"/>
        </w:rPr>
        <w:t>SL Green Board Service:</w:t>
      </w:r>
    </w:p>
    <w:p>
      <w:pPr>
        <w:spacing w:after="0" w:line="93" w:lineRule="exact"/>
        <w:rPr>
          <w:sz w:val="20"/>
          <w:szCs w:val="20"/>
          <w:color w:val="auto"/>
        </w:rPr>
      </w:pPr>
    </w:p>
    <w:p>
      <w:pPr>
        <w:ind w:left="280" w:right="120" w:hanging="263"/>
        <w:spacing w:after="0" w:line="348" w:lineRule="auto"/>
        <w:tabs>
          <w:tab w:leader="none" w:pos="257" w:val="left"/>
        </w:tabs>
        <w:numPr>
          <w:ilvl w:val="0"/>
          <w:numId w:val="42"/>
        </w:numPr>
        <w:rPr>
          <w:rFonts w:ascii="Times New Roman" w:cs="Times New Roman" w:eastAsia="Times New Roman" w:hAnsi="Times New Roman"/>
          <w:sz w:val="16"/>
          <w:szCs w:val="16"/>
          <w:color w:val="345988"/>
        </w:rPr>
      </w:pPr>
      <w:r>
        <w:rPr>
          <w:rFonts w:ascii="Arial" w:cs="Arial" w:eastAsia="Arial" w:hAnsi="Arial"/>
          <w:sz w:val="16"/>
          <w:szCs w:val="16"/>
          <w:color w:val="auto"/>
        </w:rPr>
        <w:t>Executive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December 2001</w:t>
      </w:r>
      <w:r>
        <w:rPr>
          <w:rFonts w:ascii="Arial" w:cs="Arial" w:eastAsia="Arial" w:hAnsi="Arial"/>
          <w:sz w:val="18"/>
          <w:szCs w:val="18"/>
          <w:color w:val="auto"/>
        </w:rPr>
        <w:t xml:space="preserve"> Age: </w:t>
      </w:r>
      <w:r>
        <w:rPr>
          <w:rFonts w:ascii="Arial" w:cs="Arial" w:eastAsia="Arial" w:hAnsi="Arial"/>
          <w:sz w:val="18"/>
          <w:szCs w:val="18"/>
          <w:b w:val="1"/>
          <w:bCs w:val="1"/>
          <w:color w:val="auto"/>
        </w:rPr>
        <w:t>51 Chief Executive Officer</w:t>
      </w:r>
    </w:p>
    <w:p>
      <w:pPr>
        <w:spacing w:after="0" w:line="321" w:lineRule="exact"/>
        <w:rPr>
          <w:sz w:val="20"/>
          <w:szCs w:val="20"/>
          <w:color w:val="auto"/>
        </w:rPr>
      </w:pPr>
    </w:p>
    <w:p>
      <w:pPr>
        <w:ind w:right="500"/>
        <w:spacing w:after="0" w:line="297" w:lineRule="auto"/>
        <w:rPr>
          <w:sz w:val="20"/>
          <w:szCs w:val="20"/>
          <w:color w:val="auto"/>
        </w:rPr>
      </w:pPr>
      <w:r>
        <w:rPr>
          <w:rFonts w:ascii="Arial" w:cs="Arial" w:eastAsia="Arial" w:hAnsi="Arial"/>
          <w:sz w:val="16"/>
          <w:szCs w:val="16"/>
          <w:color w:val="auto"/>
        </w:rPr>
        <w:t>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13" w:lineRule="exact"/>
        <w:rPr>
          <w:sz w:val="20"/>
          <w:szCs w:val="20"/>
          <w:color w:val="auto"/>
        </w:rPr>
      </w:pPr>
    </w:p>
    <w:p>
      <w:pPr>
        <w:ind w:left="520" w:hanging="239"/>
        <w:spacing w:after="0"/>
        <w:tabs>
          <w:tab w:leader="none" w:pos="520" w:val="left"/>
        </w:tabs>
        <w:numPr>
          <w:ilvl w:val="0"/>
          <w:numId w:val="43"/>
        </w:numPr>
        <w:rPr>
          <w:rFonts w:ascii="Arial" w:cs="Arial" w:eastAsia="Arial" w:hAnsi="Arial"/>
          <w:sz w:val="17"/>
          <w:szCs w:val="17"/>
          <w:color w:val="345988"/>
        </w:rPr>
      </w:pPr>
      <w:r>
        <w:rPr>
          <w:rFonts w:ascii="Arial" w:cs="Arial" w:eastAsia="Arial" w:hAnsi="Arial"/>
          <w:sz w:val="18"/>
          <w:szCs w:val="18"/>
          <w:color w:val="auto"/>
        </w:rPr>
        <w:t>Chief Executive Officer of the Company since January 2004</w:t>
      </w:r>
    </w:p>
    <w:p>
      <w:pPr>
        <w:spacing w:after="0" w:line="102" w:lineRule="exact"/>
        <w:rPr>
          <w:rFonts w:ascii="Arial" w:cs="Arial" w:eastAsia="Arial" w:hAnsi="Arial"/>
          <w:sz w:val="17"/>
          <w:szCs w:val="17"/>
          <w:color w:val="345988"/>
        </w:rPr>
      </w:pPr>
    </w:p>
    <w:p>
      <w:pPr>
        <w:ind w:left="540" w:right="160" w:hanging="259"/>
        <w:spacing w:after="0" w:line="268" w:lineRule="auto"/>
        <w:tabs>
          <w:tab w:leader="none" w:pos="517" w:val="left"/>
        </w:tabs>
        <w:numPr>
          <w:ilvl w:val="0"/>
          <w:numId w:val="43"/>
        </w:numPr>
        <w:rPr>
          <w:rFonts w:ascii="Arial" w:cs="Arial" w:eastAsia="Arial" w:hAnsi="Arial"/>
          <w:sz w:val="17"/>
          <w:szCs w:val="17"/>
          <w:color w:val="345988"/>
        </w:rPr>
      </w:pPr>
      <w:r>
        <w:rPr>
          <w:rFonts w:ascii="Arial" w:cs="Arial" w:eastAsia="Arial" w:hAnsi="Arial"/>
          <w:sz w:val="18"/>
          <w:szCs w:val="18"/>
          <w:color w:val="auto"/>
        </w:rPr>
        <w:t>Joined the Company as Chief Investment Officer July 1998; stepped down as President in April 2007 following promotion of Andrew Mathias, current President, to that position</w:t>
      </w:r>
    </w:p>
    <w:p>
      <w:pPr>
        <w:spacing w:after="0" w:line="49" w:lineRule="exact"/>
        <w:rPr>
          <w:rFonts w:ascii="Arial" w:cs="Arial" w:eastAsia="Arial" w:hAnsi="Arial"/>
          <w:sz w:val="17"/>
          <w:szCs w:val="17"/>
          <w:color w:val="345988"/>
        </w:rPr>
      </w:pPr>
    </w:p>
    <w:p>
      <w:pPr>
        <w:ind w:left="520" w:hanging="239"/>
        <w:spacing w:after="0"/>
        <w:tabs>
          <w:tab w:leader="none" w:pos="520" w:val="left"/>
        </w:tabs>
        <w:numPr>
          <w:ilvl w:val="0"/>
          <w:numId w:val="43"/>
        </w:numPr>
        <w:rPr>
          <w:rFonts w:ascii="Arial" w:cs="Arial" w:eastAsia="Arial" w:hAnsi="Arial"/>
          <w:sz w:val="17"/>
          <w:szCs w:val="17"/>
          <w:color w:val="345988"/>
        </w:rPr>
      </w:pPr>
      <w:r>
        <w:rPr>
          <w:rFonts w:ascii="Arial" w:cs="Arial" w:eastAsia="Arial" w:hAnsi="Arial"/>
          <w:sz w:val="18"/>
          <w:szCs w:val="18"/>
          <w:color w:val="auto"/>
        </w:rPr>
        <w:t>President and Chief Executive Officer of Gramercy, August 2004 to October 2008, when Mr. Holliday stepped down</w:t>
      </w:r>
    </w:p>
    <w:p>
      <w:pPr>
        <w:spacing w:after="0" w:line="102" w:lineRule="exact"/>
        <w:rPr>
          <w:rFonts w:ascii="Arial" w:cs="Arial" w:eastAsia="Arial" w:hAnsi="Arial"/>
          <w:sz w:val="17"/>
          <w:szCs w:val="17"/>
          <w:color w:val="345988"/>
        </w:rPr>
      </w:pPr>
    </w:p>
    <w:p>
      <w:pPr>
        <w:ind w:left="540" w:right="160" w:hanging="259"/>
        <w:spacing w:after="0" w:line="251" w:lineRule="auto"/>
        <w:tabs>
          <w:tab w:leader="none" w:pos="517" w:val="left"/>
        </w:tabs>
        <w:numPr>
          <w:ilvl w:val="0"/>
          <w:numId w:val="43"/>
        </w:numPr>
        <w:rPr>
          <w:rFonts w:ascii="Arial" w:cs="Arial" w:eastAsia="Arial" w:hAnsi="Arial"/>
          <w:sz w:val="17"/>
          <w:szCs w:val="17"/>
          <w:color w:val="345988"/>
        </w:rPr>
      </w:pPr>
      <w:r>
        <w:rPr>
          <w:rFonts w:ascii="Arial" w:cs="Arial" w:eastAsia="Arial" w:hAnsi="Arial"/>
          <w:sz w:val="18"/>
          <w:szCs w:val="18"/>
          <w:color w:val="auto"/>
        </w:rPr>
        <w:t>Managing Director and Head of Direct Originations for New York-based Capital Trust Inc., a mezzanine finance company, where he was in charge of originating direct principal investments for the firm, consisting of mezzanine debt, preferred equity and first mortgages</w:t>
      </w:r>
    </w:p>
    <w:p>
      <w:pPr>
        <w:spacing w:after="0" w:line="64" w:lineRule="exact"/>
        <w:rPr>
          <w:rFonts w:ascii="Arial" w:cs="Arial" w:eastAsia="Arial" w:hAnsi="Arial"/>
          <w:sz w:val="17"/>
          <w:szCs w:val="17"/>
          <w:color w:val="345988"/>
        </w:rPr>
      </w:pPr>
    </w:p>
    <w:p>
      <w:pPr>
        <w:ind w:left="540" w:right="560" w:hanging="259"/>
        <w:spacing w:after="0" w:line="268" w:lineRule="auto"/>
        <w:tabs>
          <w:tab w:leader="none" w:pos="517" w:val="left"/>
        </w:tabs>
        <w:numPr>
          <w:ilvl w:val="0"/>
          <w:numId w:val="43"/>
        </w:numPr>
        <w:rPr>
          <w:rFonts w:ascii="Arial" w:cs="Arial" w:eastAsia="Arial" w:hAnsi="Arial"/>
          <w:sz w:val="17"/>
          <w:szCs w:val="17"/>
          <w:color w:val="345988"/>
        </w:rPr>
      </w:pPr>
      <w:r>
        <w:rPr>
          <w:rFonts w:ascii="Arial" w:cs="Arial" w:eastAsia="Arial" w:hAnsi="Arial"/>
          <w:sz w:val="18"/>
          <w:szCs w:val="18"/>
          <w:color w:val="auto"/>
        </w:rPr>
        <w:t>Served in various management positions, including Senior Vice President at Capital Trust, Inc.’s predecessor, Victor Capital Group, L.P. 1991 to 1997</w:t>
      </w:r>
    </w:p>
    <w:p>
      <w:pPr>
        <w:spacing w:after="0" w:line="49" w:lineRule="exact"/>
        <w:rPr>
          <w:rFonts w:ascii="Arial" w:cs="Arial" w:eastAsia="Arial" w:hAnsi="Arial"/>
          <w:sz w:val="17"/>
          <w:szCs w:val="17"/>
          <w:color w:val="345988"/>
        </w:rPr>
      </w:pPr>
    </w:p>
    <w:p>
      <w:pPr>
        <w:ind w:left="540" w:right="40" w:hanging="259"/>
        <w:spacing w:after="0" w:line="268" w:lineRule="auto"/>
        <w:tabs>
          <w:tab w:leader="none" w:pos="517" w:val="left"/>
        </w:tabs>
        <w:numPr>
          <w:ilvl w:val="0"/>
          <w:numId w:val="43"/>
        </w:numPr>
        <w:rPr>
          <w:rFonts w:ascii="Arial" w:cs="Arial" w:eastAsia="Arial" w:hAnsi="Arial"/>
          <w:sz w:val="17"/>
          <w:szCs w:val="17"/>
          <w:color w:val="345988"/>
        </w:rPr>
      </w:pPr>
      <w:r>
        <w:rPr>
          <w:rFonts w:ascii="Arial" w:cs="Arial" w:eastAsia="Arial" w:hAnsi="Arial"/>
          <w:sz w:val="18"/>
          <w:szCs w:val="18"/>
          <w:color w:val="auto"/>
        </w:rPr>
        <w:t>Member of the Board of Directors of NYRA and Columbia University, and executive officer and member of the Board of the Real Estate Board of New York</w:t>
      </w:r>
    </w:p>
    <w:p>
      <w:pPr>
        <w:spacing w:after="0" w:line="49" w:lineRule="exact"/>
        <w:rPr>
          <w:rFonts w:ascii="Arial" w:cs="Arial" w:eastAsia="Arial" w:hAnsi="Arial"/>
          <w:sz w:val="17"/>
          <w:szCs w:val="17"/>
          <w:color w:val="345988"/>
        </w:rPr>
      </w:pPr>
    </w:p>
    <w:p>
      <w:pPr>
        <w:ind w:left="540" w:right="260" w:hanging="259"/>
        <w:spacing w:after="0" w:line="268" w:lineRule="auto"/>
        <w:tabs>
          <w:tab w:leader="none" w:pos="517" w:val="left"/>
        </w:tabs>
        <w:numPr>
          <w:ilvl w:val="0"/>
          <w:numId w:val="43"/>
        </w:numPr>
        <w:rPr>
          <w:rFonts w:ascii="Arial" w:cs="Arial" w:eastAsia="Arial" w:hAnsi="Arial"/>
          <w:sz w:val="17"/>
          <w:szCs w:val="17"/>
          <w:color w:val="345988"/>
        </w:rPr>
      </w:pPr>
      <w:r>
        <w:rPr>
          <w:rFonts w:ascii="Arial" w:cs="Arial" w:eastAsia="Arial" w:hAnsi="Arial"/>
          <w:sz w:val="18"/>
          <w:szCs w:val="18"/>
          <w:color w:val="auto"/>
        </w:rPr>
        <w:t>B.S. degree in Business and Finance from Lehigh University in 1988 and M.S. degree in Real Estate Development from Columbia University in 1990</w:t>
      </w:r>
    </w:p>
    <w:p>
      <w:pPr>
        <w:spacing w:after="0" w:line="156" w:lineRule="exact"/>
        <w:rPr>
          <w:sz w:val="20"/>
          <w:szCs w:val="20"/>
          <w:color w:val="auto"/>
        </w:rPr>
      </w:pPr>
    </w:p>
    <w:p>
      <w:pPr>
        <w:sectPr>
          <w:pgSz w:w="11900" w:h="16838" w:orient="portrait"/>
          <w:cols w:equalWidth="0" w:num="2">
            <w:col w:w="1240" w:space="140"/>
            <w:col w:w="10040"/>
          </w:cols>
          <w:pgMar w:left="240" w:top="119" w:right="239" w:bottom="1440" w:gutter="0" w:footer="0" w:header="0"/>
          <w:type w:val="continuous"/>
        </w:sectPr>
      </w:pPr>
    </w:p>
    <w:p>
      <w:pPr>
        <w:ind w:left="1380"/>
        <w:spacing w:after="0"/>
        <w:rPr>
          <w:sz w:val="20"/>
          <w:szCs w:val="20"/>
          <w:color w:val="auto"/>
        </w:rPr>
      </w:pPr>
      <w:r>
        <w:rPr>
          <w:rFonts w:ascii="Arial" w:cs="Arial" w:eastAsia="Arial" w:hAnsi="Arial"/>
          <w:sz w:val="16"/>
          <w:szCs w:val="16"/>
          <w:b w:val="1"/>
          <w:bCs w:val="1"/>
          <w:color w:val="auto"/>
        </w:rPr>
        <w:t>Other Public Board Directorships</w:t>
      </w:r>
    </w:p>
    <w:p>
      <w:pPr>
        <w:spacing w:after="0" w:line="238"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Previous (during the past 5 years):</w:t>
      </w:r>
    </w:p>
    <w:p>
      <w:pPr>
        <w:sectPr>
          <w:pgSz w:w="11900" w:h="16838" w:orient="portrait"/>
          <w:cols w:equalWidth="0" w:num="1">
            <w:col w:w="11420"/>
          </w:cols>
          <w:pgMar w:left="240" w:top="1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260"/>
        <w:spacing w:after="0"/>
        <w:rPr>
          <w:sz w:val="20"/>
          <w:szCs w:val="20"/>
          <w:color w:val="auto"/>
        </w:rPr>
      </w:pPr>
      <w:r>
        <w:rPr>
          <w:rFonts w:ascii="Arial" w:cs="Arial" w:eastAsia="Arial" w:hAnsi="Arial"/>
          <w:sz w:val="20"/>
          <w:szCs w:val="20"/>
          <w:b w:val="1"/>
          <w:bCs w:val="1"/>
          <w:color w:val="345988"/>
        </w:rPr>
        <w:t>John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8045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04545" cy="17145"/>
                    </a:xfrm>
                    <a:prstGeom prst="rect">
                      <a:avLst/>
                    </a:prstGeom>
                    <a:noFill/>
                  </pic:spPr>
                </pic:pic>
              </a:graphicData>
            </a:graphic>
          </wp:anchor>
        </w:drawing>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345988"/>
        </w:rPr>
        <w:t>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804545" cy="1137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04545" cy="1137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520" w:hanging="239"/>
        <w:spacing w:after="0"/>
        <w:tabs>
          <w:tab w:leader="none" w:pos="520" w:val="left"/>
        </w:tabs>
        <w:numPr>
          <w:ilvl w:val="0"/>
          <w:numId w:val="44"/>
        </w:numPr>
        <w:rPr>
          <w:rFonts w:ascii="Times New Roman" w:cs="Times New Roman" w:eastAsia="Times New Roman" w:hAnsi="Times New Roman"/>
          <w:sz w:val="17"/>
          <w:szCs w:val="17"/>
          <w:color w:val="345988"/>
        </w:rPr>
      </w:pPr>
      <w:r>
        <w:rPr>
          <w:rFonts w:ascii="Arial" w:cs="Arial" w:eastAsia="Arial" w:hAnsi="Arial"/>
          <w:sz w:val="18"/>
          <w:szCs w:val="18"/>
          <w:color w:val="auto"/>
        </w:rPr>
        <w:t>Gramercy from 2004 to September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171450</wp:posOffset>
            </wp:positionV>
            <wp:extent cx="6374130" cy="419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74130" cy="4191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82 Independent Director</w:t>
      </w:r>
    </w:p>
    <w:p>
      <w:pPr>
        <w:spacing w:after="0" w:line="3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Mr. Levy’s extensive skills, experience and sophistication in corporate governance, financial, compensation, legal and commercial matters, including his corporate finance expertise developed at Lehman Brothers, allow him to provide valuable insights into the Company’s business and finances.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00" w:lineRule="exact"/>
        <w:rPr>
          <w:sz w:val="20"/>
          <w:szCs w:val="20"/>
          <w:color w:val="auto"/>
        </w:rPr>
      </w:pPr>
    </w:p>
    <w:p>
      <w:pPr>
        <w:sectPr>
          <w:pgSz w:w="11900" w:h="16838" w:orient="portrait"/>
          <w:cols w:equalWidth="0" w:num="2">
            <w:col w:w="1040" w:space="340"/>
            <w:col w:w="10040"/>
          </w:cols>
          <w:pgMar w:left="240" w:top="1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345" w:lineRule="auto"/>
        <w:rPr>
          <w:sz w:val="20"/>
          <w:szCs w:val="20"/>
          <w:color w:val="auto"/>
        </w:rPr>
      </w:pPr>
      <w:r>
        <w:rPr>
          <w:rFonts w:ascii="Arial" w:cs="Arial" w:eastAsia="Arial" w:hAnsi="Arial"/>
          <w:sz w:val="16"/>
          <w:szCs w:val="16"/>
          <w:b w:val="1"/>
          <w:bCs w:val="1"/>
          <w:color w:val="auto"/>
        </w:rPr>
        <w:t>SL Green Board Service:</w:t>
      </w:r>
    </w:p>
    <w:p>
      <w:pPr>
        <w:spacing w:after="0" w:line="70" w:lineRule="exact"/>
        <w:rPr>
          <w:sz w:val="20"/>
          <w:szCs w:val="20"/>
          <w:color w:val="auto"/>
        </w:rPr>
      </w:pPr>
    </w:p>
    <w:p>
      <w:pPr>
        <w:ind w:left="260" w:hanging="243"/>
        <w:spacing w:after="0"/>
        <w:tabs>
          <w:tab w:leader="none" w:pos="260" w:val="left"/>
        </w:tabs>
        <w:numPr>
          <w:ilvl w:val="0"/>
          <w:numId w:val="45"/>
        </w:numPr>
        <w:rPr>
          <w:rFonts w:ascii="Times New Roman" w:cs="Times New Roman" w:eastAsia="Times New Roman" w:hAnsi="Times New Roman"/>
          <w:sz w:val="17"/>
          <w:szCs w:val="17"/>
          <w:color w:val="345988"/>
        </w:rPr>
      </w:pPr>
      <w:r>
        <w:rPr>
          <w:rFonts w:ascii="Arial" w:cs="Arial" w:eastAsia="Arial" w:hAnsi="Arial"/>
          <w:sz w:val="18"/>
          <w:szCs w:val="18"/>
          <w:color w:val="auto"/>
        </w:rPr>
        <w:t>Nominating</w:t>
      </w:r>
    </w:p>
    <w:p>
      <w:pPr>
        <w:spacing w:after="0" w:line="20" w:lineRule="exact"/>
        <w:rPr>
          <w:sz w:val="20"/>
          <w:szCs w:val="20"/>
          <w:color w:val="auto"/>
        </w:rPr>
      </w:pPr>
      <w:r>
        <w:rPr>
          <w:sz w:val="20"/>
          <w:szCs w:val="20"/>
          <w:color w:val="auto"/>
        </w:rPr>
        <w:br w:type="column"/>
      </w:r>
    </w:p>
    <w:p>
      <w:pPr>
        <w:ind w:left="259" w:right="340" w:hanging="259"/>
        <w:spacing w:after="0" w:line="297" w:lineRule="auto"/>
        <w:tabs>
          <w:tab w:leader="none" w:pos="237" w:val="left"/>
        </w:tabs>
        <w:numPr>
          <w:ilvl w:val="0"/>
          <w:numId w:val="46"/>
        </w:numPr>
        <w:rPr>
          <w:rFonts w:ascii="Arial" w:cs="Arial" w:eastAsia="Arial" w:hAnsi="Arial"/>
          <w:sz w:val="16"/>
          <w:szCs w:val="16"/>
          <w:color w:val="345988"/>
        </w:rPr>
      </w:pPr>
      <w:r>
        <w:rPr>
          <w:rFonts w:ascii="Arial" w:cs="Arial" w:eastAsia="Arial" w:hAnsi="Arial"/>
          <w:sz w:val="16"/>
          <w:szCs w:val="16"/>
          <w:color w:val="auto"/>
        </w:rPr>
        <w:t>Retired from Lehman Brothers Inc. in 1995; from 1983 to 1995, served as Managing Director and Chief Administrative Officer of the Financial Services Division, Senior Executive Vice President and Co-Director of the International Division and Managing Partner of the Equity Securities Division at Lehman Brothers (or its predecessors)</w:t>
      </w:r>
    </w:p>
    <w:p>
      <w:pPr>
        <w:spacing w:after="0" w:line="31" w:lineRule="exact"/>
        <w:rPr>
          <w:rFonts w:ascii="Arial" w:cs="Arial" w:eastAsia="Arial" w:hAnsi="Arial"/>
          <w:sz w:val="16"/>
          <w:szCs w:val="16"/>
          <w:color w:val="345988"/>
        </w:rPr>
      </w:pPr>
    </w:p>
    <w:p>
      <w:pPr>
        <w:ind w:left="259" w:right="260" w:hanging="259"/>
        <w:spacing w:after="0" w:line="251" w:lineRule="auto"/>
        <w:tabs>
          <w:tab w:leader="none" w:pos="237" w:val="left"/>
        </w:tabs>
        <w:numPr>
          <w:ilvl w:val="0"/>
          <w:numId w:val="46"/>
        </w:numPr>
        <w:rPr>
          <w:rFonts w:ascii="Arial" w:cs="Arial" w:eastAsia="Arial" w:hAnsi="Arial"/>
          <w:sz w:val="17"/>
          <w:szCs w:val="17"/>
          <w:color w:val="345988"/>
        </w:rPr>
      </w:pPr>
      <w:r>
        <w:rPr>
          <w:rFonts w:ascii="Arial" w:cs="Arial" w:eastAsia="Arial" w:hAnsi="Arial"/>
          <w:sz w:val="18"/>
          <w:szCs w:val="18"/>
          <w:color w:val="auto"/>
        </w:rPr>
        <w:t>Associated with A.G. Becker Incorporated (or its predecessors) from 1960 to 1983, where Mr. Levy served as Managing Director of the Execution Services Division, Vice President-Manager of Institutional and Retail Sales, Manager of the Institutional Sales Division, Manager of the New York Retail Office and a Registered Representative</w:t>
      </w:r>
    </w:p>
    <w:p>
      <w:pPr>
        <w:spacing w:after="0" w:line="87" w:lineRule="exact"/>
        <w:rPr>
          <w:sz w:val="20"/>
          <w:szCs w:val="20"/>
          <w:color w:val="auto"/>
        </w:rPr>
      </w:pPr>
    </w:p>
    <w:p>
      <w:pPr>
        <w:sectPr>
          <w:pgSz w:w="11900" w:h="16838" w:orient="portrait"/>
          <w:cols w:equalWidth="0" w:num="2">
            <w:col w:w="1240" w:space="421"/>
            <w:col w:w="9759"/>
          </w:cols>
          <w:pgMar w:left="240" w:top="119" w:right="239" w:bottom="1440" w:gutter="0" w:footer="0" w:header="0"/>
          <w:type w:val="continuous"/>
        </w:sectPr>
      </w:pPr>
    </w:p>
    <w:p>
      <w:pPr>
        <w:ind w:left="280"/>
        <w:spacing w:after="0"/>
        <w:tabs>
          <w:tab w:leader="none" w:pos="1640" w:val="left"/>
        </w:tabs>
        <w:rPr>
          <w:sz w:val="20"/>
          <w:szCs w:val="20"/>
          <w:color w:val="auto"/>
        </w:rPr>
      </w:pPr>
      <w:r>
        <w:rPr>
          <w:rFonts w:ascii="Arial" w:cs="Arial" w:eastAsia="Arial" w:hAnsi="Arial"/>
          <w:sz w:val="29"/>
          <w:szCs w:val="29"/>
          <w:color w:val="000000"/>
          <w:vertAlign w:val="subscript"/>
        </w:rPr>
        <w:t>and Corporate</w:t>
      </w:r>
      <w:r>
        <w:rPr>
          <w:sz w:val="20"/>
          <w:szCs w:val="20"/>
          <w:color w:val="auto"/>
        </w:rPr>
        <w:tab/>
      </w:r>
      <w:r>
        <w:rPr>
          <w:rFonts w:ascii="Arial" w:cs="Arial" w:eastAsia="Arial" w:hAnsi="Arial"/>
          <w:sz w:val="17"/>
          <w:szCs w:val="17"/>
          <w:color w:val="345988"/>
        </w:rPr>
        <w:t xml:space="preserve">●  </w:t>
      </w:r>
      <w:r>
        <w:rPr>
          <w:rFonts w:ascii="Arial" w:cs="Arial" w:eastAsia="Arial" w:hAnsi="Arial"/>
          <w:sz w:val="17"/>
          <w:szCs w:val="17"/>
          <w:color w:val="000000"/>
        </w:rPr>
        <w:t>B.A. degree from Dartmouth College.</w:t>
      </w:r>
    </w:p>
    <w:p>
      <w:pPr>
        <w:ind w:left="280"/>
        <w:spacing w:after="0" w:line="187" w:lineRule="auto"/>
        <w:rPr>
          <w:sz w:val="20"/>
          <w:szCs w:val="20"/>
          <w:color w:val="auto"/>
        </w:rPr>
      </w:pPr>
      <w:r>
        <w:rPr>
          <w:rFonts w:ascii="Arial" w:cs="Arial" w:eastAsia="Arial" w:hAnsi="Arial"/>
          <w:sz w:val="18"/>
          <w:szCs w:val="18"/>
          <w:color w:val="auto"/>
        </w:rPr>
        <w:t>Governance</w:t>
      </w:r>
    </w:p>
    <w:p>
      <w:pPr>
        <w:ind w:left="280"/>
        <w:spacing w:after="0" w:line="186" w:lineRule="auto"/>
        <w:tabs>
          <w:tab w:leader="none" w:pos="1360" w:val="left"/>
        </w:tabs>
        <w:rPr>
          <w:sz w:val="20"/>
          <w:szCs w:val="20"/>
          <w:color w:val="auto"/>
        </w:rPr>
      </w:pPr>
      <w:r>
        <w:rPr>
          <w:rFonts w:ascii="Arial" w:cs="Arial" w:eastAsia="Arial" w:hAnsi="Arial"/>
          <w:sz w:val="25"/>
          <w:szCs w:val="25"/>
          <w:color w:val="auto"/>
          <w:vertAlign w:val="subscript"/>
        </w:rPr>
        <w:t>Committee</w:t>
      </w:r>
      <w:r>
        <w:rPr>
          <w:sz w:val="20"/>
          <w:szCs w:val="20"/>
          <w:color w:val="auto"/>
        </w:rPr>
        <w:tab/>
      </w:r>
      <w:r>
        <w:rPr>
          <w:rFonts w:ascii="Arial" w:cs="Arial" w:eastAsia="Arial" w:hAnsi="Arial"/>
          <w:sz w:val="14"/>
          <w:szCs w:val="14"/>
          <w:b w:val="1"/>
          <w:bCs w:val="1"/>
          <w:color w:val="auto"/>
        </w:rPr>
        <w:t>Other Public Board Directorships</w:t>
      </w:r>
    </w:p>
    <w:p>
      <w:pPr>
        <w:spacing w:after="0" w:line="33" w:lineRule="exact"/>
        <w:rPr>
          <w:sz w:val="20"/>
          <w:szCs w:val="20"/>
          <w:color w:val="auto"/>
        </w:rPr>
      </w:pPr>
    </w:p>
    <w:p>
      <w:pPr>
        <w:ind w:left="280" w:right="9100" w:hanging="263"/>
        <w:spacing w:after="0" w:line="206" w:lineRule="auto"/>
        <w:tabs>
          <w:tab w:leader="none" w:pos="257" w:val="left"/>
        </w:tabs>
        <w:numPr>
          <w:ilvl w:val="0"/>
          <w:numId w:val="47"/>
        </w:numPr>
        <w:rPr>
          <w:rFonts w:ascii="Times New Roman" w:cs="Times New Roman" w:eastAsia="Times New Roman" w:hAnsi="Times New Roman"/>
          <w:sz w:val="17"/>
          <w:szCs w:val="17"/>
          <w:color w:val="345988"/>
        </w:rPr>
      </w:pPr>
      <w:r>
        <w:rPr>
          <w:rFonts w:ascii="Arial" w:cs="Arial" w:eastAsia="Arial" w:hAnsi="Arial"/>
          <w:sz w:val="18"/>
          <w:szCs w:val="18"/>
          <w:color w:val="auto"/>
        </w:rPr>
        <w:t xml:space="preserve">Compensation </w:t>
      </w:r>
      <w:r>
        <w:rPr>
          <w:rFonts w:ascii="Times New Roman" w:cs="Times New Roman" w:eastAsia="Times New Roman" w:hAnsi="Times New Roman"/>
          <w:sz w:val="34"/>
          <w:szCs w:val="34"/>
          <w:color w:val="345988"/>
          <w:vertAlign w:val="subscript"/>
        </w:rPr>
        <w:t>●</w:t>
      </w:r>
      <w:r>
        <w:rPr>
          <w:rFonts w:ascii="Arial" w:cs="Arial" w:eastAsia="Arial" w:hAnsi="Arial"/>
          <w:sz w:val="18"/>
          <w:szCs w:val="18"/>
          <w:color w:val="auto"/>
        </w:rPr>
        <w:t xml:space="preserve"> </w:t>
      </w:r>
      <w:r>
        <w:rPr>
          <w:rFonts w:ascii="Arial" w:cs="Arial" w:eastAsia="Arial" w:hAnsi="Arial"/>
          <w:sz w:val="35"/>
          <w:szCs w:val="35"/>
          <w:color w:val="auto"/>
          <w:vertAlign w:val="subscript"/>
        </w:rPr>
        <w:t>None</w:t>
      </w:r>
      <w:r>
        <w:rPr>
          <w:rFonts w:ascii="Arial" w:cs="Arial" w:eastAsia="Arial" w:hAnsi="Arial"/>
          <w:sz w:val="18"/>
          <w:szCs w:val="18"/>
          <w:color w:val="auto"/>
        </w:rPr>
        <w:t xml:space="preserve"> Committee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2018 Proxy Statement </w:t>
      </w:r>
      <w:r>
        <w:rPr>
          <w:rFonts w:ascii="Arial" w:cs="Arial" w:eastAsia="Arial" w:hAnsi="Arial"/>
          <w:sz w:val="18"/>
          <w:szCs w:val="18"/>
          <w:color w:val="325889"/>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Board Refreshment</w:t>
      </w:r>
    </w:p>
    <w:p>
      <w:pPr>
        <w:spacing w:after="0" w:line="2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Led by our Nominating and Corporate Governance Committee, the Board engages in ongoing director succession planning, including a focus on refreshing the Board and its Committees and enhancing the level of diversity. In April 2018, Stephen L. Green, our founder and long-time Chairman of the Board, announced that he will be stepping down as Chairman following his more than 20 years of distinguished service in this role and will transition into the role of Chairman Emeritus. We will appoint Marc Holliday, our Chief Executive Officer, to also serve as the Chairman of the Board upon the effectiveness of Mr. Green’s transition in January 2019. Mr. Green intends to continue serving as Chairman Emeritus and as a director of the Company. We have also rotated Committee chairs, with Lauren Dillard replacing John Alschuler as chair of our Compensation Committee and Craig Hatkoff replacing John Levy as chair of our Nominating and Corporate Governance Committee. Over the longer term, we have added three new independent directors since 2011, including two women – Betsy Atkins, who joined our Board in 2015, and Lauren Dillard, who joined our Board in 2016. For our commitment to board diversity, we were recognized as a 2020 Women on Boards Winning ‘W’ Company for 2017. Together with the addition of Craig Hatkoff in 2011, these additions reduced the average age and tenure of our independent directors by approximately nine years.</w:t>
      </w:r>
    </w:p>
    <w:p>
      <w:pPr>
        <w:spacing w:after="0" w:line="190"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Thanks to the efforts of the Board, we believe that, taken as a whole, the Board has the desired mix of expertise, experience, reputation and diversity necessary for us to continue to deliver superior performance in a highly competitive marketplace, as well as the knowledge, ability and independence to continue to deliver the high standard of governance expected by our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1916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916430"/>
                    </a:xfrm>
                    <a:prstGeom prst="rect">
                      <a:avLst/>
                    </a:prstGeom>
                    <a:noFill/>
                  </pic:spPr>
                </pic:pic>
              </a:graphicData>
            </a:graphic>
          </wp:anchor>
        </w:drawing>
      </w:r>
    </w:p>
    <w:p>
      <w:pPr>
        <w:sectPr>
          <w:pgSz w:w="11900" w:h="16838" w:orient="portrait"/>
          <w:cols w:equalWidth="0" w:num="1">
            <w:col w:w="11380"/>
          </w:cols>
          <w:pgMar w:left="240" w:top="119" w:right="279" w:bottom="1440" w:gutter="0" w:footer="0" w:header="0"/>
        </w:sect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345988"/>
        </w:rPr>
        <w:t>Diversity</w:t>
      </w:r>
    </w:p>
    <w:p>
      <w:pPr>
        <w:spacing w:after="0" w:line="106"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345988"/>
        </w:rPr>
        <w:t>Our Board represents diversity in its broader sense. This means diversity of knowledge, skills and education, as well as diversity of age, gender and outlook</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color w:val="345988"/>
        </w:rPr>
        <w:t>Experience</w:t>
      </w:r>
    </w:p>
    <w:p>
      <w:pPr>
        <w:spacing w:after="0" w:line="106" w:lineRule="exact"/>
        <w:rPr>
          <w:sz w:val="20"/>
          <w:szCs w:val="20"/>
          <w:color w:val="auto"/>
        </w:rPr>
      </w:pPr>
    </w:p>
    <w:p>
      <w:pPr>
        <w:spacing w:after="0" w:line="251" w:lineRule="auto"/>
        <w:rPr>
          <w:sz w:val="20"/>
          <w:szCs w:val="20"/>
          <w:color w:val="auto"/>
        </w:rPr>
      </w:pPr>
      <w:r>
        <w:rPr>
          <w:rFonts w:ascii="Arial" w:cs="Arial" w:eastAsia="Arial" w:hAnsi="Arial"/>
          <w:sz w:val="18"/>
          <w:szCs w:val="18"/>
          <w:color w:val="345988"/>
        </w:rPr>
        <w:t>Our Board members have broad experience serving on public boards in industries relevant to the company</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color w:val="345988"/>
        </w:rPr>
        <w:t>Leadership</w:t>
      </w:r>
    </w:p>
    <w:p>
      <w:pPr>
        <w:spacing w:after="0" w:line="10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345988"/>
        </w:rPr>
        <w:t>Our Board members have strong corporate leadership backgrounds such as being a CEO, CFO or holding other Executive positions</w:t>
      </w:r>
    </w:p>
    <w:p>
      <w:pPr>
        <w:spacing w:after="0" w:line="362" w:lineRule="exact"/>
        <w:rPr>
          <w:sz w:val="20"/>
          <w:szCs w:val="20"/>
          <w:color w:val="auto"/>
        </w:rPr>
      </w:pPr>
    </w:p>
    <w:p>
      <w:pPr>
        <w:sectPr>
          <w:pgSz w:w="11900" w:h="16838" w:orient="portrait"/>
          <w:cols w:equalWidth="0" w:num="3">
            <w:col w:w="3560" w:space="320"/>
            <w:col w:w="3560" w:space="240"/>
            <w:col w:w="3700"/>
          </w:cols>
          <w:pgMar w:left="240" w:top="119"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spacing w:after="0" w:line="270" w:lineRule="auto"/>
        <w:rPr>
          <w:sz w:val="20"/>
          <w:szCs w:val="20"/>
          <w:color w:val="auto"/>
        </w:rPr>
      </w:pPr>
      <w:r>
        <w:rPr>
          <w:rFonts w:ascii="Arial" w:cs="Arial" w:eastAsia="Arial" w:hAnsi="Arial"/>
          <w:sz w:val="18"/>
          <w:szCs w:val="18"/>
          <w:b w:val="1"/>
          <w:bCs w:val="1"/>
          <w:color w:val="345988"/>
        </w:rPr>
        <w:t xml:space="preserve">33% </w:t>
      </w:r>
      <w:r>
        <w:rPr>
          <w:rFonts w:ascii="Arial" w:cs="Arial" w:eastAsia="Arial" w:hAnsi="Arial"/>
          <w:sz w:val="18"/>
          <w:szCs w:val="18"/>
          <w:color w:val="345988"/>
        </w:rPr>
        <w:t>of our independent Board members are</w:t>
      </w:r>
      <w:r>
        <w:rPr>
          <w:rFonts w:ascii="Arial" w:cs="Arial" w:eastAsia="Arial" w:hAnsi="Arial"/>
          <w:sz w:val="18"/>
          <w:szCs w:val="18"/>
          <w:b w:val="1"/>
          <w:bCs w:val="1"/>
          <w:color w:val="345988"/>
        </w:rPr>
        <w:t xml:space="preserve"> </w:t>
      </w:r>
      <w:r>
        <w:rPr>
          <w:rFonts w:ascii="Arial" w:cs="Arial" w:eastAsia="Arial" w:hAnsi="Arial"/>
          <w:sz w:val="18"/>
          <w:szCs w:val="18"/>
          <w:color w:val="345988"/>
        </w:rPr>
        <w:t>women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345988"/>
        </w:rPr>
        <w:t xml:space="preserve">78% </w:t>
      </w:r>
      <w:r>
        <w:rPr>
          <w:rFonts w:ascii="Arial" w:cs="Arial" w:eastAsia="Arial" w:hAnsi="Arial"/>
          <w:sz w:val="18"/>
          <w:szCs w:val="18"/>
          <w:color w:val="345988"/>
        </w:rPr>
        <w:t>of our Board have served on the Boards</w:t>
      </w:r>
      <w:r>
        <w:rPr>
          <w:rFonts w:ascii="Arial" w:cs="Arial" w:eastAsia="Arial" w:hAnsi="Arial"/>
          <w:sz w:val="18"/>
          <w:szCs w:val="18"/>
          <w:b w:val="1"/>
          <w:bCs w:val="1"/>
          <w:color w:val="345988"/>
        </w:rPr>
        <w:t xml:space="preserve"> </w:t>
      </w:r>
      <w:r>
        <w:rPr>
          <w:rFonts w:ascii="Arial" w:cs="Arial" w:eastAsia="Arial" w:hAnsi="Arial"/>
          <w:sz w:val="18"/>
          <w:szCs w:val="18"/>
          <w:color w:val="345988"/>
        </w:rPr>
        <w:t>of other publicly traded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b w:val="1"/>
          <w:bCs w:val="1"/>
          <w:color w:val="345988"/>
        </w:rPr>
        <w:t xml:space="preserve">89% </w:t>
      </w:r>
      <w:r>
        <w:rPr>
          <w:rFonts w:ascii="Arial" w:cs="Arial" w:eastAsia="Arial" w:hAnsi="Arial"/>
          <w:sz w:val="18"/>
          <w:szCs w:val="18"/>
          <w:color w:val="345988"/>
        </w:rPr>
        <w:t>of our Board have served as CEO or in</w:t>
      </w:r>
      <w:r>
        <w:rPr>
          <w:rFonts w:ascii="Arial" w:cs="Arial" w:eastAsia="Arial" w:hAnsi="Arial"/>
          <w:sz w:val="18"/>
          <w:szCs w:val="18"/>
          <w:b w:val="1"/>
          <w:bCs w:val="1"/>
          <w:color w:val="345988"/>
        </w:rPr>
        <w:t xml:space="preserve"> </w:t>
      </w:r>
      <w:r>
        <w:rPr>
          <w:rFonts w:ascii="Arial" w:cs="Arial" w:eastAsia="Arial" w:hAnsi="Arial"/>
          <w:sz w:val="18"/>
          <w:szCs w:val="18"/>
          <w:color w:val="345988"/>
        </w:rPr>
        <w:t>senior leadership positions</w:t>
      </w:r>
    </w:p>
    <w:p>
      <w:pPr>
        <w:spacing w:after="0" w:line="200" w:lineRule="exact"/>
        <w:rPr>
          <w:sz w:val="20"/>
          <w:szCs w:val="20"/>
          <w:color w:val="auto"/>
        </w:rPr>
      </w:pPr>
    </w:p>
    <w:p>
      <w:pPr>
        <w:sectPr>
          <w:pgSz w:w="11900" w:h="16838" w:orient="portrait"/>
          <w:cols w:equalWidth="0" w:num="3">
            <w:col w:w="3580" w:space="300"/>
            <w:col w:w="3520" w:space="280"/>
            <w:col w:w="3700"/>
          </w:cols>
          <w:pgMar w:left="240" w:top="119" w:right="2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Identification of Director Candidates</w:t>
      </w:r>
    </w:p>
    <w:p>
      <w:pPr>
        <w:spacing w:after="0" w:line="21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 Our Nominating and Corporate Governance Committee adopted a written policy on the criteria and process of identifying and reviewing director candidates.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Each director candidate must have:</w:t>
      </w:r>
    </w:p>
    <w:p>
      <w:pPr>
        <w:spacing w:after="0" w:line="211" w:lineRule="exact"/>
        <w:rPr>
          <w:sz w:val="20"/>
          <w:szCs w:val="20"/>
          <w:color w:val="auto"/>
        </w:rPr>
      </w:pPr>
    </w:p>
    <w:p>
      <w:pPr>
        <w:ind w:left="340" w:right="280" w:hanging="332"/>
        <w:spacing w:after="0" w:line="268" w:lineRule="auto"/>
        <w:tabs>
          <w:tab w:leader="none" w:pos="340" w:val="left"/>
        </w:tabs>
        <w:numPr>
          <w:ilvl w:val="0"/>
          <w:numId w:val="48"/>
        </w:numPr>
        <w:rPr>
          <w:rFonts w:ascii="Arial" w:cs="Arial" w:eastAsia="Arial" w:hAnsi="Arial"/>
          <w:sz w:val="18"/>
          <w:szCs w:val="18"/>
          <w:color w:val="345988"/>
        </w:rPr>
      </w:pPr>
      <w:r>
        <w:rPr>
          <w:rFonts w:ascii="Arial" w:cs="Arial" w:eastAsia="Arial" w:hAnsi="Arial"/>
          <w:sz w:val="18"/>
          <w:szCs w:val="18"/>
          <w:color w:val="auto"/>
        </w:rPr>
        <w:t>education and experience that provides knowledge of business, financial, governmental or legal matters that are relevant to the Company’s business or to its status as a publicly owned company;</w:t>
      </w:r>
    </w:p>
    <w:p>
      <w:pPr>
        <w:spacing w:after="0" w:line="184" w:lineRule="exact"/>
        <w:rPr>
          <w:rFonts w:ascii="Arial" w:cs="Arial" w:eastAsia="Arial" w:hAnsi="Arial"/>
          <w:sz w:val="18"/>
          <w:szCs w:val="18"/>
          <w:color w:val="345988"/>
        </w:rPr>
      </w:pPr>
    </w:p>
    <w:p>
      <w:pPr>
        <w:ind w:left="340" w:hanging="332"/>
        <w:spacing w:after="0"/>
        <w:tabs>
          <w:tab w:leader="none" w:pos="340" w:val="left"/>
        </w:tabs>
        <w:numPr>
          <w:ilvl w:val="0"/>
          <w:numId w:val="48"/>
        </w:numPr>
        <w:rPr>
          <w:rFonts w:ascii="Arial" w:cs="Arial" w:eastAsia="Arial" w:hAnsi="Arial"/>
          <w:sz w:val="18"/>
          <w:szCs w:val="18"/>
          <w:color w:val="345988"/>
        </w:rPr>
      </w:pPr>
      <w:r>
        <w:rPr>
          <w:rFonts w:ascii="Arial" w:cs="Arial" w:eastAsia="Arial" w:hAnsi="Arial"/>
          <w:sz w:val="18"/>
          <w:szCs w:val="18"/>
          <w:color w:val="auto"/>
        </w:rPr>
        <w:t>an unblemished reputation for integrity;</w:t>
      </w:r>
    </w:p>
    <w:p>
      <w:pPr>
        <w:spacing w:after="0" w:line="237" w:lineRule="exact"/>
        <w:rPr>
          <w:rFonts w:ascii="Arial" w:cs="Arial" w:eastAsia="Arial" w:hAnsi="Arial"/>
          <w:sz w:val="18"/>
          <w:szCs w:val="18"/>
          <w:color w:val="345988"/>
        </w:rPr>
      </w:pPr>
    </w:p>
    <w:p>
      <w:pPr>
        <w:ind w:left="340" w:hanging="332"/>
        <w:spacing w:after="0"/>
        <w:tabs>
          <w:tab w:leader="none" w:pos="340" w:val="left"/>
        </w:tabs>
        <w:numPr>
          <w:ilvl w:val="0"/>
          <w:numId w:val="48"/>
        </w:numPr>
        <w:rPr>
          <w:rFonts w:ascii="Arial" w:cs="Arial" w:eastAsia="Arial" w:hAnsi="Arial"/>
          <w:sz w:val="18"/>
          <w:szCs w:val="18"/>
          <w:color w:val="345988"/>
        </w:rPr>
      </w:pPr>
      <w:r>
        <w:rPr>
          <w:rFonts w:ascii="Arial" w:cs="Arial" w:eastAsia="Arial" w:hAnsi="Arial"/>
          <w:sz w:val="18"/>
          <w:szCs w:val="18"/>
          <w:color w:val="auto"/>
        </w:rPr>
        <w:t>a reputation for exercising good business judgment; and</w:t>
      </w:r>
    </w:p>
    <w:p>
      <w:pPr>
        <w:spacing w:after="0" w:line="237" w:lineRule="exact"/>
        <w:rPr>
          <w:rFonts w:ascii="Arial" w:cs="Arial" w:eastAsia="Arial" w:hAnsi="Arial"/>
          <w:sz w:val="18"/>
          <w:szCs w:val="18"/>
          <w:color w:val="345988"/>
        </w:rPr>
      </w:pPr>
    </w:p>
    <w:p>
      <w:pPr>
        <w:ind w:left="340" w:right="100" w:hanging="332"/>
        <w:spacing w:after="0" w:line="268" w:lineRule="auto"/>
        <w:tabs>
          <w:tab w:leader="none" w:pos="340" w:val="left"/>
        </w:tabs>
        <w:numPr>
          <w:ilvl w:val="0"/>
          <w:numId w:val="48"/>
        </w:numPr>
        <w:rPr>
          <w:rFonts w:ascii="Arial" w:cs="Arial" w:eastAsia="Arial" w:hAnsi="Arial"/>
          <w:sz w:val="18"/>
          <w:szCs w:val="18"/>
          <w:color w:val="345988"/>
        </w:rPr>
      </w:pPr>
      <w:r>
        <w:rPr>
          <w:rFonts w:ascii="Arial" w:cs="Arial" w:eastAsia="Arial" w:hAnsi="Arial"/>
          <w:sz w:val="18"/>
          <w:szCs w:val="18"/>
          <w:color w:val="auto"/>
        </w:rPr>
        <w:t>sufficient available time to be able to fulfill his or her responsibilities as a member of the Board and of any committees to which he or she may be appointed.</w:t>
      </w:r>
    </w:p>
    <w:p>
      <w:pPr>
        <w:spacing w:after="0" w:line="158"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172"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80"/>
          </w:cols>
          <w:pgMar w:left="240" w:top="119" w:right="2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0" w:type="dxa"/>
            <w:vAlign w:val="bottom"/>
            <w:shd w:val="clear" w:color="auto" w:fill="9CA5B9"/>
          </w:tcPr>
          <w:p>
            <w:pPr>
              <w:spacing w:after="0"/>
              <w:rPr>
                <w:sz w:val="14"/>
                <w:szCs w:val="14"/>
                <w:color w:val="auto"/>
              </w:rPr>
            </w:pPr>
          </w:p>
        </w:tc>
        <w:tc>
          <w:tcPr>
            <w:tcW w:w="2660" w:type="dxa"/>
            <w:vAlign w:val="bottom"/>
            <w:gridSpan w:val="2"/>
            <w:shd w:val="clear" w:color="auto" w:fill="9CA5B9"/>
          </w:tcPr>
          <w:p>
            <w:pPr>
              <w:spacing w:after="0"/>
              <w:rPr>
                <w:sz w:val="20"/>
                <w:szCs w:val="20"/>
                <w:color w:val="auto"/>
              </w:rPr>
            </w:pPr>
            <w:r>
              <w:rPr>
                <w:rFonts w:ascii="Arial" w:cs="Arial" w:eastAsia="Arial" w:hAnsi="Arial"/>
                <w:sz w:val="13"/>
                <w:szCs w:val="13"/>
                <w:b w:val="1"/>
                <w:bCs w:val="1"/>
                <w:color w:val="435F8C"/>
              </w:rPr>
              <w:t>Director Recruitment Process</w:t>
            </w:r>
          </w:p>
        </w:tc>
        <w:tc>
          <w:tcPr>
            <w:tcW w:w="320" w:type="dxa"/>
            <w:vAlign w:val="bottom"/>
            <w:shd w:val="clear" w:color="auto" w:fill="9CA5B9"/>
          </w:tcPr>
          <w:p>
            <w:pPr>
              <w:spacing w:after="0"/>
              <w:rPr>
                <w:sz w:val="14"/>
                <w:szCs w:val="14"/>
                <w:color w:val="auto"/>
              </w:rPr>
            </w:pPr>
          </w:p>
        </w:tc>
        <w:tc>
          <w:tcPr>
            <w:tcW w:w="2380" w:type="dxa"/>
            <w:vAlign w:val="bottom"/>
            <w:shd w:val="clear" w:color="auto" w:fill="9CA5B9"/>
          </w:tcPr>
          <w:p>
            <w:pPr>
              <w:spacing w:after="0"/>
              <w:rPr>
                <w:sz w:val="14"/>
                <w:szCs w:val="14"/>
                <w:color w:val="auto"/>
              </w:rPr>
            </w:pPr>
          </w:p>
        </w:tc>
        <w:tc>
          <w:tcPr>
            <w:tcW w:w="460" w:type="dxa"/>
            <w:vAlign w:val="bottom"/>
            <w:shd w:val="clear" w:color="auto" w:fill="9CA5B9"/>
          </w:tcPr>
          <w:p>
            <w:pPr>
              <w:spacing w:after="0"/>
              <w:rPr>
                <w:sz w:val="14"/>
                <w:szCs w:val="14"/>
                <w:color w:val="auto"/>
              </w:rPr>
            </w:pPr>
          </w:p>
        </w:tc>
        <w:tc>
          <w:tcPr>
            <w:tcW w:w="2400" w:type="dxa"/>
            <w:vAlign w:val="bottom"/>
            <w:shd w:val="clear" w:color="auto" w:fill="9CA5B9"/>
          </w:tcPr>
          <w:p>
            <w:pPr>
              <w:spacing w:after="0"/>
              <w:rPr>
                <w:sz w:val="14"/>
                <w:szCs w:val="14"/>
                <w:color w:val="auto"/>
              </w:rPr>
            </w:pPr>
          </w:p>
        </w:tc>
        <w:tc>
          <w:tcPr>
            <w:tcW w:w="460" w:type="dxa"/>
            <w:vAlign w:val="bottom"/>
            <w:shd w:val="clear" w:color="auto" w:fill="9CA5B9"/>
          </w:tcPr>
          <w:p>
            <w:pPr>
              <w:spacing w:after="0"/>
              <w:rPr>
                <w:sz w:val="14"/>
                <w:szCs w:val="14"/>
                <w:color w:val="auto"/>
              </w:rPr>
            </w:pPr>
          </w:p>
        </w:tc>
        <w:tc>
          <w:tcPr>
            <w:tcW w:w="2640" w:type="dxa"/>
            <w:vAlign w:val="bottom"/>
            <w:shd w:val="clear" w:color="auto" w:fill="9CA5B9"/>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00" w:type="dxa"/>
            <w:vAlign w:val="bottom"/>
            <w:shd w:val="clear" w:color="auto" w:fill="9CA5B9"/>
          </w:tcPr>
          <w:p>
            <w:pPr>
              <w:spacing w:after="0"/>
              <w:rPr>
                <w:sz w:val="23"/>
                <w:szCs w:val="23"/>
                <w:color w:val="auto"/>
              </w:rPr>
            </w:pPr>
          </w:p>
        </w:tc>
        <w:tc>
          <w:tcPr>
            <w:tcW w:w="220" w:type="dxa"/>
            <w:vAlign w:val="bottom"/>
            <w:vMerge w:val="restart"/>
            <w:shd w:val="clear" w:color="auto" w:fill="9CA5B9"/>
          </w:tcPr>
          <w:p>
            <w:pPr>
              <w:spacing w:after="0"/>
              <w:rPr>
                <w:sz w:val="20"/>
                <w:szCs w:val="20"/>
                <w:color w:val="auto"/>
              </w:rPr>
            </w:pPr>
            <w:r>
              <w:rPr>
                <w:rFonts w:ascii="Arial" w:cs="Arial" w:eastAsia="Arial" w:hAnsi="Arial"/>
                <w:sz w:val="36"/>
                <w:szCs w:val="36"/>
                <w:color w:val="FFFFFF"/>
                <w:w w:val="99"/>
              </w:rPr>
              <w:t>1</w:t>
            </w:r>
          </w:p>
        </w:tc>
        <w:tc>
          <w:tcPr>
            <w:tcW w:w="2440" w:type="dxa"/>
            <w:vAlign w:val="bottom"/>
            <w:shd w:val="clear" w:color="auto" w:fill="9CA5B9"/>
          </w:tcPr>
          <w:p>
            <w:pPr>
              <w:ind w:left="140"/>
              <w:spacing w:after="0"/>
              <w:rPr>
                <w:sz w:val="20"/>
                <w:szCs w:val="20"/>
                <w:color w:val="auto"/>
              </w:rPr>
            </w:pPr>
            <w:r>
              <w:rPr>
                <w:rFonts w:ascii="Arial" w:cs="Arial" w:eastAsia="Arial" w:hAnsi="Arial"/>
                <w:sz w:val="18"/>
                <w:szCs w:val="18"/>
                <w:b w:val="1"/>
                <w:bCs w:val="1"/>
                <w:color w:val="FFFFFF"/>
              </w:rPr>
              <w:t>Identify Potential</w:t>
            </w:r>
          </w:p>
        </w:tc>
        <w:tc>
          <w:tcPr>
            <w:tcW w:w="320" w:type="dxa"/>
            <w:vAlign w:val="bottom"/>
            <w:vMerge w:val="restart"/>
            <w:shd w:val="clear" w:color="auto" w:fill="9CA5B9"/>
          </w:tcPr>
          <w:p>
            <w:pPr>
              <w:ind w:left="100"/>
              <w:spacing w:after="0"/>
              <w:rPr>
                <w:sz w:val="20"/>
                <w:szCs w:val="20"/>
                <w:color w:val="auto"/>
              </w:rPr>
            </w:pPr>
            <w:r>
              <w:rPr>
                <w:rFonts w:ascii="Arial" w:cs="Arial" w:eastAsia="Arial" w:hAnsi="Arial"/>
                <w:sz w:val="36"/>
                <w:szCs w:val="36"/>
                <w:color w:val="FFFFFF"/>
                <w:w w:val="99"/>
              </w:rPr>
              <w:t>2</w:t>
            </w:r>
          </w:p>
        </w:tc>
        <w:tc>
          <w:tcPr>
            <w:tcW w:w="2380" w:type="dxa"/>
            <w:vAlign w:val="bottom"/>
            <w:shd w:val="clear" w:color="auto" w:fill="9CA5B9"/>
          </w:tcPr>
          <w:p>
            <w:pPr>
              <w:ind w:left="140"/>
              <w:spacing w:after="0"/>
              <w:rPr>
                <w:sz w:val="20"/>
                <w:szCs w:val="20"/>
                <w:color w:val="auto"/>
              </w:rPr>
            </w:pPr>
            <w:r>
              <w:rPr>
                <w:rFonts w:ascii="Arial" w:cs="Arial" w:eastAsia="Arial" w:hAnsi="Arial"/>
                <w:sz w:val="18"/>
                <w:szCs w:val="18"/>
                <w:b w:val="1"/>
                <w:bCs w:val="1"/>
                <w:color w:val="FFFFFF"/>
              </w:rPr>
              <w:t>In-Depth Committee</w:t>
            </w:r>
          </w:p>
        </w:tc>
        <w:tc>
          <w:tcPr>
            <w:tcW w:w="460" w:type="dxa"/>
            <w:vAlign w:val="bottom"/>
            <w:vMerge w:val="restart"/>
            <w:shd w:val="clear" w:color="auto" w:fill="9CA5B9"/>
          </w:tcPr>
          <w:p>
            <w:pPr>
              <w:ind w:left="240"/>
              <w:spacing w:after="0"/>
              <w:rPr>
                <w:sz w:val="20"/>
                <w:szCs w:val="20"/>
                <w:color w:val="auto"/>
              </w:rPr>
            </w:pPr>
            <w:r>
              <w:rPr>
                <w:rFonts w:ascii="Arial" w:cs="Arial" w:eastAsia="Arial" w:hAnsi="Arial"/>
                <w:sz w:val="36"/>
                <w:szCs w:val="36"/>
                <w:color w:val="FFFFFF"/>
                <w:w w:val="99"/>
              </w:rPr>
              <w:t>3</w:t>
            </w:r>
          </w:p>
        </w:tc>
        <w:tc>
          <w:tcPr>
            <w:tcW w:w="2400" w:type="dxa"/>
            <w:vAlign w:val="bottom"/>
            <w:shd w:val="clear" w:color="auto" w:fill="9CA5B9"/>
          </w:tcPr>
          <w:p>
            <w:pPr>
              <w:ind w:left="120"/>
              <w:spacing w:after="0"/>
              <w:rPr>
                <w:sz w:val="20"/>
                <w:szCs w:val="20"/>
                <w:color w:val="auto"/>
              </w:rPr>
            </w:pPr>
            <w:r>
              <w:rPr>
                <w:rFonts w:ascii="Arial" w:cs="Arial" w:eastAsia="Arial" w:hAnsi="Arial"/>
                <w:sz w:val="18"/>
                <w:szCs w:val="18"/>
                <w:b w:val="1"/>
                <w:bCs w:val="1"/>
                <w:color w:val="FFFFFF"/>
              </w:rPr>
              <w:t>Recommend Candidates</w:t>
            </w:r>
          </w:p>
        </w:tc>
        <w:tc>
          <w:tcPr>
            <w:tcW w:w="460" w:type="dxa"/>
            <w:vAlign w:val="bottom"/>
            <w:vMerge w:val="restart"/>
            <w:shd w:val="clear" w:color="auto" w:fill="9CA5B9"/>
          </w:tcPr>
          <w:p>
            <w:pPr>
              <w:ind w:left="240"/>
              <w:spacing w:after="0"/>
              <w:rPr>
                <w:sz w:val="20"/>
                <w:szCs w:val="20"/>
                <w:color w:val="auto"/>
              </w:rPr>
            </w:pPr>
            <w:r>
              <w:rPr>
                <w:rFonts w:ascii="Arial" w:cs="Arial" w:eastAsia="Arial" w:hAnsi="Arial"/>
                <w:sz w:val="36"/>
                <w:szCs w:val="36"/>
                <w:color w:val="FFFFFF"/>
                <w:w w:val="99"/>
              </w:rPr>
              <w:t>4</w:t>
            </w:r>
          </w:p>
        </w:tc>
        <w:tc>
          <w:tcPr>
            <w:tcW w:w="2640" w:type="dxa"/>
            <w:vAlign w:val="bottom"/>
            <w:shd w:val="clear" w:color="auto" w:fill="9CA5B9"/>
          </w:tcPr>
          <w:p>
            <w:pPr>
              <w:ind w:left="120"/>
              <w:spacing w:after="0"/>
              <w:rPr>
                <w:sz w:val="20"/>
                <w:szCs w:val="20"/>
                <w:color w:val="auto"/>
              </w:rPr>
            </w:pPr>
            <w:r>
              <w:rPr>
                <w:rFonts w:ascii="Arial" w:cs="Arial" w:eastAsia="Arial" w:hAnsi="Arial"/>
                <w:sz w:val="18"/>
                <w:szCs w:val="18"/>
                <w:b w:val="1"/>
                <w:bCs w:val="1"/>
                <w:color w:val="FFFFFF"/>
              </w:rPr>
              <w:t>Review by Full Board</w:t>
            </w:r>
          </w:p>
        </w:tc>
        <w:tc>
          <w:tcPr>
            <w:tcW w:w="0" w:type="dxa"/>
            <w:vAlign w:val="bottom"/>
          </w:tcPr>
          <w:p>
            <w:pPr>
              <w:spacing w:after="0"/>
              <w:rPr>
                <w:sz w:val="1"/>
                <w:szCs w:val="1"/>
                <w:color w:val="auto"/>
              </w:rPr>
            </w:pPr>
          </w:p>
        </w:tc>
      </w:tr>
      <w:tr>
        <w:trPr>
          <w:trHeight w:val="247"/>
        </w:trPr>
        <w:tc>
          <w:tcPr>
            <w:tcW w:w="100" w:type="dxa"/>
            <w:vAlign w:val="bottom"/>
            <w:shd w:val="clear" w:color="auto" w:fill="9CA5B9"/>
          </w:tcPr>
          <w:p>
            <w:pPr>
              <w:spacing w:after="0"/>
              <w:rPr>
                <w:sz w:val="21"/>
                <w:szCs w:val="21"/>
                <w:color w:val="auto"/>
              </w:rPr>
            </w:pPr>
          </w:p>
        </w:tc>
        <w:tc>
          <w:tcPr>
            <w:tcW w:w="220" w:type="dxa"/>
            <w:vAlign w:val="bottom"/>
            <w:vMerge w:val="continue"/>
            <w:shd w:val="clear" w:color="auto" w:fill="9CA5B9"/>
          </w:tcPr>
          <w:p>
            <w:pPr>
              <w:spacing w:after="0"/>
              <w:rPr>
                <w:sz w:val="21"/>
                <w:szCs w:val="21"/>
                <w:color w:val="auto"/>
              </w:rPr>
            </w:pPr>
          </w:p>
        </w:tc>
        <w:tc>
          <w:tcPr>
            <w:tcW w:w="2440" w:type="dxa"/>
            <w:vAlign w:val="bottom"/>
            <w:shd w:val="clear" w:color="auto" w:fill="9CA5B9"/>
          </w:tcPr>
          <w:p>
            <w:pPr>
              <w:ind w:left="140"/>
              <w:spacing w:after="0"/>
              <w:rPr>
                <w:sz w:val="20"/>
                <w:szCs w:val="20"/>
                <w:color w:val="auto"/>
              </w:rPr>
            </w:pPr>
            <w:r>
              <w:rPr>
                <w:rFonts w:ascii="Arial" w:cs="Arial" w:eastAsia="Arial" w:hAnsi="Arial"/>
                <w:sz w:val="18"/>
                <w:szCs w:val="18"/>
                <w:b w:val="1"/>
                <w:bCs w:val="1"/>
                <w:color w:val="FFFFFF"/>
              </w:rPr>
              <w:t>Candidates</w:t>
            </w:r>
          </w:p>
        </w:tc>
        <w:tc>
          <w:tcPr>
            <w:tcW w:w="320" w:type="dxa"/>
            <w:vAlign w:val="bottom"/>
            <w:vMerge w:val="continue"/>
            <w:shd w:val="clear" w:color="auto" w:fill="9CA5B9"/>
          </w:tcPr>
          <w:p>
            <w:pPr>
              <w:spacing w:after="0"/>
              <w:rPr>
                <w:sz w:val="21"/>
                <w:szCs w:val="21"/>
                <w:color w:val="auto"/>
              </w:rPr>
            </w:pPr>
          </w:p>
        </w:tc>
        <w:tc>
          <w:tcPr>
            <w:tcW w:w="2380" w:type="dxa"/>
            <w:vAlign w:val="bottom"/>
            <w:shd w:val="clear" w:color="auto" w:fill="9CA5B9"/>
          </w:tcPr>
          <w:p>
            <w:pPr>
              <w:ind w:left="140"/>
              <w:spacing w:after="0"/>
              <w:rPr>
                <w:sz w:val="20"/>
                <w:szCs w:val="20"/>
                <w:color w:val="auto"/>
              </w:rPr>
            </w:pPr>
            <w:r>
              <w:rPr>
                <w:rFonts w:ascii="Arial" w:cs="Arial" w:eastAsia="Arial" w:hAnsi="Arial"/>
                <w:sz w:val="18"/>
                <w:szCs w:val="18"/>
                <w:b w:val="1"/>
                <w:bCs w:val="1"/>
                <w:color w:val="FFFFFF"/>
              </w:rPr>
              <w:t>Review</w:t>
            </w:r>
          </w:p>
        </w:tc>
        <w:tc>
          <w:tcPr>
            <w:tcW w:w="460" w:type="dxa"/>
            <w:vAlign w:val="bottom"/>
            <w:vMerge w:val="continue"/>
            <w:shd w:val="clear" w:color="auto" w:fill="9CA5B9"/>
          </w:tcPr>
          <w:p>
            <w:pPr>
              <w:spacing w:after="0"/>
              <w:rPr>
                <w:sz w:val="21"/>
                <w:szCs w:val="21"/>
                <w:color w:val="auto"/>
              </w:rPr>
            </w:pPr>
          </w:p>
        </w:tc>
        <w:tc>
          <w:tcPr>
            <w:tcW w:w="2400" w:type="dxa"/>
            <w:vAlign w:val="bottom"/>
            <w:shd w:val="clear" w:color="auto" w:fill="9CA5B9"/>
          </w:tcPr>
          <w:p>
            <w:pPr>
              <w:ind w:left="120"/>
              <w:spacing w:after="0"/>
              <w:rPr>
                <w:sz w:val="20"/>
                <w:szCs w:val="20"/>
                <w:color w:val="auto"/>
              </w:rPr>
            </w:pPr>
            <w:r>
              <w:rPr>
                <w:rFonts w:ascii="Arial" w:cs="Arial" w:eastAsia="Arial" w:hAnsi="Arial"/>
                <w:sz w:val="18"/>
                <w:szCs w:val="18"/>
                <w:b w:val="1"/>
                <w:bCs w:val="1"/>
                <w:color w:val="FFFFFF"/>
              </w:rPr>
              <w:t>to Full Board</w:t>
            </w:r>
          </w:p>
        </w:tc>
        <w:tc>
          <w:tcPr>
            <w:tcW w:w="460" w:type="dxa"/>
            <w:vAlign w:val="bottom"/>
            <w:vMerge w:val="continue"/>
            <w:shd w:val="clear" w:color="auto" w:fill="9CA5B9"/>
          </w:tcPr>
          <w:p>
            <w:pPr>
              <w:spacing w:after="0"/>
              <w:rPr>
                <w:sz w:val="21"/>
                <w:szCs w:val="21"/>
                <w:color w:val="auto"/>
              </w:rPr>
            </w:pPr>
          </w:p>
        </w:tc>
        <w:tc>
          <w:tcPr>
            <w:tcW w:w="2640" w:type="dxa"/>
            <w:vAlign w:val="bottom"/>
            <w:shd w:val="clear" w:color="auto" w:fill="9CA5B9"/>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0" w:type="dxa"/>
            <w:vAlign w:val="bottom"/>
            <w:shd w:val="clear" w:color="auto" w:fill="9CA5B9"/>
          </w:tcPr>
          <w:p>
            <w:pPr>
              <w:spacing w:after="0"/>
              <w:rPr>
                <w:sz w:val="20"/>
                <w:szCs w:val="20"/>
                <w:color w:val="auto"/>
              </w:rPr>
            </w:pPr>
          </w:p>
        </w:tc>
        <w:tc>
          <w:tcPr>
            <w:tcW w:w="2660" w:type="dxa"/>
            <w:vAlign w:val="bottom"/>
            <w:gridSpan w:val="2"/>
            <w:shd w:val="clear" w:color="auto" w:fill="9CA5B9"/>
          </w:tcPr>
          <w:p>
            <w:pPr>
              <w:spacing w:after="0"/>
              <w:rPr>
                <w:sz w:val="20"/>
                <w:szCs w:val="20"/>
                <w:color w:val="auto"/>
              </w:rPr>
            </w:pPr>
            <w:r>
              <w:rPr>
                <w:rFonts w:ascii="Arial" w:cs="Arial" w:eastAsia="Arial" w:hAnsi="Arial"/>
                <w:sz w:val="18"/>
                <w:szCs w:val="18"/>
                <w:color w:val="345988"/>
              </w:rPr>
              <w:t>Identified by:</w:t>
            </w:r>
          </w:p>
        </w:tc>
        <w:tc>
          <w:tcPr>
            <w:tcW w:w="320" w:type="dxa"/>
            <w:vAlign w:val="bottom"/>
            <w:shd w:val="clear" w:color="auto" w:fill="9CA5B9"/>
          </w:tcPr>
          <w:p>
            <w:pPr>
              <w:ind w:left="120"/>
              <w:spacing w:after="0"/>
              <w:rPr>
                <w:sz w:val="20"/>
                <w:szCs w:val="20"/>
                <w:color w:val="auto"/>
              </w:rPr>
            </w:pPr>
            <w:r>
              <w:rPr>
                <w:rFonts w:ascii="Arial" w:cs="Arial" w:eastAsia="Arial" w:hAnsi="Arial"/>
                <w:sz w:val="17"/>
                <w:szCs w:val="17"/>
                <w:color w:val="345988"/>
              </w:rPr>
              <w:t>●</w:t>
            </w:r>
          </w:p>
        </w:tc>
        <w:tc>
          <w:tcPr>
            <w:tcW w:w="2380" w:type="dxa"/>
            <w:vAlign w:val="bottom"/>
            <w:shd w:val="clear" w:color="auto" w:fill="9CA5B9"/>
          </w:tcPr>
          <w:p>
            <w:pPr>
              <w:ind w:left="40"/>
              <w:spacing w:after="0"/>
              <w:rPr>
                <w:sz w:val="20"/>
                <w:szCs w:val="20"/>
                <w:color w:val="auto"/>
              </w:rPr>
            </w:pPr>
            <w:r>
              <w:rPr>
                <w:rFonts w:ascii="Arial" w:cs="Arial" w:eastAsia="Arial" w:hAnsi="Arial"/>
                <w:sz w:val="18"/>
                <w:szCs w:val="18"/>
                <w:color w:val="345988"/>
              </w:rPr>
              <w:t>Consider experience,</w:t>
            </w:r>
          </w:p>
        </w:tc>
        <w:tc>
          <w:tcPr>
            <w:tcW w:w="460" w:type="dxa"/>
            <w:vAlign w:val="bottom"/>
            <w:shd w:val="clear" w:color="auto" w:fill="9CA5B9"/>
          </w:tcPr>
          <w:p>
            <w:pPr>
              <w:ind w:left="240"/>
              <w:spacing w:after="0"/>
              <w:rPr>
                <w:sz w:val="20"/>
                <w:szCs w:val="20"/>
                <w:color w:val="auto"/>
              </w:rPr>
            </w:pPr>
            <w:r>
              <w:rPr>
                <w:rFonts w:ascii="Arial" w:cs="Arial" w:eastAsia="Arial" w:hAnsi="Arial"/>
                <w:sz w:val="17"/>
                <w:szCs w:val="17"/>
                <w:color w:val="345988"/>
              </w:rPr>
              <w:t>●</w:t>
            </w:r>
          </w:p>
        </w:tc>
        <w:tc>
          <w:tcPr>
            <w:tcW w:w="2400" w:type="dxa"/>
            <w:vAlign w:val="bottom"/>
            <w:shd w:val="clear" w:color="auto" w:fill="9CA5B9"/>
          </w:tcPr>
          <w:p>
            <w:pPr>
              <w:ind w:left="20"/>
              <w:spacing w:after="0"/>
              <w:rPr>
                <w:sz w:val="20"/>
                <w:szCs w:val="20"/>
                <w:color w:val="auto"/>
              </w:rPr>
            </w:pPr>
            <w:r>
              <w:rPr>
                <w:rFonts w:ascii="Arial" w:cs="Arial" w:eastAsia="Arial" w:hAnsi="Arial"/>
                <w:sz w:val="18"/>
                <w:szCs w:val="18"/>
                <w:color w:val="345988"/>
              </w:rPr>
              <w:t>NCGC presents potential</w:t>
            </w:r>
          </w:p>
        </w:tc>
        <w:tc>
          <w:tcPr>
            <w:tcW w:w="3100" w:type="dxa"/>
            <w:vAlign w:val="bottom"/>
            <w:gridSpan w:val="2"/>
            <w:shd w:val="clear" w:color="auto" w:fill="9CA5B9"/>
          </w:tcPr>
          <w:p>
            <w:pPr>
              <w:ind w:left="240"/>
              <w:spacing w:after="0"/>
              <w:rPr>
                <w:sz w:val="20"/>
                <w:szCs w:val="20"/>
                <w:color w:val="auto"/>
              </w:rPr>
            </w:pPr>
            <w:r>
              <w:rPr>
                <w:rFonts w:ascii="Arial" w:cs="Arial" w:eastAsia="Arial" w:hAnsi="Arial"/>
                <w:sz w:val="17"/>
                <w:szCs w:val="17"/>
                <w:color w:val="345988"/>
              </w:rPr>
              <w:t>●  The full Board is responsible for</w:t>
            </w:r>
          </w:p>
        </w:tc>
        <w:tc>
          <w:tcPr>
            <w:tcW w:w="0" w:type="dxa"/>
            <w:vAlign w:val="bottom"/>
          </w:tcPr>
          <w:p>
            <w:pPr>
              <w:spacing w:after="0"/>
              <w:rPr>
                <w:sz w:val="1"/>
                <w:szCs w:val="1"/>
                <w:color w:val="auto"/>
              </w:rPr>
            </w:pPr>
          </w:p>
        </w:tc>
      </w:tr>
      <w:tr>
        <w:trPr>
          <w:trHeight w:val="202"/>
        </w:trPr>
        <w:tc>
          <w:tcPr>
            <w:tcW w:w="100" w:type="dxa"/>
            <w:vAlign w:val="bottom"/>
            <w:shd w:val="clear" w:color="auto" w:fill="9CA5B9"/>
          </w:tcPr>
          <w:p>
            <w:pPr>
              <w:spacing w:after="0"/>
              <w:rPr>
                <w:sz w:val="17"/>
                <w:szCs w:val="17"/>
                <w:color w:val="auto"/>
              </w:rPr>
            </w:pPr>
          </w:p>
        </w:tc>
        <w:tc>
          <w:tcPr>
            <w:tcW w:w="220" w:type="dxa"/>
            <w:vAlign w:val="bottom"/>
            <w:shd w:val="clear" w:color="auto" w:fill="9CA5B9"/>
          </w:tcPr>
          <w:p>
            <w:pPr>
              <w:ind w:left="20"/>
              <w:spacing w:after="0"/>
              <w:rPr>
                <w:sz w:val="20"/>
                <w:szCs w:val="20"/>
                <w:color w:val="auto"/>
              </w:rPr>
            </w:pPr>
            <w:r>
              <w:rPr>
                <w:rFonts w:ascii="Arial" w:cs="Arial" w:eastAsia="Arial" w:hAnsi="Arial"/>
                <w:sz w:val="17"/>
                <w:szCs w:val="17"/>
                <w:color w:val="345988"/>
              </w:rPr>
              <w:t>●</w:t>
            </w:r>
          </w:p>
        </w:tc>
        <w:tc>
          <w:tcPr>
            <w:tcW w:w="2440" w:type="dxa"/>
            <w:vAlign w:val="bottom"/>
            <w:shd w:val="clear" w:color="auto" w:fill="9CA5B9"/>
          </w:tcPr>
          <w:p>
            <w:pPr>
              <w:ind w:left="20"/>
              <w:spacing w:after="0" w:line="202" w:lineRule="exact"/>
              <w:rPr>
                <w:sz w:val="20"/>
                <w:szCs w:val="20"/>
                <w:color w:val="auto"/>
              </w:rPr>
            </w:pPr>
            <w:r>
              <w:rPr>
                <w:rFonts w:ascii="Arial" w:cs="Arial" w:eastAsia="Arial" w:hAnsi="Arial"/>
                <w:sz w:val="18"/>
                <w:szCs w:val="18"/>
                <w:color w:val="345988"/>
              </w:rPr>
              <w:t>Independent Directors</w:t>
            </w:r>
          </w:p>
        </w:tc>
        <w:tc>
          <w:tcPr>
            <w:tcW w:w="320" w:type="dxa"/>
            <w:vAlign w:val="bottom"/>
            <w:shd w:val="clear" w:color="auto" w:fill="9CA5B9"/>
          </w:tcPr>
          <w:p>
            <w:pPr>
              <w:spacing w:after="0"/>
              <w:rPr>
                <w:sz w:val="17"/>
                <w:szCs w:val="17"/>
                <w:color w:val="auto"/>
              </w:rPr>
            </w:pPr>
          </w:p>
        </w:tc>
        <w:tc>
          <w:tcPr>
            <w:tcW w:w="2380" w:type="dxa"/>
            <w:vAlign w:val="bottom"/>
            <w:shd w:val="clear" w:color="auto" w:fill="9CA5B9"/>
          </w:tcPr>
          <w:p>
            <w:pPr>
              <w:ind w:left="60"/>
              <w:spacing w:after="0" w:line="202" w:lineRule="exact"/>
              <w:rPr>
                <w:sz w:val="20"/>
                <w:szCs w:val="20"/>
                <w:color w:val="auto"/>
              </w:rPr>
            </w:pPr>
            <w:r>
              <w:rPr>
                <w:rFonts w:ascii="Arial" w:cs="Arial" w:eastAsia="Arial" w:hAnsi="Arial"/>
                <w:sz w:val="18"/>
                <w:szCs w:val="18"/>
                <w:color w:val="345988"/>
              </w:rPr>
              <w:t>qualifications, and diversity</w:t>
            </w:r>
          </w:p>
        </w:tc>
        <w:tc>
          <w:tcPr>
            <w:tcW w:w="460" w:type="dxa"/>
            <w:vAlign w:val="bottom"/>
            <w:shd w:val="clear" w:color="auto" w:fill="9CA5B9"/>
          </w:tcPr>
          <w:p>
            <w:pPr>
              <w:spacing w:after="0"/>
              <w:rPr>
                <w:sz w:val="17"/>
                <w:szCs w:val="17"/>
                <w:color w:val="auto"/>
              </w:rPr>
            </w:pPr>
          </w:p>
        </w:tc>
        <w:tc>
          <w:tcPr>
            <w:tcW w:w="2400" w:type="dxa"/>
            <w:vAlign w:val="bottom"/>
            <w:shd w:val="clear" w:color="auto" w:fill="9CA5B9"/>
          </w:tcPr>
          <w:p>
            <w:pPr>
              <w:ind w:left="40"/>
              <w:spacing w:after="0" w:line="202" w:lineRule="exact"/>
              <w:rPr>
                <w:sz w:val="20"/>
                <w:szCs w:val="20"/>
                <w:color w:val="auto"/>
              </w:rPr>
            </w:pPr>
            <w:r>
              <w:rPr>
                <w:rFonts w:ascii="Arial" w:cs="Arial" w:eastAsia="Arial" w:hAnsi="Arial"/>
                <w:sz w:val="18"/>
                <w:szCs w:val="18"/>
                <w:color w:val="345988"/>
              </w:rPr>
              <w:t>candidates to full Board for</w:t>
            </w:r>
          </w:p>
        </w:tc>
        <w:tc>
          <w:tcPr>
            <w:tcW w:w="460" w:type="dxa"/>
            <w:vAlign w:val="bottom"/>
            <w:shd w:val="clear" w:color="auto" w:fill="9CA5B9"/>
          </w:tcPr>
          <w:p>
            <w:pPr>
              <w:spacing w:after="0"/>
              <w:rPr>
                <w:sz w:val="17"/>
                <w:szCs w:val="17"/>
                <w:color w:val="auto"/>
              </w:rPr>
            </w:pPr>
          </w:p>
        </w:tc>
        <w:tc>
          <w:tcPr>
            <w:tcW w:w="2640" w:type="dxa"/>
            <w:vAlign w:val="bottom"/>
            <w:shd w:val="clear" w:color="auto" w:fill="9CA5B9"/>
          </w:tcPr>
          <w:p>
            <w:pPr>
              <w:ind w:left="40"/>
              <w:spacing w:after="0" w:line="202" w:lineRule="exact"/>
              <w:rPr>
                <w:sz w:val="20"/>
                <w:szCs w:val="20"/>
                <w:color w:val="auto"/>
              </w:rPr>
            </w:pPr>
            <w:r>
              <w:rPr>
                <w:rFonts w:ascii="Arial" w:cs="Arial" w:eastAsia="Arial" w:hAnsi="Arial"/>
                <w:sz w:val="18"/>
                <w:szCs w:val="18"/>
                <w:color w:val="345988"/>
              </w:rPr>
              <w:t>approving potential candidates</w:t>
            </w:r>
          </w:p>
        </w:tc>
        <w:tc>
          <w:tcPr>
            <w:tcW w:w="0" w:type="dxa"/>
            <w:vAlign w:val="bottom"/>
          </w:tcPr>
          <w:p>
            <w:pPr>
              <w:spacing w:after="0"/>
              <w:rPr>
                <w:sz w:val="1"/>
                <w:szCs w:val="1"/>
                <w:color w:val="auto"/>
              </w:rPr>
            </w:pPr>
          </w:p>
        </w:tc>
      </w:tr>
      <w:tr>
        <w:trPr>
          <w:trHeight w:val="202"/>
        </w:trPr>
        <w:tc>
          <w:tcPr>
            <w:tcW w:w="100" w:type="dxa"/>
            <w:vAlign w:val="bottom"/>
            <w:shd w:val="clear" w:color="auto" w:fill="9CA5B9"/>
          </w:tcPr>
          <w:p>
            <w:pPr>
              <w:spacing w:after="0"/>
              <w:rPr>
                <w:sz w:val="17"/>
                <w:szCs w:val="17"/>
                <w:color w:val="auto"/>
              </w:rPr>
            </w:pPr>
          </w:p>
        </w:tc>
        <w:tc>
          <w:tcPr>
            <w:tcW w:w="220" w:type="dxa"/>
            <w:vAlign w:val="bottom"/>
            <w:shd w:val="clear" w:color="auto" w:fill="9CA5B9"/>
          </w:tcPr>
          <w:p>
            <w:pPr>
              <w:ind w:left="20"/>
              <w:spacing w:after="0"/>
              <w:rPr>
                <w:sz w:val="20"/>
                <w:szCs w:val="20"/>
                <w:color w:val="auto"/>
              </w:rPr>
            </w:pPr>
            <w:r>
              <w:rPr>
                <w:rFonts w:ascii="Arial" w:cs="Arial" w:eastAsia="Arial" w:hAnsi="Arial"/>
                <w:sz w:val="17"/>
                <w:szCs w:val="17"/>
                <w:color w:val="345988"/>
              </w:rPr>
              <w:t>●</w:t>
            </w:r>
          </w:p>
        </w:tc>
        <w:tc>
          <w:tcPr>
            <w:tcW w:w="2440" w:type="dxa"/>
            <w:vAlign w:val="bottom"/>
            <w:shd w:val="clear" w:color="auto" w:fill="9CA5B9"/>
          </w:tcPr>
          <w:p>
            <w:pPr>
              <w:ind w:left="20"/>
              <w:spacing w:after="0" w:line="202" w:lineRule="exact"/>
              <w:rPr>
                <w:sz w:val="20"/>
                <w:szCs w:val="20"/>
                <w:color w:val="auto"/>
              </w:rPr>
            </w:pPr>
            <w:r>
              <w:rPr>
                <w:rFonts w:ascii="Arial" w:cs="Arial" w:eastAsia="Arial" w:hAnsi="Arial"/>
                <w:sz w:val="18"/>
                <w:szCs w:val="18"/>
                <w:color w:val="345988"/>
              </w:rPr>
              <w:t>Executive Officers</w:t>
            </w:r>
          </w:p>
        </w:tc>
        <w:tc>
          <w:tcPr>
            <w:tcW w:w="2700" w:type="dxa"/>
            <w:vAlign w:val="bottom"/>
            <w:gridSpan w:val="2"/>
            <w:shd w:val="clear" w:color="auto" w:fill="9CA5B9"/>
          </w:tcPr>
          <w:p>
            <w:pPr>
              <w:ind w:left="120"/>
              <w:spacing w:after="0"/>
              <w:rPr>
                <w:sz w:val="20"/>
                <w:szCs w:val="20"/>
                <w:color w:val="auto"/>
              </w:rPr>
            </w:pPr>
            <w:r>
              <w:rPr>
                <w:rFonts w:ascii="Arial" w:cs="Arial" w:eastAsia="Arial" w:hAnsi="Arial"/>
                <w:sz w:val="17"/>
                <w:szCs w:val="17"/>
                <w:color w:val="345988"/>
              </w:rPr>
              <w:t>●  Meet with candidates and</w:t>
            </w:r>
          </w:p>
        </w:tc>
        <w:tc>
          <w:tcPr>
            <w:tcW w:w="460" w:type="dxa"/>
            <w:vAlign w:val="bottom"/>
            <w:shd w:val="clear" w:color="auto" w:fill="9CA5B9"/>
          </w:tcPr>
          <w:p>
            <w:pPr>
              <w:spacing w:after="0"/>
              <w:rPr>
                <w:sz w:val="17"/>
                <w:szCs w:val="17"/>
                <w:color w:val="auto"/>
              </w:rPr>
            </w:pPr>
          </w:p>
        </w:tc>
        <w:tc>
          <w:tcPr>
            <w:tcW w:w="2400" w:type="dxa"/>
            <w:vAlign w:val="bottom"/>
            <w:shd w:val="clear" w:color="auto" w:fill="9CA5B9"/>
          </w:tcPr>
          <w:p>
            <w:pPr>
              <w:ind w:left="40"/>
              <w:spacing w:after="0" w:line="202" w:lineRule="exact"/>
              <w:rPr>
                <w:sz w:val="20"/>
                <w:szCs w:val="20"/>
                <w:color w:val="auto"/>
              </w:rPr>
            </w:pPr>
            <w:r>
              <w:rPr>
                <w:rFonts w:ascii="Arial" w:cs="Arial" w:eastAsia="Arial" w:hAnsi="Arial"/>
                <w:sz w:val="18"/>
                <w:szCs w:val="18"/>
                <w:color w:val="345988"/>
              </w:rPr>
              <w:t>open discussion</w:t>
            </w:r>
          </w:p>
        </w:tc>
        <w:tc>
          <w:tcPr>
            <w:tcW w:w="460" w:type="dxa"/>
            <w:vAlign w:val="bottom"/>
            <w:shd w:val="clear" w:color="auto" w:fill="9CA5B9"/>
          </w:tcPr>
          <w:p>
            <w:pPr>
              <w:spacing w:after="0"/>
              <w:rPr>
                <w:sz w:val="17"/>
                <w:szCs w:val="17"/>
                <w:color w:val="auto"/>
              </w:rPr>
            </w:pPr>
          </w:p>
        </w:tc>
        <w:tc>
          <w:tcPr>
            <w:tcW w:w="2640" w:type="dxa"/>
            <w:vAlign w:val="bottom"/>
            <w:shd w:val="clear" w:color="auto" w:fill="9CA5B9"/>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 w:type="dxa"/>
            <w:vAlign w:val="bottom"/>
            <w:shd w:val="clear" w:color="auto" w:fill="9CA5B9"/>
          </w:tcPr>
          <w:p>
            <w:pPr>
              <w:spacing w:after="0"/>
              <w:rPr>
                <w:sz w:val="17"/>
                <w:szCs w:val="17"/>
                <w:color w:val="auto"/>
              </w:rPr>
            </w:pPr>
          </w:p>
        </w:tc>
        <w:tc>
          <w:tcPr>
            <w:tcW w:w="2660" w:type="dxa"/>
            <w:vAlign w:val="bottom"/>
            <w:gridSpan w:val="2"/>
            <w:shd w:val="clear" w:color="auto" w:fill="9CA5B9"/>
          </w:tcPr>
          <w:p>
            <w:pPr>
              <w:ind w:left="20"/>
              <w:spacing w:after="0"/>
              <w:rPr>
                <w:sz w:val="20"/>
                <w:szCs w:val="20"/>
                <w:color w:val="auto"/>
              </w:rPr>
            </w:pPr>
            <w:r>
              <w:rPr>
                <w:rFonts w:ascii="Arial" w:cs="Arial" w:eastAsia="Arial" w:hAnsi="Arial"/>
                <w:sz w:val="17"/>
                <w:szCs w:val="17"/>
                <w:color w:val="345988"/>
              </w:rPr>
              <w:t>●  Third Party Search Firms</w:t>
            </w:r>
          </w:p>
        </w:tc>
        <w:tc>
          <w:tcPr>
            <w:tcW w:w="320" w:type="dxa"/>
            <w:vAlign w:val="bottom"/>
            <w:shd w:val="clear" w:color="auto" w:fill="9CA5B9"/>
          </w:tcPr>
          <w:p>
            <w:pPr>
              <w:spacing w:after="0"/>
              <w:rPr>
                <w:sz w:val="17"/>
                <w:szCs w:val="17"/>
                <w:color w:val="auto"/>
              </w:rPr>
            </w:pPr>
          </w:p>
        </w:tc>
        <w:tc>
          <w:tcPr>
            <w:tcW w:w="2380" w:type="dxa"/>
            <w:vAlign w:val="bottom"/>
            <w:shd w:val="clear" w:color="auto" w:fill="9CA5B9"/>
          </w:tcPr>
          <w:p>
            <w:pPr>
              <w:ind w:left="60"/>
              <w:spacing w:after="0" w:line="202" w:lineRule="exact"/>
              <w:rPr>
                <w:sz w:val="20"/>
                <w:szCs w:val="20"/>
                <w:color w:val="auto"/>
              </w:rPr>
            </w:pPr>
            <w:r>
              <w:rPr>
                <w:rFonts w:ascii="Arial" w:cs="Arial" w:eastAsia="Arial" w:hAnsi="Arial"/>
                <w:sz w:val="18"/>
                <w:szCs w:val="18"/>
                <w:color w:val="345988"/>
              </w:rPr>
              <w:t>conduct interviews</w:t>
            </w:r>
          </w:p>
        </w:tc>
        <w:tc>
          <w:tcPr>
            <w:tcW w:w="460" w:type="dxa"/>
            <w:vAlign w:val="bottom"/>
            <w:shd w:val="clear" w:color="auto" w:fill="9CA5B9"/>
          </w:tcPr>
          <w:p>
            <w:pPr>
              <w:spacing w:after="0"/>
              <w:rPr>
                <w:sz w:val="17"/>
                <w:szCs w:val="17"/>
                <w:color w:val="auto"/>
              </w:rPr>
            </w:pPr>
          </w:p>
        </w:tc>
        <w:tc>
          <w:tcPr>
            <w:tcW w:w="2400" w:type="dxa"/>
            <w:vAlign w:val="bottom"/>
            <w:shd w:val="clear" w:color="auto" w:fill="9CA5B9"/>
          </w:tcPr>
          <w:p>
            <w:pPr>
              <w:spacing w:after="0"/>
              <w:rPr>
                <w:sz w:val="17"/>
                <w:szCs w:val="17"/>
                <w:color w:val="auto"/>
              </w:rPr>
            </w:pPr>
          </w:p>
        </w:tc>
        <w:tc>
          <w:tcPr>
            <w:tcW w:w="460" w:type="dxa"/>
            <w:vAlign w:val="bottom"/>
            <w:shd w:val="clear" w:color="auto" w:fill="9CA5B9"/>
          </w:tcPr>
          <w:p>
            <w:pPr>
              <w:spacing w:after="0"/>
              <w:rPr>
                <w:sz w:val="17"/>
                <w:szCs w:val="17"/>
                <w:color w:val="auto"/>
              </w:rPr>
            </w:pPr>
          </w:p>
        </w:tc>
        <w:tc>
          <w:tcPr>
            <w:tcW w:w="2640" w:type="dxa"/>
            <w:vAlign w:val="bottom"/>
            <w:shd w:val="clear" w:color="auto" w:fill="9CA5B9"/>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 w:type="dxa"/>
            <w:vAlign w:val="bottom"/>
            <w:shd w:val="clear" w:color="auto" w:fill="9CA5B9"/>
          </w:tcPr>
          <w:p>
            <w:pPr>
              <w:spacing w:after="0"/>
              <w:rPr>
                <w:sz w:val="17"/>
                <w:szCs w:val="17"/>
                <w:color w:val="auto"/>
              </w:rPr>
            </w:pPr>
          </w:p>
        </w:tc>
        <w:tc>
          <w:tcPr>
            <w:tcW w:w="220" w:type="dxa"/>
            <w:vAlign w:val="bottom"/>
            <w:shd w:val="clear" w:color="auto" w:fill="9CA5B9"/>
          </w:tcPr>
          <w:p>
            <w:pPr>
              <w:ind w:left="20"/>
              <w:spacing w:after="0"/>
              <w:rPr>
                <w:sz w:val="20"/>
                <w:szCs w:val="20"/>
                <w:color w:val="auto"/>
              </w:rPr>
            </w:pPr>
            <w:r>
              <w:rPr>
                <w:rFonts w:ascii="Arial" w:cs="Arial" w:eastAsia="Arial" w:hAnsi="Arial"/>
                <w:sz w:val="17"/>
                <w:szCs w:val="17"/>
                <w:color w:val="345988"/>
              </w:rPr>
              <w:t>●</w:t>
            </w:r>
          </w:p>
        </w:tc>
        <w:tc>
          <w:tcPr>
            <w:tcW w:w="2440" w:type="dxa"/>
            <w:vAlign w:val="bottom"/>
            <w:shd w:val="clear" w:color="auto" w:fill="9CA5B9"/>
          </w:tcPr>
          <w:p>
            <w:pPr>
              <w:ind w:left="20"/>
              <w:spacing w:after="0" w:line="202" w:lineRule="exact"/>
              <w:rPr>
                <w:sz w:val="20"/>
                <w:szCs w:val="20"/>
                <w:color w:val="auto"/>
              </w:rPr>
            </w:pPr>
            <w:r>
              <w:rPr>
                <w:rFonts w:ascii="Arial" w:cs="Arial" w:eastAsia="Arial" w:hAnsi="Arial"/>
                <w:sz w:val="18"/>
                <w:szCs w:val="18"/>
                <w:color w:val="345988"/>
              </w:rPr>
              <w:t>Shareholders</w:t>
            </w:r>
          </w:p>
        </w:tc>
        <w:tc>
          <w:tcPr>
            <w:tcW w:w="320" w:type="dxa"/>
            <w:vAlign w:val="bottom"/>
            <w:shd w:val="clear" w:color="auto" w:fill="9CA5B9"/>
          </w:tcPr>
          <w:p>
            <w:pPr>
              <w:ind w:left="120"/>
              <w:spacing w:after="0"/>
              <w:rPr>
                <w:sz w:val="20"/>
                <w:szCs w:val="20"/>
                <w:color w:val="auto"/>
              </w:rPr>
            </w:pPr>
            <w:r>
              <w:rPr>
                <w:rFonts w:ascii="Arial" w:cs="Arial" w:eastAsia="Arial" w:hAnsi="Arial"/>
                <w:sz w:val="17"/>
                <w:szCs w:val="17"/>
                <w:color w:val="345988"/>
              </w:rPr>
              <w:t>●</w:t>
            </w:r>
          </w:p>
        </w:tc>
        <w:tc>
          <w:tcPr>
            <w:tcW w:w="2380" w:type="dxa"/>
            <w:vAlign w:val="bottom"/>
            <w:shd w:val="clear" w:color="auto" w:fill="9CA5B9"/>
          </w:tcPr>
          <w:p>
            <w:pPr>
              <w:ind w:left="40"/>
              <w:spacing w:after="0" w:line="202" w:lineRule="exact"/>
              <w:rPr>
                <w:sz w:val="20"/>
                <w:szCs w:val="20"/>
                <w:color w:val="auto"/>
              </w:rPr>
            </w:pPr>
            <w:r>
              <w:rPr>
                <w:rFonts w:ascii="Arial" w:cs="Arial" w:eastAsia="Arial" w:hAnsi="Arial"/>
                <w:sz w:val="18"/>
                <w:szCs w:val="18"/>
                <w:color w:val="345988"/>
              </w:rPr>
              <w:t>Review independence and</w:t>
            </w:r>
          </w:p>
        </w:tc>
        <w:tc>
          <w:tcPr>
            <w:tcW w:w="460" w:type="dxa"/>
            <w:vAlign w:val="bottom"/>
            <w:shd w:val="clear" w:color="auto" w:fill="9CA5B9"/>
          </w:tcPr>
          <w:p>
            <w:pPr>
              <w:spacing w:after="0"/>
              <w:rPr>
                <w:sz w:val="17"/>
                <w:szCs w:val="17"/>
                <w:color w:val="auto"/>
              </w:rPr>
            </w:pPr>
          </w:p>
        </w:tc>
        <w:tc>
          <w:tcPr>
            <w:tcW w:w="2400" w:type="dxa"/>
            <w:vAlign w:val="bottom"/>
            <w:shd w:val="clear" w:color="auto" w:fill="9CA5B9"/>
          </w:tcPr>
          <w:p>
            <w:pPr>
              <w:spacing w:after="0"/>
              <w:rPr>
                <w:sz w:val="17"/>
                <w:szCs w:val="17"/>
                <w:color w:val="auto"/>
              </w:rPr>
            </w:pPr>
          </w:p>
        </w:tc>
        <w:tc>
          <w:tcPr>
            <w:tcW w:w="460" w:type="dxa"/>
            <w:vAlign w:val="bottom"/>
            <w:shd w:val="clear" w:color="auto" w:fill="9CA5B9"/>
          </w:tcPr>
          <w:p>
            <w:pPr>
              <w:spacing w:after="0"/>
              <w:rPr>
                <w:sz w:val="17"/>
                <w:szCs w:val="17"/>
                <w:color w:val="auto"/>
              </w:rPr>
            </w:pPr>
          </w:p>
        </w:tc>
        <w:tc>
          <w:tcPr>
            <w:tcW w:w="2640" w:type="dxa"/>
            <w:vAlign w:val="bottom"/>
            <w:shd w:val="clear" w:color="auto" w:fill="9CA5B9"/>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00" w:type="dxa"/>
            <w:vAlign w:val="bottom"/>
            <w:shd w:val="clear" w:color="auto" w:fill="9CA5B9"/>
          </w:tcPr>
          <w:p>
            <w:pPr>
              <w:spacing w:after="0"/>
              <w:rPr>
                <w:sz w:val="21"/>
                <w:szCs w:val="21"/>
                <w:color w:val="auto"/>
              </w:rPr>
            </w:pPr>
          </w:p>
        </w:tc>
        <w:tc>
          <w:tcPr>
            <w:tcW w:w="220" w:type="dxa"/>
            <w:vAlign w:val="bottom"/>
            <w:shd w:val="clear" w:color="auto" w:fill="9CA5B9"/>
          </w:tcPr>
          <w:p>
            <w:pPr>
              <w:spacing w:after="0"/>
              <w:rPr>
                <w:sz w:val="21"/>
                <w:szCs w:val="21"/>
                <w:color w:val="auto"/>
              </w:rPr>
            </w:pPr>
          </w:p>
        </w:tc>
        <w:tc>
          <w:tcPr>
            <w:tcW w:w="2440" w:type="dxa"/>
            <w:vAlign w:val="bottom"/>
            <w:shd w:val="clear" w:color="auto" w:fill="9CA5B9"/>
          </w:tcPr>
          <w:p>
            <w:pPr>
              <w:spacing w:after="0"/>
              <w:rPr>
                <w:sz w:val="21"/>
                <w:szCs w:val="21"/>
                <w:color w:val="auto"/>
              </w:rPr>
            </w:pPr>
          </w:p>
        </w:tc>
        <w:tc>
          <w:tcPr>
            <w:tcW w:w="320" w:type="dxa"/>
            <w:vAlign w:val="bottom"/>
            <w:shd w:val="clear" w:color="auto" w:fill="9CA5B9"/>
          </w:tcPr>
          <w:p>
            <w:pPr>
              <w:spacing w:after="0"/>
              <w:rPr>
                <w:sz w:val="21"/>
                <w:szCs w:val="21"/>
                <w:color w:val="auto"/>
              </w:rPr>
            </w:pPr>
          </w:p>
        </w:tc>
        <w:tc>
          <w:tcPr>
            <w:tcW w:w="2380" w:type="dxa"/>
            <w:vAlign w:val="bottom"/>
            <w:shd w:val="clear" w:color="auto" w:fill="9CA5B9"/>
          </w:tcPr>
          <w:p>
            <w:pPr>
              <w:ind w:left="60"/>
              <w:spacing w:after="0"/>
              <w:rPr>
                <w:sz w:val="20"/>
                <w:szCs w:val="20"/>
                <w:color w:val="auto"/>
              </w:rPr>
            </w:pPr>
            <w:r>
              <w:rPr>
                <w:rFonts w:ascii="Arial" w:cs="Arial" w:eastAsia="Arial" w:hAnsi="Arial"/>
                <w:sz w:val="18"/>
                <w:szCs w:val="18"/>
                <w:color w:val="345988"/>
              </w:rPr>
              <w:t>potential conflicts</w:t>
            </w:r>
          </w:p>
        </w:tc>
        <w:tc>
          <w:tcPr>
            <w:tcW w:w="460" w:type="dxa"/>
            <w:vAlign w:val="bottom"/>
            <w:shd w:val="clear" w:color="auto" w:fill="9CA5B9"/>
          </w:tcPr>
          <w:p>
            <w:pPr>
              <w:spacing w:after="0"/>
              <w:rPr>
                <w:sz w:val="21"/>
                <w:szCs w:val="21"/>
                <w:color w:val="auto"/>
              </w:rPr>
            </w:pPr>
          </w:p>
        </w:tc>
        <w:tc>
          <w:tcPr>
            <w:tcW w:w="2400" w:type="dxa"/>
            <w:vAlign w:val="bottom"/>
            <w:shd w:val="clear" w:color="auto" w:fill="9CA5B9"/>
          </w:tcPr>
          <w:p>
            <w:pPr>
              <w:spacing w:after="0"/>
              <w:rPr>
                <w:sz w:val="21"/>
                <w:szCs w:val="21"/>
                <w:color w:val="auto"/>
              </w:rPr>
            </w:pPr>
          </w:p>
        </w:tc>
        <w:tc>
          <w:tcPr>
            <w:tcW w:w="460" w:type="dxa"/>
            <w:vAlign w:val="bottom"/>
            <w:shd w:val="clear" w:color="auto" w:fill="9CA5B9"/>
          </w:tcPr>
          <w:p>
            <w:pPr>
              <w:spacing w:after="0"/>
              <w:rPr>
                <w:sz w:val="21"/>
                <w:szCs w:val="21"/>
                <w:color w:val="auto"/>
              </w:rPr>
            </w:pPr>
          </w:p>
        </w:tc>
        <w:tc>
          <w:tcPr>
            <w:tcW w:w="2640" w:type="dxa"/>
            <w:vAlign w:val="bottom"/>
            <w:shd w:val="clear" w:color="auto" w:fill="9CA5B9"/>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2760" w:type="dxa"/>
            <w:vAlign w:val="bottom"/>
            <w:gridSpan w:val="3"/>
          </w:tcPr>
          <w:p>
            <w:pPr>
              <w:spacing w:after="0"/>
              <w:rPr>
                <w:sz w:val="20"/>
                <w:szCs w:val="20"/>
                <w:color w:val="auto"/>
              </w:rPr>
            </w:pPr>
            <w:r>
              <w:rPr>
                <w:rFonts w:ascii="Arial" w:cs="Arial" w:eastAsia="Arial" w:hAnsi="Arial"/>
                <w:sz w:val="13"/>
                <w:szCs w:val="13"/>
                <w:b w:val="1"/>
                <w:bCs w:val="1"/>
                <w:color w:val="435F8C"/>
              </w:rPr>
              <w:t>NCGC Director Recruitment Process</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-1374140</wp:posOffset>
            </wp:positionV>
            <wp:extent cx="71183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8350" cy="17145"/>
                    </a:xfrm>
                    <a:prstGeom prst="rect">
                      <a:avLst/>
                    </a:prstGeom>
                    <a:noFill/>
                  </pic:spPr>
                </pic:pic>
              </a:graphicData>
            </a:graphic>
          </wp:anchor>
        </w:drawing>
      </w:r>
    </w:p>
    <w:p>
      <w:pPr>
        <w:spacing w:after="0" w:line="15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In making recommendations to the Board, our Nominating and Corporate Governance Committee considers such factors as it deems appropriate, such as judgment, skill and diversity (including diversity of knowledge, skills, professional experience, education, expertise and representation in industries relevant to the Company), in light of the skills, qualifications and diversity of the other members of the Board. The factors considered may also include:</w:t>
      </w:r>
    </w:p>
    <w:p>
      <w:pPr>
        <w:spacing w:after="0" w:line="175" w:lineRule="exact"/>
        <w:rPr>
          <w:sz w:val="20"/>
          <w:szCs w:val="20"/>
          <w:color w:val="auto"/>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ability to bring new perspectives and add to Board discussion and consideration</w:t>
      </w:r>
    </w:p>
    <w:p>
      <w:pPr>
        <w:spacing w:after="0" w:line="102" w:lineRule="exact"/>
        <w:rPr>
          <w:rFonts w:ascii="Arial" w:cs="Arial" w:eastAsia="Arial" w:hAnsi="Arial"/>
          <w:sz w:val="17"/>
          <w:szCs w:val="17"/>
          <w:color w:val="345988"/>
        </w:rPr>
      </w:pPr>
    </w:p>
    <w:p>
      <w:pPr>
        <w:ind w:left="540" w:right="380" w:hanging="263"/>
        <w:spacing w:after="0" w:line="275" w:lineRule="auto"/>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experience with businesses and other organizations comparable to the Company (including experience managing public companies, marketing experience or experience determining compensation of officers of public companies)</w:t>
      </w:r>
    </w:p>
    <w:p>
      <w:pPr>
        <w:spacing w:after="0" w:line="37"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the interplay of the candidate’s experience with the experience of other Board members</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the candidate’s industry knowledge and experience,</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the ability of a nominee to devote sufficient time to the affairs of the Company</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any actual or potential conflicts of interest and whether the candidate meets the NYSE independence criteria</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the extent to which the candidate generally would be a desirable addition to the Board and any committees of the Board</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qualifications to serve on appropriate Board committees (including financial acumen)</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technological literacy</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strategic insight</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familiarity with desired markets or regions</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ability to make independent and analytical judgments</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ability to introduce the Company to business or other opportunities</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reputation in the corporate governance community</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risk management skills</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50"/>
        </w:numPr>
        <w:rPr>
          <w:rFonts w:ascii="Arial" w:cs="Arial" w:eastAsia="Arial" w:hAnsi="Arial"/>
          <w:sz w:val="17"/>
          <w:szCs w:val="17"/>
          <w:color w:val="345988"/>
        </w:rPr>
      </w:pPr>
      <w:r>
        <w:rPr>
          <w:rFonts w:ascii="Arial" w:cs="Arial" w:eastAsia="Arial" w:hAnsi="Arial"/>
          <w:sz w:val="18"/>
          <w:szCs w:val="18"/>
          <w:color w:val="auto"/>
        </w:rPr>
        <w:t>effective communication skills</w:t>
      </w:r>
    </w:p>
    <w:p>
      <w:pPr>
        <w:spacing w:after="0" w:line="21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Prior to a vote as to whether a potential nominee is recommended to the Board of Directors, each member of the Nominating and Corporate Governance Committee is provided access to such potential nominee. Such access includes an opportunity to interview such potential nominee in person or by telephone and to submit questions to such potential candidate. In addition, each potential nominee provides the Nominating and Corporate Governance Committee with a written detailed biography and other requested information.</w:t>
      </w:r>
    </w:p>
    <w:p>
      <w:pPr>
        <w:spacing w:after="0" w:line="17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Nominating and Corporate Governance Committee solicits and considers suggestions of our directors or management regarding possible nominees. Our Nominating and Corporate Governance Committee also may procure the services of outside sources or third parties to assist in the identification of director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Role of Third Party Advisors in Director Recruitment Process</w:t>
      </w:r>
    </w:p>
    <w:p>
      <w:pPr>
        <w:spacing w:after="0" w:line="21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connection with the identification and review of director candidates and related matters, FTI Consulting, Inc., or FTI Consulting, provides services to us that include actively working with the Chairman of the Board, the Lead Independent Director and our Chief Executive Officer in reviewing governance issues, specific board member roles and responsibilities and committee assignments. FTI Consulting also assists us in the initial search, screening, interviewing and vetting of potential new directors and worked closely with our Nominating and Corporate Governance Committee in connection with the recent additions of Craig Hatkoff in 2011, Betsy Atkins in 2015 and Lauren Dillard in 2016 (who was initially recommended for consideration by our Chief Executive Officer and has been nominated for re-election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Stockholder Recommendations of Director Candidates</w:t>
      </w:r>
    </w:p>
    <w:p>
      <w:pPr>
        <w:spacing w:after="0" w:line="21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all other candidates. Any recommendations by stockholders are to follow the procedures outlined under “Other Information—Other Matters— Stockholder Proposals and Nominations” in this proxy statement and should provide the reasons supporting a candidate’s recommendation, the candidate’s qualifications and the candidate’s written consent to being considered as a director nominee.</w:t>
      </w:r>
    </w:p>
    <w:p>
      <w:pPr>
        <w:spacing w:after="0" w:line="183"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053"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Structure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Board Structure</w:t>
      </w:r>
    </w:p>
    <w:p>
      <w:pPr>
        <w:spacing w:after="0" w:line="214"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The Board currently consists of nine members. At the annual meeting of stockholders in 2017, stockholders approved a proposal to declassify our board. Accordingly, our board classes are being phased out, and directors elected at the annual meeting of stockholders in 2018 will serve for one-year terms and until their successors are duly elected and qualify. Our Board of Directors will be fully declassified by our 2020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Board Leadership Structure; Lead Independent Director</w:t>
      </w:r>
    </w:p>
    <w:p>
      <w:pPr>
        <w:spacing w:after="0" w:line="21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As noted above, the Board currently is comprised of six independent and three employee directors. Mr. Green has served as Chairman of the Board since 1997 and serves as an executive officer. The Board has appointed Mr. Alschuler, one of the independent directors, as Lead Independent Director to facilitate the role of the independent directors. We believe that the number of independent, experienced directors that make up the Board, along with the independent oversight of our Lead Independent Director, benefits the Company and its stockholders.</w:t>
      </w:r>
    </w:p>
    <w:p>
      <w:pPr>
        <w:spacing w:after="0" w:line="17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recognize that different board leadership structures may be appropriate for companies in different situations, and that no one structure is suitable for all companies. Our current Board leadership structure has been effective for us for many years, as it has demonstrated to our employees and other stakeholders that the Company is under strong leadership, coordinated closely between a separate Chief Executive Officer and Chairman. In April 2018, Mr. Green announced he will be stepping down as Chairman of the Board and transitioning into the role of Chairman Emeritus, and we will appoint Mr. Holliday to succeed Mr. Green as Chairman in January 2019 in addition to serving as our Chief Executive Officer. The Board believes that the Company and our stockholders will be well served by having Mr. Holliday serve as Chairman and Chief Executive Officer. With over 14 years of experience leading the Company, Mr. Holliday is uniquely qualified to serve as our Chairman and Chief Executive Officer. In addition, the Board believes that Mr. Holliday’s combined role as Chairman and Chief Executive Officer will continue to promote unified leadership and direction for the Board and executive management.</w:t>
      </w:r>
    </w:p>
    <w:p>
      <w:pPr>
        <w:spacing w:after="0" w:line="187" w:lineRule="exact"/>
        <w:rPr>
          <w:sz w:val="20"/>
          <w:szCs w:val="20"/>
          <w:color w:val="auto"/>
        </w:rPr>
      </w:pPr>
    </w:p>
    <w:p>
      <w:pPr>
        <w:ind w:left="300" w:hanging="292"/>
        <w:spacing w:after="0"/>
        <w:tabs>
          <w:tab w:leader="none" w:pos="300" w:val="left"/>
        </w:tabs>
        <w:numPr>
          <w:ilvl w:val="0"/>
          <w:numId w:val="51"/>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1065" cy="45561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065" cy="4556125"/>
                    </a:xfrm>
                    <a:prstGeom prst="rect">
                      <a:avLst/>
                    </a:prstGeom>
                    <a:noFill/>
                  </pic:spPr>
                </pic:pic>
              </a:graphicData>
            </a:graphic>
          </wp:anchor>
        </w:drawing>
      </w:r>
    </w:p>
    <w:p>
      <w:pPr>
        <w:spacing w:after="0" w:line="3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435F8C"/>
        </w:rPr>
        <w:t>Role of the Lead Independent Director</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addition to presiding at executive sessions of independent directors, the Lead Independent Director has the responsibility to:</w:t>
      </w:r>
    </w:p>
    <w:p>
      <w:pPr>
        <w:spacing w:after="0" w:line="211" w:lineRule="exact"/>
        <w:rPr>
          <w:sz w:val="20"/>
          <w:szCs w:val="20"/>
          <w:color w:val="auto"/>
        </w:rPr>
      </w:pPr>
    </w:p>
    <w:p>
      <w:pPr>
        <w:ind w:left="500" w:right="580" w:hanging="331"/>
        <w:spacing w:after="0" w:line="268" w:lineRule="auto"/>
        <w:tabs>
          <w:tab w:leader="none" w:pos="500" w:val="left"/>
        </w:tabs>
        <w:numPr>
          <w:ilvl w:val="0"/>
          <w:numId w:val="52"/>
        </w:numPr>
        <w:rPr>
          <w:rFonts w:ascii="Arial" w:cs="Arial" w:eastAsia="Arial" w:hAnsi="Arial"/>
          <w:sz w:val="18"/>
          <w:szCs w:val="18"/>
          <w:color w:val="345988"/>
        </w:rPr>
      </w:pPr>
      <w:r>
        <w:rPr>
          <w:rFonts w:ascii="Arial" w:cs="Arial" w:eastAsia="Arial" w:hAnsi="Arial"/>
          <w:sz w:val="18"/>
          <w:szCs w:val="18"/>
          <w:color w:val="auto"/>
        </w:rPr>
        <w:t>consult with the Chief Executive Officer as to an appropriate schedule and agenda for each Board meeting, seeking to ensure that the independent directors can perform their duties effectively and responsibly;</w:t>
      </w:r>
    </w:p>
    <w:p>
      <w:pPr>
        <w:spacing w:after="0" w:line="184" w:lineRule="exact"/>
        <w:rPr>
          <w:rFonts w:ascii="Arial" w:cs="Arial" w:eastAsia="Arial" w:hAnsi="Arial"/>
          <w:sz w:val="18"/>
          <w:szCs w:val="18"/>
          <w:color w:val="345988"/>
        </w:rPr>
      </w:pPr>
    </w:p>
    <w:p>
      <w:pPr>
        <w:ind w:left="500" w:right="380" w:hanging="331"/>
        <w:spacing w:after="0" w:line="268" w:lineRule="auto"/>
        <w:tabs>
          <w:tab w:leader="none" w:pos="500" w:val="left"/>
        </w:tabs>
        <w:numPr>
          <w:ilvl w:val="0"/>
          <w:numId w:val="52"/>
        </w:numPr>
        <w:rPr>
          <w:rFonts w:ascii="Arial" w:cs="Arial" w:eastAsia="Arial" w:hAnsi="Arial"/>
          <w:sz w:val="18"/>
          <w:szCs w:val="18"/>
          <w:color w:val="345988"/>
        </w:rPr>
      </w:pPr>
      <w:r>
        <w:rPr>
          <w:rFonts w:ascii="Arial" w:cs="Arial" w:eastAsia="Arial" w:hAnsi="Arial"/>
          <w:sz w:val="18"/>
          <w:szCs w:val="18"/>
          <w:color w:val="auto"/>
        </w:rPr>
        <w:t>ensure that the independent directors have adequate resources, especially by way of full, timely and relevant information to support their decision making;</w:t>
      </w:r>
    </w:p>
    <w:p>
      <w:pPr>
        <w:spacing w:after="0" w:line="184" w:lineRule="exact"/>
        <w:rPr>
          <w:rFonts w:ascii="Arial" w:cs="Arial" w:eastAsia="Arial" w:hAnsi="Arial"/>
          <w:sz w:val="18"/>
          <w:szCs w:val="18"/>
          <w:color w:val="345988"/>
        </w:rPr>
      </w:pPr>
    </w:p>
    <w:p>
      <w:pPr>
        <w:ind w:left="500" w:right="440" w:hanging="331"/>
        <w:spacing w:after="0" w:line="268" w:lineRule="auto"/>
        <w:tabs>
          <w:tab w:leader="none" w:pos="500" w:val="left"/>
        </w:tabs>
        <w:numPr>
          <w:ilvl w:val="0"/>
          <w:numId w:val="52"/>
        </w:numPr>
        <w:rPr>
          <w:rFonts w:ascii="Arial" w:cs="Arial" w:eastAsia="Arial" w:hAnsi="Arial"/>
          <w:sz w:val="18"/>
          <w:szCs w:val="18"/>
          <w:color w:val="345988"/>
        </w:rPr>
      </w:pPr>
      <w:r>
        <w:rPr>
          <w:rFonts w:ascii="Arial" w:cs="Arial" w:eastAsia="Arial" w:hAnsi="Arial"/>
          <w:sz w:val="18"/>
          <w:szCs w:val="18"/>
          <w:color w:val="auto"/>
        </w:rPr>
        <w:t>advise the Chief Executive Officer as to the quality, quantity and timeliness of the information submitted by the Company’s management that is necessary or appropriate for the independent directors to effectively and responsibly perform their duties;</w:t>
      </w:r>
    </w:p>
    <w:p>
      <w:pPr>
        <w:spacing w:after="0" w:line="184" w:lineRule="exact"/>
        <w:rPr>
          <w:rFonts w:ascii="Arial" w:cs="Arial" w:eastAsia="Arial" w:hAnsi="Arial"/>
          <w:sz w:val="18"/>
          <w:szCs w:val="18"/>
          <w:color w:val="345988"/>
        </w:rPr>
      </w:pPr>
    </w:p>
    <w:p>
      <w:pPr>
        <w:ind w:left="500" w:hanging="331"/>
        <w:spacing w:after="0"/>
        <w:tabs>
          <w:tab w:leader="none" w:pos="500" w:val="left"/>
        </w:tabs>
        <w:numPr>
          <w:ilvl w:val="0"/>
          <w:numId w:val="52"/>
        </w:numPr>
        <w:rPr>
          <w:rFonts w:ascii="Arial" w:cs="Arial" w:eastAsia="Arial" w:hAnsi="Arial"/>
          <w:sz w:val="18"/>
          <w:szCs w:val="18"/>
          <w:color w:val="345988"/>
        </w:rPr>
      </w:pPr>
      <w:r>
        <w:rPr>
          <w:rFonts w:ascii="Arial" w:cs="Arial" w:eastAsia="Arial" w:hAnsi="Arial"/>
          <w:sz w:val="18"/>
          <w:szCs w:val="18"/>
          <w:color w:val="auto"/>
        </w:rPr>
        <w:t>recommend to the Board and the Board Committees the retention of advisers and consultants who report directly to the Board;</w:t>
      </w:r>
    </w:p>
    <w:p>
      <w:pPr>
        <w:spacing w:after="0" w:line="237" w:lineRule="exact"/>
        <w:rPr>
          <w:rFonts w:ascii="Arial" w:cs="Arial" w:eastAsia="Arial" w:hAnsi="Arial"/>
          <w:sz w:val="18"/>
          <w:szCs w:val="18"/>
          <w:color w:val="345988"/>
        </w:rPr>
      </w:pPr>
    </w:p>
    <w:p>
      <w:pPr>
        <w:ind w:left="500" w:right="780" w:hanging="331"/>
        <w:spacing w:after="0" w:line="268" w:lineRule="auto"/>
        <w:tabs>
          <w:tab w:leader="none" w:pos="500" w:val="left"/>
        </w:tabs>
        <w:numPr>
          <w:ilvl w:val="0"/>
          <w:numId w:val="52"/>
        </w:numPr>
        <w:rPr>
          <w:rFonts w:ascii="Arial" w:cs="Arial" w:eastAsia="Arial" w:hAnsi="Arial"/>
          <w:sz w:val="18"/>
          <w:szCs w:val="18"/>
          <w:color w:val="345988"/>
        </w:rPr>
      </w:pPr>
      <w:r>
        <w:rPr>
          <w:rFonts w:ascii="Arial" w:cs="Arial" w:eastAsia="Arial" w:hAnsi="Arial"/>
          <w:sz w:val="18"/>
          <w:szCs w:val="18"/>
          <w:color w:val="auto"/>
        </w:rPr>
        <w:t>ensure that independent directors have adequate opportunities to meet and discuss issues in sessions of the independent directors without management present and, as appropriate, call meetings of the Independent Directors;</w:t>
      </w:r>
    </w:p>
    <w:p>
      <w:pPr>
        <w:spacing w:after="0" w:line="184" w:lineRule="exact"/>
        <w:rPr>
          <w:rFonts w:ascii="Arial" w:cs="Arial" w:eastAsia="Arial" w:hAnsi="Arial"/>
          <w:sz w:val="18"/>
          <w:szCs w:val="18"/>
          <w:color w:val="345988"/>
        </w:rPr>
      </w:pPr>
    </w:p>
    <w:p>
      <w:pPr>
        <w:ind w:left="500" w:hanging="331"/>
        <w:spacing w:after="0"/>
        <w:tabs>
          <w:tab w:leader="none" w:pos="500" w:val="left"/>
        </w:tabs>
        <w:numPr>
          <w:ilvl w:val="0"/>
          <w:numId w:val="52"/>
        </w:numPr>
        <w:rPr>
          <w:rFonts w:ascii="Arial" w:cs="Arial" w:eastAsia="Arial" w:hAnsi="Arial"/>
          <w:sz w:val="18"/>
          <w:szCs w:val="18"/>
          <w:color w:val="345988"/>
        </w:rPr>
      </w:pPr>
      <w:r>
        <w:rPr>
          <w:rFonts w:ascii="Arial" w:cs="Arial" w:eastAsia="Arial" w:hAnsi="Arial"/>
          <w:sz w:val="18"/>
          <w:szCs w:val="18"/>
          <w:color w:val="auto"/>
        </w:rPr>
        <w:t>serve as Chairman of the sessions of the independent directors;</w:t>
      </w:r>
    </w:p>
    <w:p>
      <w:pPr>
        <w:spacing w:after="0" w:line="237" w:lineRule="exact"/>
        <w:rPr>
          <w:rFonts w:ascii="Arial" w:cs="Arial" w:eastAsia="Arial" w:hAnsi="Arial"/>
          <w:sz w:val="18"/>
          <w:szCs w:val="18"/>
          <w:color w:val="345988"/>
        </w:rPr>
      </w:pPr>
    </w:p>
    <w:p>
      <w:pPr>
        <w:ind w:left="500" w:right="180" w:hanging="331"/>
        <w:spacing w:after="0" w:line="268" w:lineRule="auto"/>
        <w:tabs>
          <w:tab w:leader="none" w:pos="500" w:val="left"/>
        </w:tabs>
        <w:numPr>
          <w:ilvl w:val="0"/>
          <w:numId w:val="52"/>
        </w:numPr>
        <w:rPr>
          <w:rFonts w:ascii="Arial" w:cs="Arial" w:eastAsia="Arial" w:hAnsi="Arial"/>
          <w:sz w:val="18"/>
          <w:szCs w:val="18"/>
          <w:color w:val="345988"/>
        </w:rPr>
      </w:pPr>
      <w:r>
        <w:rPr>
          <w:rFonts w:ascii="Arial" w:cs="Arial" w:eastAsia="Arial" w:hAnsi="Arial"/>
          <w:sz w:val="18"/>
          <w:szCs w:val="18"/>
          <w:color w:val="auto"/>
        </w:rPr>
        <w:t>serve as principal liaison between the independent directors and the Chief Executive Officer of the Company and between the independent directors and senior management;</w:t>
      </w:r>
    </w:p>
    <w:p>
      <w:pPr>
        <w:spacing w:after="0" w:line="184" w:lineRule="exact"/>
        <w:rPr>
          <w:rFonts w:ascii="Arial" w:cs="Arial" w:eastAsia="Arial" w:hAnsi="Arial"/>
          <w:sz w:val="18"/>
          <w:szCs w:val="18"/>
          <w:color w:val="345988"/>
        </w:rPr>
      </w:pPr>
    </w:p>
    <w:p>
      <w:pPr>
        <w:ind w:left="500" w:hanging="331"/>
        <w:spacing w:after="0"/>
        <w:tabs>
          <w:tab w:leader="none" w:pos="500" w:val="left"/>
        </w:tabs>
        <w:numPr>
          <w:ilvl w:val="0"/>
          <w:numId w:val="52"/>
        </w:numPr>
        <w:rPr>
          <w:rFonts w:ascii="Arial" w:cs="Arial" w:eastAsia="Arial" w:hAnsi="Arial"/>
          <w:sz w:val="18"/>
          <w:szCs w:val="18"/>
          <w:color w:val="345988"/>
        </w:rPr>
      </w:pPr>
      <w:r>
        <w:rPr>
          <w:rFonts w:ascii="Arial" w:cs="Arial" w:eastAsia="Arial" w:hAnsi="Arial"/>
          <w:sz w:val="18"/>
          <w:szCs w:val="18"/>
          <w:color w:val="auto"/>
        </w:rPr>
        <w:t>communicate to management, as appropriate, the results of private discussions among independent directors;</w:t>
      </w:r>
    </w:p>
    <w:p>
      <w:pPr>
        <w:spacing w:after="0" w:line="237" w:lineRule="exact"/>
        <w:rPr>
          <w:rFonts w:ascii="Arial" w:cs="Arial" w:eastAsia="Arial" w:hAnsi="Arial"/>
          <w:sz w:val="18"/>
          <w:szCs w:val="18"/>
          <w:color w:val="345988"/>
        </w:rPr>
      </w:pPr>
    </w:p>
    <w:p>
      <w:pPr>
        <w:ind w:left="500" w:hanging="331"/>
        <w:spacing w:after="0"/>
        <w:tabs>
          <w:tab w:leader="none" w:pos="500" w:val="left"/>
        </w:tabs>
        <w:numPr>
          <w:ilvl w:val="0"/>
          <w:numId w:val="52"/>
        </w:numPr>
        <w:rPr>
          <w:rFonts w:ascii="Arial" w:cs="Arial" w:eastAsia="Arial" w:hAnsi="Arial"/>
          <w:sz w:val="18"/>
          <w:szCs w:val="18"/>
          <w:color w:val="345988"/>
        </w:rPr>
      </w:pPr>
      <w:r>
        <w:rPr>
          <w:rFonts w:ascii="Arial" w:cs="Arial" w:eastAsia="Arial" w:hAnsi="Arial"/>
          <w:sz w:val="18"/>
          <w:szCs w:val="18"/>
          <w:color w:val="auto"/>
        </w:rPr>
        <w:t>chair the meetings of the Board when the Chairman is not present;</w:t>
      </w:r>
    </w:p>
    <w:p>
      <w:pPr>
        <w:spacing w:after="0" w:line="237" w:lineRule="exact"/>
        <w:rPr>
          <w:rFonts w:ascii="Arial" w:cs="Arial" w:eastAsia="Arial" w:hAnsi="Arial"/>
          <w:sz w:val="18"/>
          <w:szCs w:val="18"/>
          <w:color w:val="345988"/>
        </w:rPr>
      </w:pPr>
    </w:p>
    <w:p>
      <w:pPr>
        <w:ind w:left="500" w:right="360" w:hanging="331"/>
        <w:spacing w:after="0" w:line="251" w:lineRule="auto"/>
        <w:tabs>
          <w:tab w:leader="none" w:pos="500" w:val="left"/>
        </w:tabs>
        <w:numPr>
          <w:ilvl w:val="0"/>
          <w:numId w:val="52"/>
        </w:numPr>
        <w:rPr>
          <w:rFonts w:ascii="Arial" w:cs="Arial" w:eastAsia="Arial" w:hAnsi="Arial"/>
          <w:sz w:val="18"/>
          <w:szCs w:val="18"/>
          <w:color w:val="345988"/>
        </w:rPr>
      </w:pPr>
      <w:r>
        <w:rPr>
          <w:rFonts w:ascii="Arial" w:cs="Arial" w:eastAsia="Arial" w:hAnsi="Arial"/>
          <w:sz w:val="18"/>
          <w:szCs w:val="18"/>
          <w:color w:val="auto"/>
        </w:rPr>
        <w:t>with respect to questions and comments directed to the Lead Independent Director or to the independent directors as a group, determine the appropriate means of response, with such consultation with the Chief Executive Officer and other directors as the Lead Independent Director may deem appropriate; and</w:t>
      </w:r>
    </w:p>
    <w:p>
      <w:pPr>
        <w:spacing w:after="0" w:line="199" w:lineRule="exact"/>
        <w:rPr>
          <w:rFonts w:ascii="Arial" w:cs="Arial" w:eastAsia="Arial" w:hAnsi="Arial"/>
          <w:sz w:val="18"/>
          <w:szCs w:val="18"/>
          <w:color w:val="345988"/>
        </w:rPr>
      </w:pPr>
    </w:p>
    <w:p>
      <w:pPr>
        <w:ind w:left="500" w:hanging="331"/>
        <w:spacing w:after="0"/>
        <w:tabs>
          <w:tab w:leader="none" w:pos="500" w:val="left"/>
        </w:tabs>
        <w:numPr>
          <w:ilvl w:val="0"/>
          <w:numId w:val="52"/>
        </w:numPr>
        <w:rPr>
          <w:rFonts w:ascii="Arial" w:cs="Arial" w:eastAsia="Arial" w:hAnsi="Arial"/>
          <w:sz w:val="18"/>
          <w:szCs w:val="18"/>
          <w:color w:val="345988"/>
        </w:rPr>
      </w:pPr>
      <w:r>
        <w:rPr>
          <w:rFonts w:ascii="Arial" w:cs="Arial" w:eastAsia="Arial" w:hAnsi="Arial"/>
          <w:sz w:val="18"/>
          <w:szCs w:val="18"/>
          <w:color w:val="auto"/>
        </w:rPr>
        <w:t>perform such other duties as the Board from time to time may delegate.</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Board and Committee Self-Evaluations</w:t>
      </w:r>
    </w:p>
    <w:p>
      <w:pPr>
        <w:spacing w:after="0" w:line="21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Board believes that good governance can only be achieved through rigorous self-evaluation. Each year, our Nominating and Corporate Governance Committee establishes formal self-assessment procedures that are consistent with our Governance Principles, NYSE listing requirements and best practices identified during prior self-evaluations. The Board also engages with stockholders and third party advisers throughout the year to discuss corporate governance practices, and to ensure that the Board and its committees follow practices that are optimal for the Company and its stockholders while also delivering superior total return. The Board then conducts its annual evaluation to determine whether it and its committees function effectively, with independent directors meeting separately with outside counsel. The discussions with stockholders, as well as the evaluations, are the basis for the Board’s annual review of possible changes to the Company’s corporate governance practices.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00" w:type="dxa"/>
            <w:vAlign w:val="bottom"/>
            <w:shd w:val="clear" w:color="auto" w:fill="9CA5B9"/>
          </w:tcPr>
          <w:p>
            <w:pPr>
              <w:ind w:left="100"/>
              <w:spacing w:after="0"/>
              <w:rPr>
                <w:sz w:val="20"/>
                <w:szCs w:val="20"/>
                <w:color w:val="auto"/>
              </w:rPr>
            </w:pPr>
            <w:r>
              <w:rPr>
                <w:rFonts w:ascii="Arial" w:cs="Arial" w:eastAsia="Arial" w:hAnsi="Arial"/>
                <w:sz w:val="13"/>
                <w:szCs w:val="13"/>
                <w:b w:val="1"/>
                <w:bCs w:val="1"/>
                <w:color w:val="435F8C"/>
              </w:rPr>
              <w:t>Board Evaluation Process</w:t>
            </w:r>
          </w:p>
        </w:tc>
        <w:tc>
          <w:tcPr>
            <w:tcW w:w="3900" w:type="dxa"/>
            <w:vAlign w:val="bottom"/>
            <w:shd w:val="clear" w:color="auto" w:fill="9CA5B9"/>
          </w:tcPr>
          <w:p>
            <w:pPr>
              <w:spacing w:after="0"/>
              <w:rPr>
                <w:sz w:val="14"/>
                <w:szCs w:val="14"/>
                <w:color w:val="auto"/>
              </w:rPr>
            </w:pPr>
          </w:p>
        </w:tc>
        <w:tc>
          <w:tcPr>
            <w:tcW w:w="3920" w:type="dxa"/>
            <w:vAlign w:val="bottom"/>
            <w:shd w:val="clear" w:color="auto" w:fill="9CA5B9"/>
          </w:tcPr>
          <w:p>
            <w:pPr>
              <w:spacing w:after="0"/>
              <w:rPr>
                <w:sz w:val="14"/>
                <w:szCs w:val="14"/>
                <w:color w:val="auto"/>
              </w:rPr>
            </w:pPr>
          </w:p>
        </w:tc>
        <w:tc>
          <w:tcPr>
            <w:tcW w:w="20" w:type="dxa"/>
            <w:vAlign w:val="bottom"/>
          </w:tcPr>
          <w:p>
            <w:pPr>
              <w:spacing w:after="0"/>
              <w:rPr>
                <w:sz w:val="14"/>
                <w:szCs w:val="14"/>
                <w:color w:val="auto"/>
              </w:rPr>
            </w:pPr>
          </w:p>
        </w:tc>
      </w:tr>
      <w:tr>
        <w:trPr>
          <w:trHeight w:val="487"/>
        </w:trPr>
        <w:tc>
          <w:tcPr>
            <w:tcW w:w="3600" w:type="dxa"/>
            <w:vAlign w:val="bottom"/>
            <w:shd w:val="clear" w:color="auto" w:fill="9CA5B9"/>
          </w:tcPr>
          <w:p>
            <w:pPr>
              <w:ind w:left="100"/>
              <w:spacing w:after="0"/>
              <w:rPr>
                <w:sz w:val="20"/>
                <w:szCs w:val="20"/>
                <w:color w:val="auto"/>
              </w:rPr>
            </w:pPr>
            <w:r>
              <w:rPr>
                <w:rFonts w:ascii="Arial" w:cs="Arial" w:eastAsia="Arial" w:hAnsi="Arial"/>
                <w:sz w:val="36"/>
                <w:szCs w:val="36"/>
                <w:color w:val="FFFFFF"/>
              </w:rPr>
              <w:t xml:space="preserve">1 </w:t>
            </w:r>
            <w:r>
              <w:rPr>
                <w:rFonts w:ascii="Arial" w:cs="Arial" w:eastAsia="Arial" w:hAnsi="Arial"/>
                <w:sz w:val="17"/>
                <w:szCs w:val="17"/>
                <w:b w:val="1"/>
                <w:bCs w:val="1"/>
                <w:color w:val="FFFFFF"/>
              </w:rPr>
              <w:t>Initiate Process</w:t>
            </w:r>
          </w:p>
        </w:tc>
        <w:tc>
          <w:tcPr>
            <w:tcW w:w="3900" w:type="dxa"/>
            <w:vAlign w:val="bottom"/>
            <w:shd w:val="clear" w:color="auto" w:fill="9CA5B9"/>
          </w:tcPr>
          <w:p>
            <w:pPr>
              <w:ind w:left="260"/>
              <w:spacing w:after="0"/>
              <w:rPr>
                <w:sz w:val="20"/>
                <w:szCs w:val="20"/>
                <w:color w:val="auto"/>
              </w:rPr>
            </w:pPr>
            <w:r>
              <w:rPr>
                <w:rFonts w:ascii="Arial" w:cs="Arial" w:eastAsia="Arial" w:hAnsi="Arial"/>
                <w:sz w:val="36"/>
                <w:szCs w:val="36"/>
                <w:color w:val="FFFFFF"/>
              </w:rPr>
              <w:t xml:space="preserve">2 </w:t>
            </w:r>
            <w:r>
              <w:rPr>
                <w:rFonts w:ascii="Arial" w:cs="Arial" w:eastAsia="Arial" w:hAnsi="Arial"/>
                <w:sz w:val="17"/>
                <w:szCs w:val="17"/>
                <w:b w:val="1"/>
                <w:bCs w:val="1"/>
                <w:color w:val="FFFFFF"/>
              </w:rPr>
              <w:t>Conduct Evaluation</w:t>
            </w:r>
          </w:p>
        </w:tc>
        <w:tc>
          <w:tcPr>
            <w:tcW w:w="3920" w:type="dxa"/>
            <w:vAlign w:val="bottom"/>
            <w:shd w:val="clear" w:color="auto" w:fill="9CA5B9"/>
          </w:tcPr>
          <w:p>
            <w:pPr>
              <w:ind w:left="180"/>
              <w:spacing w:after="0"/>
              <w:rPr>
                <w:sz w:val="20"/>
                <w:szCs w:val="20"/>
                <w:color w:val="auto"/>
              </w:rPr>
            </w:pPr>
            <w:r>
              <w:rPr>
                <w:rFonts w:ascii="Arial" w:cs="Arial" w:eastAsia="Arial" w:hAnsi="Arial"/>
                <w:sz w:val="36"/>
                <w:szCs w:val="36"/>
                <w:color w:val="FFFFFF"/>
              </w:rPr>
              <w:t xml:space="preserve">3 </w:t>
            </w:r>
            <w:r>
              <w:rPr>
                <w:rFonts w:ascii="Arial" w:cs="Arial" w:eastAsia="Arial" w:hAnsi="Arial"/>
                <w:sz w:val="17"/>
                <w:szCs w:val="17"/>
                <w:b w:val="1"/>
                <w:bCs w:val="1"/>
                <w:color w:val="FFFFFF"/>
              </w:rPr>
              <w:t>Implement Conclusions</w:t>
            </w:r>
          </w:p>
        </w:tc>
        <w:tc>
          <w:tcPr>
            <w:tcW w:w="20" w:type="dxa"/>
            <w:vAlign w:val="bottom"/>
          </w:tcPr>
          <w:p>
            <w:pPr>
              <w:spacing w:after="0"/>
              <w:rPr>
                <w:sz w:val="24"/>
                <w:szCs w:val="24"/>
                <w:color w:val="auto"/>
              </w:rPr>
            </w:pPr>
          </w:p>
        </w:tc>
      </w:tr>
      <w:tr>
        <w:trPr>
          <w:trHeight w:val="202"/>
        </w:trPr>
        <w:tc>
          <w:tcPr>
            <w:tcW w:w="3600" w:type="dxa"/>
            <w:vAlign w:val="bottom"/>
            <w:shd w:val="clear" w:color="auto" w:fill="9CA5B9"/>
          </w:tcPr>
          <w:p>
            <w:pPr>
              <w:ind w:left="100"/>
              <w:spacing w:after="0" w:line="202" w:lineRule="exact"/>
              <w:rPr>
                <w:sz w:val="20"/>
                <w:szCs w:val="20"/>
                <w:color w:val="auto"/>
              </w:rPr>
            </w:pPr>
            <w:r>
              <w:rPr>
                <w:rFonts w:ascii="Arial" w:cs="Arial" w:eastAsia="Arial" w:hAnsi="Arial"/>
                <w:sz w:val="18"/>
                <w:szCs w:val="18"/>
                <w:color w:val="345988"/>
              </w:rPr>
              <w:t>NCGC establishes Board and committee</w:t>
            </w:r>
          </w:p>
        </w:tc>
        <w:tc>
          <w:tcPr>
            <w:tcW w:w="3900" w:type="dxa"/>
            <w:vAlign w:val="bottom"/>
            <w:shd w:val="clear" w:color="auto" w:fill="9CA5B9"/>
          </w:tcPr>
          <w:p>
            <w:pPr>
              <w:ind w:left="260"/>
              <w:spacing w:after="0" w:line="202" w:lineRule="exact"/>
              <w:rPr>
                <w:sz w:val="20"/>
                <w:szCs w:val="20"/>
                <w:color w:val="auto"/>
              </w:rPr>
            </w:pPr>
            <w:r>
              <w:rPr>
                <w:rFonts w:ascii="Arial" w:cs="Arial" w:eastAsia="Arial" w:hAnsi="Arial"/>
                <w:sz w:val="18"/>
                <w:szCs w:val="18"/>
                <w:color w:val="345988"/>
              </w:rPr>
              <w:t>Directors meet to formally discuss the</w:t>
            </w:r>
          </w:p>
        </w:tc>
        <w:tc>
          <w:tcPr>
            <w:tcW w:w="3920" w:type="dxa"/>
            <w:vAlign w:val="bottom"/>
            <w:shd w:val="clear" w:color="auto" w:fill="9CA5B9"/>
          </w:tcPr>
          <w:p>
            <w:pPr>
              <w:ind w:left="180"/>
              <w:spacing w:after="0" w:line="202" w:lineRule="exact"/>
              <w:rPr>
                <w:sz w:val="20"/>
                <w:szCs w:val="20"/>
                <w:color w:val="auto"/>
              </w:rPr>
            </w:pPr>
            <w:r>
              <w:rPr>
                <w:rFonts w:ascii="Arial" w:cs="Arial" w:eastAsia="Arial" w:hAnsi="Arial"/>
                <w:sz w:val="18"/>
                <w:szCs w:val="18"/>
                <w:color w:val="345988"/>
              </w:rPr>
              <w:t>The Board and each committee implement</w:t>
            </w:r>
          </w:p>
        </w:tc>
        <w:tc>
          <w:tcPr>
            <w:tcW w:w="20" w:type="dxa"/>
            <w:vAlign w:val="bottom"/>
          </w:tcPr>
          <w:p>
            <w:pPr>
              <w:spacing w:after="0"/>
              <w:rPr>
                <w:sz w:val="17"/>
                <w:szCs w:val="17"/>
                <w:color w:val="auto"/>
              </w:rPr>
            </w:pPr>
          </w:p>
        </w:tc>
      </w:tr>
      <w:tr>
        <w:trPr>
          <w:trHeight w:val="202"/>
        </w:trPr>
        <w:tc>
          <w:tcPr>
            <w:tcW w:w="3600" w:type="dxa"/>
            <w:vAlign w:val="bottom"/>
            <w:shd w:val="clear" w:color="auto" w:fill="9CA5B9"/>
          </w:tcPr>
          <w:p>
            <w:pPr>
              <w:ind w:left="100"/>
              <w:spacing w:after="0" w:line="202" w:lineRule="exact"/>
              <w:rPr>
                <w:sz w:val="20"/>
                <w:szCs w:val="20"/>
                <w:color w:val="auto"/>
              </w:rPr>
            </w:pPr>
            <w:r>
              <w:rPr>
                <w:rFonts w:ascii="Arial" w:cs="Arial" w:eastAsia="Arial" w:hAnsi="Arial"/>
                <w:sz w:val="18"/>
                <w:szCs w:val="18"/>
                <w:color w:val="345988"/>
              </w:rPr>
              <w:t>self-evaluation process, including</w:t>
            </w:r>
          </w:p>
        </w:tc>
        <w:tc>
          <w:tcPr>
            <w:tcW w:w="3900" w:type="dxa"/>
            <w:vAlign w:val="bottom"/>
            <w:shd w:val="clear" w:color="auto" w:fill="9CA5B9"/>
          </w:tcPr>
          <w:p>
            <w:pPr>
              <w:ind w:left="260"/>
              <w:spacing w:after="0" w:line="202" w:lineRule="exact"/>
              <w:rPr>
                <w:sz w:val="20"/>
                <w:szCs w:val="20"/>
                <w:color w:val="auto"/>
              </w:rPr>
            </w:pPr>
            <w:r>
              <w:rPr>
                <w:rFonts w:ascii="Arial" w:cs="Arial" w:eastAsia="Arial" w:hAnsi="Arial"/>
                <w:sz w:val="18"/>
                <w:szCs w:val="18"/>
                <w:color w:val="345988"/>
              </w:rPr>
              <w:t>functioning of the Board and any committees</w:t>
            </w:r>
          </w:p>
        </w:tc>
        <w:tc>
          <w:tcPr>
            <w:tcW w:w="3920" w:type="dxa"/>
            <w:vAlign w:val="bottom"/>
            <w:shd w:val="clear" w:color="auto" w:fill="9CA5B9"/>
          </w:tcPr>
          <w:p>
            <w:pPr>
              <w:ind w:left="180"/>
              <w:spacing w:after="0" w:line="202" w:lineRule="exact"/>
              <w:rPr>
                <w:sz w:val="20"/>
                <w:szCs w:val="20"/>
                <w:color w:val="auto"/>
              </w:rPr>
            </w:pPr>
            <w:r>
              <w:rPr>
                <w:rFonts w:ascii="Arial" w:cs="Arial" w:eastAsia="Arial" w:hAnsi="Arial"/>
                <w:sz w:val="18"/>
                <w:szCs w:val="18"/>
                <w:color w:val="345988"/>
              </w:rPr>
              <w:t>proposed governance improvements with</w:t>
            </w:r>
          </w:p>
        </w:tc>
        <w:tc>
          <w:tcPr>
            <w:tcW w:w="20" w:type="dxa"/>
            <w:vAlign w:val="bottom"/>
          </w:tcPr>
          <w:p>
            <w:pPr>
              <w:spacing w:after="0"/>
              <w:rPr>
                <w:sz w:val="17"/>
                <w:szCs w:val="17"/>
                <w:color w:val="auto"/>
              </w:rPr>
            </w:pPr>
          </w:p>
        </w:tc>
      </w:tr>
      <w:tr>
        <w:trPr>
          <w:trHeight w:val="202"/>
        </w:trPr>
        <w:tc>
          <w:tcPr>
            <w:tcW w:w="3600" w:type="dxa"/>
            <w:vAlign w:val="bottom"/>
            <w:shd w:val="clear" w:color="auto" w:fill="9CA5B9"/>
          </w:tcPr>
          <w:p>
            <w:pPr>
              <w:ind w:left="100"/>
              <w:spacing w:after="0" w:line="202" w:lineRule="exact"/>
              <w:rPr>
                <w:sz w:val="20"/>
                <w:szCs w:val="20"/>
                <w:color w:val="auto"/>
              </w:rPr>
            </w:pPr>
            <w:r>
              <w:rPr>
                <w:rFonts w:ascii="Arial" w:cs="Arial" w:eastAsia="Arial" w:hAnsi="Arial"/>
                <w:sz w:val="18"/>
                <w:szCs w:val="18"/>
                <w:color w:val="345988"/>
                <w:w w:val="99"/>
              </w:rPr>
              <w:t>incorporation of process improvements from</w:t>
            </w:r>
          </w:p>
        </w:tc>
        <w:tc>
          <w:tcPr>
            <w:tcW w:w="3900" w:type="dxa"/>
            <w:vAlign w:val="bottom"/>
            <w:shd w:val="clear" w:color="auto" w:fill="9CA5B9"/>
          </w:tcPr>
          <w:p>
            <w:pPr>
              <w:ind w:left="260"/>
              <w:spacing w:after="0" w:line="202" w:lineRule="exact"/>
              <w:rPr>
                <w:sz w:val="20"/>
                <w:szCs w:val="20"/>
                <w:color w:val="auto"/>
              </w:rPr>
            </w:pPr>
            <w:r>
              <w:rPr>
                <w:rFonts w:ascii="Arial" w:cs="Arial" w:eastAsia="Arial" w:hAnsi="Arial"/>
                <w:sz w:val="18"/>
                <w:szCs w:val="18"/>
                <w:color w:val="345988"/>
              </w:rPr>
              <w:t>on which they serve to identify areas for</w:t>
            </w:r>
          </w:p>
        </w:tc>
        <w:tc>
          <w:tcPr>
            <w:tcW w:w="3920" w:type="dxa"/>
            <w:vAlign w:val="bottom"/>
            <w:shd w:val="clear" w:color="auto" w:fill="9CA5B9"/>
          </w:tcPr>
          <w:p>
            <w:pPr>
              <w:ind w:left="180"/>
              <w:spacing w:after="0" w:line="202" w:lineRule="exact"/>
              <w:rPr>
                <w:sz w:val="20"/>
                <w:szCs w:val="20"/>
                <w:color w:val="auto"/>
              </w:rPr>
            </w:pPr>
            <w:r>
              <w:rPr>
                <w:rFonts w:ascii="Arial" w:cs="Arial" w:eastAsia="Arial" w:hAnsi="Arial"/>
                <w:sz w:val="18"/>
                <w:szCs w:val="18"/>
                <w:color w:val="345988"/>
              </w:rPr>
              <w:t>assistance of management and third party</w:t>
            </w:r>
          </w:p>
        </w:tc>
        <w:tc>
          <w:tcPr>
            <w:tcW w:w="20" w:type="dxa"/>
            <w:vAlign w:val="bottom"/>
          </w:tcPr>
          <w:p>
            <w:pPr>
              <w:spacing w:after="0"/>
              <w:rPr>
                <w:sz w:val="17"/>
                <w:szCs w:val="17"/>
                <w:color w:val="auto"/>
              </w:rPr>
            </w:pPr>
          </w:p>
        </w:tc>
      </w:tr>
      <w:tr>
        <w:trPr>
          <w:trHeight w:val="248"/>
        </w:trPr>
        <w:tc>
          <w:tcPr>
            <w:tcW w:w="3600" w:type="dxa"/>
            <w:vAlign w:val="bottom"/>
            <w:shd w:val="clear" w:color="auto" w:fill="9CA5B9"/>
          </w:tcPr>
          <w:p>
            <w:pPr>
              <w:ind w:left="100"/>
              <w:spacing w:after="0"/>
              <w:rPr>
                <w:sz w:val="20"/>
                <w:szCs w:val="20"/>
                <w:color w:val="auto"/>
              </w:rPr>
            </w:pPr>
            <w:r>
              <w:rPr>
                <w:rFonts w:ascii="Arial" w:cs="Arial" w:eastAsia="Arial" w:hAnsi="Arial"/>
                <w:sz w:val="18"/>
                <w:szCs w:val="18"/>
                <w:color w:val="345988"/>
              </w:rPr>
              <w:t>previous review cycle</w:t>
            </w:r>
          </w:p>
        </w:tc>
        <w:tc>
          <w:tcPr>
            <w:tcW w:w="3900" w:type="dxa"/>
            <w:vAlign w:val="bottom"/>
            <w:shd w:val="clear" w:color="auto" w:fill="9CA5B9"/>
          </w:tcPr>
          <w:p>
            <w:pPr>
              <w:ind w:left="260"/>
              <w:spacing w:after="0"/>
              <w:rPr>
                <w:sz w:val="20"/>
                <w:szCs w:val="20"/>
                <w:color w:val="auto"/>
              </w:rPr>
            </w:pPr>
            <w:r>
              <w:rPr>
                <w:rFonts w:ascii="Arial" w:cs="Arial" w:eastAsia="Arial" w:hAnsi="Arial"/>
                <w:sz w:val="18"/>
                <w:szCs w:val="18"/>
                <w:color w:val="345988"/>
              </w:rPr>
              <w:t>improvement</w:t>
            </w:r>
          </w:p>
        </w:tc>
        <w:tc>
          <w:tcPr>
            <w:tcW w:w="3920" w:type="dxa"/>
            <w:vAlign w:val="bottom"/>
            <w:shd w:val="clear" w:color="auto" w:fill="9CA5B9"/>
          </w:tcPr>
          <w:p>
            <w:pPr>
              <w:ind w:left="180"/>
              <w:spacing w:after="0"/>
              <w:rPr>
                <w:sz w:val="20"/>
                <w:szCs w:val="20"/>
                <w:color w:val="auto"/>
              </w:rPr>
            </w:pPr>
            <w:r>
              <w:rPr>
                <w:rFonts w:ascii="Arial" w:cs="Arial" w:eastAsia="Arial" w:hAnsi="Arial"/>
                <w:sz w:val="18"/>
                <w:szCs w:val="18"/>
                <w:color w:val="345988"/>
              </w:rPr>
              <w:t>advisors, as needed</w:t>
            </w:r>
          </w:p>
        </w:tc>
        <w:tc>
          <w:tcPr>
            <w:tcW w:w="20" w:type="dxa"/>
            <w:vAlign w:val="bottom"/>
          </w:tcPr>
          <w:p>
            <w:pPr>
              <w:spacing w:after="0"/>
              <w:rPr>
                <w:sz w:val="21"/>
                <w:szCs w:val="21"/>
                <w:color w:val="auto"/>
              </w:rPr>
            </w:pPr>
          </w:p>
        </w:tc>
      </w:tr>
      <w:tr>
        <w:trPr>
          <w:trHeight w:val="433"/>
        </w:trPr>
        <w:tc>
          <w:tcPr>
            <w:tcW w:w="3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920" w:type="dxa"/>
            <w:vAlign w:val="bottom"/>
          </w:tcPr>
          <w:p>
            <w:pPr>
              <w:ind w:left="1900"/>
              <w:spacing w:after="0"/>
              <w:rPr>
                <w:sz w:val="20"/>
                <w:szCs w:val="20"/>
                <w:color w:val="auto"/>
              </w:rPr>
            </w:pPr>
            <w:r>
              <w:rPr>
                <w:rFonts w:ascii="Arial" w:cs="Arial" w:eastAsia="Arial" w:hAnsi="Arial"/>
                <w:sz w:val="18"/>
                <w:szCs w:val="18"/>
                <w:color w:val="auto"/>
                <w:w w:val="98"/>
              </w:rPr>
              <w:t xml:space="preserve">2018 Proxy Statement </w:t>
            </w:r>
            <w:r>
              <w:rPr>
                <w:rFonts w:ascii="Arial" w:cs="Arial" w:eastAsia="Arial" w:hAnsi="Arial"/>
                <w:sz w:val="18"/>
                <w:szCs w:val="18"/>
                <w:color w:val="325889"/>
                <w:w w:val="98"/>
              </w:rPr>
              <w:t>19</w:t>
            </w:r>
          </w:p>
        </w:tc>
        <w:tc>
          <w:tcPr>
            <w:tcW w:w="20" w:type="dxa"/>
            <w:vAlign w:val="bottom"/>
          </w:tcPr>
          <w:p>
            <w:pPr>
              <w:spacing w:after="0"/>
              <w:rPr>
                <w:sz w:val="24"/>
                <w:szCs w:val="24"/>
                <w:color w:val="auto"/>
              </w:rPr>
            </w:pPr>
          </w:p>
        </w:tc>
      </w:tr>
      <w:tr>
        <w:trPr>
          <w:trHeight w:val="210"/>
        </w:trPr>
        <w:tc>
          <w:tcPr>
            <w:tcW w:w="3600" w:type="dxa"/>
            <w:vAlign w:val="bottom"/>
            <w:tcBorders>
              <w:bottom w:val="single" w:sz="8" w:color="808080"/>
            </w:tcBorders>
          </w:tcPr>
          <w:p>
            <w:pPr>
              <w:spacing w:after="0"/>
              <w:rPr>
                <w:sz w:val="18"/>
                <w:szCs w:val="18"/>
                <w:color w:val="auto"/>
              </w:rPr>
            </w:pPr>
          </w:p>
        </w:tc>
        <w:tc>
          <w:tcPr>
            <w:tcW w:w="3900" w:type="dxa"/>
            <w:vAlign w:val="bottom"/>
            <w:tcBorders>
              <w:bottom w:val="single" w:sz="8" w:color="808080"/>
            </w:tcBorders>
          </w:tcPr>
          <w:p>
            <w:pPr>
              <w:spacing w:after="0"/>
              <w:rPr>
                <w:sz w:val="18"/>
                <w:szCs w:val="18"/>
                <w:color w:val="auto"/>
              </w:rPr>
            </w:pPr>
          </w:p>
        </w:tc>
        <w:tc>
          <w:tcPr>
            <w:tcW w:w="39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-1250315</wp:posOffset>
            </wp:positionV>
            <wp:extent cx="71183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8350" cy="171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Director Independence</w:t>
      </w:r>
    </w:p>
    <w:p>
      <w:pPr>
        <w:spacing w:after="0" w:line="2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Governance Principles provide that a majority of our directors serving on the Board must be independent as required by the listing standards of the NYSE and the applicable rules promulgated by the SEC. In addition, the Board adopted director independence standards that assist the Board in making its determinations with respect to the independence of directors. The Board has reviewed all relevant facts and circumstances and considered all applicable relationships of which the Board had knowledge, between or among the directors and the Company or our management (some of such relationships are described in the section of this proxy statement entitled “Certain Relationships and Related Party Transactions”). Based upon this review, the Board has determined that each of the following directors and director nominees has no direct or indirect material relationship with us and is independent under the listing standards of the NYSE, the applicable rules promulgated by the SEC and our director independence standards: Mses. Betsy Atkins and Lauren B. Dillard and Messrs. Edwin T. Burton, III, John H. Alschuler, John S. Levy and Craig M. Hatkoff. The Board has determined that Messrs. Stephen L. Green, Marc Holliday and Andrew W. Mathias, our three other directors, are not independent because they are also executive officers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Executive Sessions of Non-Management Directors</w:t>
      </w:r>
    </w:p>
    <w:p>
      <w:pPr>
        <w:spacing w:after="0" w:line="21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who currently comprise all of the non-management directors, meet in executive sessions from time to time on such a basis. The executive sessions are regularly chaired by our Lead Independent Director.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Communications with the Board</w:t>
      </w:r>
    </w:p>
    <w:p>
      <w:pPr>
        <w:spacing w:after="0" w:line="21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420 Lexington Avenue, New York, New York 10170-1881. Mr. Levine forwards all such communications to the intended recipient or recipients. Any such communications may be made anonymously.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Director Attendance</w:t>
      </w:r>
    </w:p>
    <w:p>
      <w:pPr>
        <w:spacing w:after="0" w:line="21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Board held four meetings and all directors attended 75% or more of the board of directors meetings and meetings of the committees on which they served during the periods they served during fiscal year 2017.</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encourage each member of the Board to attend each annual meeting of stockholders. Three of our directors attended the annual meeting of stockholders held on June 1, 2017.</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www.slgreen.com under the “Investors—Corporate Governance” section. Further, we will provide a copy of these charters without charge to each stockholder upon written request. Requests for copies should be addressed to Andrew S. Levine, Secretary, at SL Green Realty Corp., 420 Lexington Avenue, New York, New York 10170-1881. From time to time, the Board also may create additional committees for such purposes as the Board may determine.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Audit Committee</w:t>
      </w:r>
    </w:p>
    <w:p>
      <w:pPr>
        <w:spacing w:after="0" w:line="21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Audit Committee consists of Edwin Thomas Burton, III (Chair), Betsy S. Atkins, Lauren B. Dillard and Craig M. Hatkoff, each of whom is “independent” within the meaning of the rules of the NYSE and the SEC and each of whom meets the financial literacy standard required by the rules of the NYSE. Our Audit Committee’s primary purpose is to select and appoint our independent registered public accounting firm and to assist the Board in its oversight of the integrity of the Company’s financial statements; the Company’s compliance with legal and regulatory requirements; the qualifications and independence of the registered public accounting firm employed by</w:t>
      </w:r>
    </w:p>
    <w:p>
      <w:pPr>
        <w:spacing w:after="0" w:line="183" w:lineRule="exact"/>
        <w:rPr>
          <w:sz w:val="20"/>
          <w:szCs w:val="20"/>
          <w:color w:val="auto"/>
        </w:rPr>
      </w:pPr>
    </w:p>
    <w:p>
      <w:pPr>
        <w:ind w:left="300" w:hanging="292"/>
        <w:spacing w:after="0"/>
        <w:tabs>
          <w:tab w:leader="none" w:pos="300" w:val="left"/>
        </w:tabs>
        <w:numPr>
          <w:ilvl w:val="0"/>
          <w:numId w:val="53"/>
        </w:numPr>
        <w:rPr>
          <w:rFonts w:ascii="Arial" w:cs="Arial" w:eastAsia="Arial" w:hAnsi="Arial"/>
          <w:sz w:val="18"/>
          <w:szCs w:val="18"/>
          <w:color w:val="345988"/>
        </w:rPr>
      </w:pPr>
      <w:r>
        <w:rPr>
          <w:rFonts w:ascii="Arial" w:cs="Arial" w:eastAsia="Arial" w:hAnsi="Arial"/>
          <w:sz w:val="18"/>
          <w:szCs w:val="18"/>
          <w:color w:val="1A1A1A"/>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6140"/>
        <w:spacing w:after="0"/>
        <w:rPr>
          <w:sz w:val="20"/>
          <w:szCs w:val="20"/>
          <w:color w:val="auto"/>
        </w:rPr>
      </w:pPr>
      <w:r>
        <w:rPr>
          <w:rFonts w:ascii="Arial" w:cs="Arial" w:eastAsia="Arial" w:hAnsi="Arial"/>
          <w:sz w:val="16"/>
          <w:szCs w:val="16"/>
          <w:u w:val="single" w:color="auto"/>
          <w:color w:val="345988"/>
        </w:rPr>
        <w:t>OUR BOARD OF DIRECTORS AND CORPORATE GOVERNANCE</w:t>
      </w:r>
    </w:p>
    <w:p>
      <w:pPr>
        <w:spacing w:after="0" w:line="23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Company for the audit of the Company’s financial statements; the performance of the people responsible for the Company’s internal audit function; and the performance of the Company’s independent registered public accounting firm. Our Audit Committee also prepares the report that the rules of the SEC require be included in this proxy statement and provides an open avenue of communication among the 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 Our Audit Committee held 12 meetings during fiscal year 2017. Additional information regarding the functions performed by our Audit Committee is set forth in the “Audit Committee Report” included in this annual proxy statement.</w:t>
      </w: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Audit Committee Financial Expert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Board determined that Edwin T. Burton, III qualifies as an “audit committee financial expert,” as defined in Item 401(h)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Compensation Committee</w:t>
      </w:r>
    </w:p>
    <w:p>
      <w:pPr>
        <w:spacing w:after="0" w:line="2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Compensation Committee consists of Lauren B. Dillard (Chair), John H. Alschuler, Edwin Thomas Burton, III and John S. Levy, each of whom is “independent” within the meaning of the rules of the NYSE. Our Compensation Committee’s primary purposes are to determine how the Company’s Chief Executive Officer should be compensated; to administer the Company’s employee benefit plans and executive compensation programs; to determine compensation of our executive officers other than our Chief Executive Officer; and to produce the report on executive compensation that is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between cash and equity compensation. Our Compensation Committee retained Gressle &amp; McGinley LLC as its independent outside compensation consulting firm and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Compensation—Compensation Discussion and Analysis.” Our Compensation Committee held one meeting during fiscal year 2017.</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Nominating and Corporate Governance Committee</w:t>
      </w:r>
    </w:p>
    <w:p>
      <w:pPr>
        <w:spacing w:after="0" w:line="21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Our Nominating and Corporate Governance Committee consists of Craig M. Hatkoff (Chair), John H. Alschuler, Betsy Atkins and John S. Levy, each of whom is “independent” within the meaning of the rules of the NYSE. Our Nominating and Corporate Governance Committee’s primary purposes are to identify individuals qualified to fill vacancies or newly-created positions on the Board; to recommend to the Board the persons it should nominate for election as directors at annual meetings of the Company’s stockholders; to recommend directors to serve on all committees of the Board; and to develop and recommend to the Board governance principles applicable to the Company. Our Nominating and Corporate Governance Committee held one meeting during fiscal year 2017.</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Executive Committee</w:t>
      </w:r>
    </w:p>
    <w:p>
      <w:pPr>
        <w:spacing w:after="0" w:line="21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Subject to the supervision and oversight of the Board, our Executive Committee, which consists of Stephen L. Green (Chair), Marc Holliday and John H. Alschuler, is responsible for, among other things, the approval of our acquisition, disposition and financing of investments; the authorization of the execution of certain contracts and agreements, including those relating to our borrowing of money; and the exercise, in general, of all other powers of the Board, except for such powers that require action by all directors or the independent directors under our articles of incorporation or bylaws or under applicable law. Our Executive Committee did not hold any meetings and did not take any actions by written consent during fiscal year 2017, as all matters within its authority were approved by the Board.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1A1A1A"/>
        </w:rPr>
        <w:t xml:space="preserve">2018 Proxy Statement </w:t>
      </w:r>
      <w:r>
        <w:rPr>
          <w:rFonts w:ascii="Arial" w:cs="Arial" w:eastAsia="Arial" w:hAnsi="Arial"/>
          <w:sz w:val="18"/>
          <w:szCs w:val="18"/>
          <w:color w:val="345988"/>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Board Oversight of Strategy</w:t>
      </w:r>
    </w:p>
    <w:p>
      <w:pPr>
        <w:spacing w:after="0" w:line="2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One of the most important functions of the Board relates to its role in formulating and overseeing the execution of our business strategy. The Board actively participates with management in the formulation and refinement of our business strategy to help ensure that our strategic goals are thoughtfully constructed and well-articulated. To facilitate this process, the Board periodically meets with our management and external advisors in full day or multi-day retreats focused on long-term strategic planning. Additionally, on a more frequent basis, the Board receives updates from management regarding internal progress toward strategic goals and changes in market conditions and external strategic opportunities and challenges, which the Board uses to assist our management in refining its business strategy and reacting to particular opportunities or challenges that arise. While management is charged with executing strategy on a daily basis, the Board monitors and evaluates performance through these regular updates and by actively engaging in dialogues with our senior management team. Aspects of our business strategy are discussed at every meeting, and key elements of our strategy are embedded in the work performed by the committees of the Board. In addition to financial and operational performance, non-financial measures, including sustainability, social and governance goals, are discussed by the Board. The Board believes that, through these ongoing efforts, they are able to focus on our performance over the short, intermediate and long term to secure the continuing health and success of the business for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Stockholder Outreach</w:t>
      </w:r>
    </w:p>
    <w:p>
      <w:pPr>
        <w:spacing w:after="0" w:line="2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and our Lead Independent Director believe that engaging in stockholder outreach is an essential element of strong corporate governance. We strive for a collaborative approach to issues of importance to investors and continually seek to better understand the views of our investors on key topics affecting our business. In 2017 and 2018, our Lead Independent Director, the chairman of our Compensation Committee and members of our senior management team contacted many of our largest institutional investors, representing ownership of approximately 66% of our outstanding common stock. We held meetings, conducted calls and otherwise engaged with all of these investors who were interested in doing so, which ultimately included stockholders accounting for 58% of our shares outstanding. We then shared the feedback received during our outreach process with the Board and its committees to make meaningful changes to our corporate governance practices and launch new initiatives. As a result of our stockholder engagement efforts and our commitment to corporate governance, over the last few years we have undertaken the declassification of our Board, adopted a proxy access bylaw and implemented a majority voting standard for director election, as discussed in more detail below.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Declassified Board</w:t>
      </w:r>
    </w:p>
    <w:p>
      <w:pPr>
        <w:spacing w:after="0" w:line="21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We proposed to declassify our Board of Directors, which proposal was approved at our 2017 annual meeting of stockholders. We are phasing out board classes so that beginning with our 2018 annual meeting of stockholders, directors whose terms are expiring will be elected for one-year terms. By our 2020 annual meeting, our Board of Directors will be fully declassified.</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Proxy Access</w:t>
      </w:r>
    </w:p>
    <w:p>
      <w:pPr>
        <w:spacing w:after="0" w:line="214"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 March 2016, we adopted a proxy access bylaw, enabling our stockholders to include their own director nominees in our proxy materials along with candidates nominated by the Board, so long as stockholder-nominees meet certain requirements, as set forth in our bylaws. For more information on our proxy access bylaw, see the section entitled “Other Information—Other Matters—Stockholder Proposals and Nominations.”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Majority Voting Standard and Director Resignation Policy</w:t>
      </w:r>
    </w:p>
    <w:p>
      <w:pPr>
        <w:spacing w:after="0" w:line="214"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In March 2016, the Board implemented a majority voting standard for director elections. In an uncontested election (as is the case for this annual meeting), our bylaws provide that 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With respect to a contested election, a</w:t>
      </w:r>
    </w:p>
    <w:p>
      <w:pPr>
        <w:spacing w:after="0" w:line="147"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8"/>
          <w:szCs w:val="18"/>
          <w:color w:val="345988"/>
        </w:rPr>
      </w:pPr>
      <w:r>
        <w:rPr>
          <w:rFonts w:ascii="Arial" w:cs="Arial" w:eastAsia="Arial" w:hAnsi="Arial"/>
          <w:sz w:val="18"/>
          <w:szCs w:val="18"/>
          <w:color w:val="1A1A1A"/>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6140"/>
        <w:spacing w:after="0"/>
        <w:rPr>
          <w:sz w:val="20"/>
          <w:szCs w:val="20"/>
          <w:color w:val="auto"/>
        </w:rPr>
      </w:pPr>
      <w:r>
        <w:rPr>
          <w:rFonts w:ascii="Arial" w:cs="Arial" w:eastAsia="Arial" w:hAnsi="Arial"/>
          <w:sz w:val="16"/>
          <w:szCs w:val="16"/>
          <w:u w:val="single" w:color="auto"/>
          <w:color w:val="345988"/>
        </w:rPr>
        <w:t>OUR BOARD OF DIRECTORS AND CORPORATE GOVERNANCE</w:t>
      </w:r>
    </w:p>
    <w:p>
      <w:pPr>
        <w:spacing w:after="0" w:line="23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plurality of all of the votes cast is sufficient for the election of directors. For this purpose, a contested election is deemed to occur at any meeting of stockholders for which the Secretary determines that the number of nominees or proposed nominees exceeds the number of directors to be elected at such meeting as of the seventh day preceding the date the Company files its definitive proxy statement for such meeting with the Securities and Exchange Commission (regardless of whether or not thereafter revised or supplemented).</w:t>
      </w:r>
    </w:p>
    <w:p>
      <w:pPr>
        <w:spacing w:after="0" w:line="17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a nominee who currently is serving as a director receives a greater number of votes “against” his or her election than votes “for” such election in an uncontested election, Maryland law provides that the director would continue to serve on the Board as a “holdover director.” However, under our Governance Principles, any nominee for election as a director in an uncontested election who receives a greater number of votes “against” his or her election than votes “for” such election must,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18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Board will then take formal action on the recommendation no later than 90 days following the date of the stockholders’ meeting at which the election occurred.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Sustainability</w:t>
      </w:r>
    </w:p>
    <w:p>
      <w:pPr>
        <w:spacing w:after="0" w:line="214"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With executive-level participation on SL Green’s Sustainability Team and Board oversight of the program, environmental responsibility has top-down support and is a company-wide priority. Structured around the three key areas of efficiency, tenant experience and industry leadership, our sustainability program integrates market-leading initiatives to address energy usage, natural resource consumption, air quality, recycling, transportation and education. As New York City’s largest landlord, we take responsibility for implementing best practices, operating at the highest efficiency standards and strengthening our city’s resiliency.</w:t>
      </w:r>
    </w:p>
    <w:p>
      <w:pPr>
        <w:spacing w:after="0" w:line="183"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Our commitment toward efficiency is evidenced by the implementation of efficiency investments of $60 million and targeted sustainability programs across 100% of our New York City properties. By implementing cutting edge technologies and modernizing obsolete building systems, we continue to optimize building performance, reduce maintenance costs and provide tenants with a Class A experience. We have installed more than 35,000 LED bulbs, monitor energy consumption through a real-time energy platform and track our portfolio’s sustainability performance through a web based environmental management system. Currently, we are exploring the deployment of cogeneration, photovoltaic “solar” panels, fuel cells and steam reduction technologies to deploy resilient energy sources.</w:t>
      </w:r>
    </w:p>
    <w:p>
      <w:pPr>
        <w:spacing w:after="0" w:line="181"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Collaborative opportunities with tenants are integral to our sustainability strategy. Our mission to creating a greener footprint begins with the 10-year participation in the New York City Carbon Challenge, where we work with tenants to realize a 30 percent reduction in greenhouse gas emissions. We have partnered with Viacom at 1515 Broadway, Bloomberg at 919 Third Avenue and Sony at 11 Madison Avenue to make joint investments towards energy efficiency.</w:t>
      </w:r>
    </w:p>
    <w:p>
      <w:pPr>
        <w:spacing w:after="0" w:line="179"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Our industry leadership has been widely recognized. During 2015, 2016, 2017 and 2018, we were recognized by the United States Environmental Protection Agency as an ENERGY STAR Partner for our efforts to strategically manage and improve energy performance across our Manhattan and suburban portfolios. In addition to releasing a GRI report for the past 4 consecutive years, in 2017 and 2018 we have been awarded “REIT of the Year – Sustainability” by Real Estate &amp; Investment Finance and received an “A” Rating for ESG performance on the Global Real Estate Sustainability Benchmark’s (GRESB) Public Disclosure Report.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1A1A1A"/>
        </w:rPr>
        <w:t xml:space="preserve">2018 Proxy Statement </w:t>
      </w:r>
      <w:r>
        <w:rPr>
          <w:rFonts w:ascii="Arial" w:cs="Arial" w:eastAsia="Arial" w:hAnsi="Arial"/>
          <w:sz w:val="18"/>
          <w:szCs w:val="18"/>
          <w:color w:val="345988"/>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6606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606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720" w:right="1280"/>
        <w:spacing w:after="0" w:line="280" w:lineRule="auto"/>
        <w:rPr>
          <w:sz w:val="20"/>
          <w:szCs w:val="20"/>
          <w:color w:val="auto"/>
        </w:rPr>
      </w:pPr>
      <w:r>
        <w:rPr>
          <w:rFonts w:ascii="Arial" w:cs="Arial" w:eastAsia="Arial" w:hAnsi="Arial"/>
          <w:sz w:val="18"/>
          <w:szCs w:val="18"/>
          <w:b w:val="1"/>
          <w:bCs w:val="1"/>
          <w:color w:val="345988"/>
        </w:rPr>
        <w:t>The industry recognition garnered for our market-leading program is a testament to the sustainability commitment embodied by management and our Board.</w:t>
      </w:r>
    </w:p>
    <w:p>
      <w:pPr>
        <w:spacing w:after="0" w:line="137" w:lineRule="exact"/>
        <w:rPr>
          <w:sz w:val="20"/>
          <w:szCs w:val="20"/>
          <w:color w:val="auto"/>
        </w:rPr>
      </w:pPr>
    </w:p>
    <w:p>
      <w:pPr>
        <w:ind w:left="1720" w:right="2680"/>
        <w:spacing w:after="0" w:line="484" w:lineRule="auto"/>
        <w:rPr>
          <w:sz w:val="20"/>
          <w:szCs w:val="20"/>
          <w:color w:val="auto"/>
        </w:rPr>
      </w:pPr>
      <w:r>
        <w:rPr>
          <w:rFonts w:ascii="Arial" w:cs="Arial" w:eastAsia="Arial" w:hAnsi="Arial"/>
          <w:sz w:val="18"/>
          <w:szCs w:val="18"/>
          <w:b w:val="1"/>
          <w:bCs w:val="1"/>
          <w:color w:val="FFFFFF"/>
        </w:rPr>
        <w:t>REIT of the Year – Sustainability (2017 and 2018) – Real Estate &amp; Investment Finance 2017 Sustainability Award – Business Intelligence Group</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FFFFFF"/>
        </w:rPr>
        <w:t>Earth Award: 1515 Broadway – Building Owners and Managers Association (BOMA)</w:t>
      </w:r>
    </w:p>
    <w:p>
      <w:pPr>
        <w:spacing w:after="0" w:line="211" w:lineRule="exact"/>
        <w:rPr>
          <w:sz w:val="20"/>
          <w:szCs w:val="20"/>
          <w:color w:val="auto"/>
        </w:rPr>
      </w:pPr>
    </w:p>
    <w:p>
      <w:pPr>
        <w:ind w:left="1720" w:right="1560"/>
        <w:spacing w:after="0" w:line="280" w:lineRule="auto"/>
        <w:rPr>
          <w:sz w:val="20"/>
          <w:szCs w:val="20"/>
          <w:color w:val="auto"/>
        </w:rPr>
      </w:pPr>
      <w:r>
        <w:rPr>
          <w:rFonts w:ascii="Arial" w:cs="Arial" w:eastAsia="Arial" w:hAnsi="Arial"/>
          <w:sz w:val="18"/>
          <w:szCs w:val="18"/>
          <w:b w:val="1"/>
          <w:bCs w:val="1"/>
          <w:color w:val="FFFFFF"/>
        </w:rPr>
        <w:t>“A” Rating for ESG Performance – Global Real Estate Sustainability Benchmark’s (GRESB) Public Disclosure Report (2017)</w:t>
      </w:r>
    </w:p>
    <w:p>
      <w:pPr>
        <w:spacing w:after="0" w:line="13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FFFFFF"/>
        </w:rPr>
        <w:t>ENERGY STAR Partner (2015-2018) – United States Environmental Protection Agency</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FFFFFF"/>
        </w:rPr>
        <w:t>Sustainability Report (2013-2017) – GRI Adherence</w:t>
      </w:r>
    </w:p>
    <w:p>
      <w:pPr>
        <w:spacing w:after="0" w:line="211" w:lineRule="exact"/>
        <w:rPr>
          <w:sz w:val="20"/>
          <w:szCs w:val="20"/>
          <w:color w:val="auto"/>
        </w:rPr>
      </w:pPr>
    </w:p>
    <w:p>
      <w:pPr>
        <w:ind w:left="1720" w:right="2640"/>
        <w:spacing w:after="0" w:line="280" w:lineRule="auto"/>
        <w:rPr>
          <w:sz w:val="20"/>
          <w:szCs w:val="20"/>
          <w:color w:val="auto"/>
        </w:rPr>
      </w:pPr>
      <w:r>
        <w:rPr>
          <w:rFonts w:ascii="Arial" w:cs="Arial" w:eastAsia="Arial" w:hAnsi="Arial"/>
          <w:sz w:val="18"/>
          <w:szCs w:val="18"/>
          <w:b w:val="1"/>
          <w:bCs w:val="1"/>
          <w:color w:val="345988"/>
        </w:rPr>
        <w:t>Our sustainability strategy, achievements and reports are available on our website at http://www.slgreen.com/sustainability.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Risk Oversight</w:t>
      </w:r>
    </w:p>
    <w:p>
      <w:pPr>
        <w:spacing w:after="0" w:line="21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Board is responsible for overseeing the Company’s risk management process.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 In particular, the Board focuses on overseeing risks relating to the structure and amount of our debt, including overall aggregate principal balance, variable rate versus fixed rate debt, maturity schedules and balance of secured and unsecured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Board delegated to the Audit Committee oversight of the Company’s risk management process. Among its duties, the Audit Committee reviews with management (a) the Company policies with respect to risk assessment and management of risks that may be material to the Company, (b) the Company’s system of disclosure controls and system of internal controls over financial reporting and (c) the Company’s compliance with legal and regulatory requirements. The Audit Committee also is responsible for reviewing major legislative and regulatory developments that could have a material impact on the Company’s contingent liabilities and risks. Our other Board committees also consider and address risk as they perform their respective committee responsibilities. All committees report to the full Board as appropriate, including when a matter rises to the level of a material or enterprise level risk.</w:t>
      </w:r>
    </w:p>
    <w:p>
      <w:pPr>
        <w:spacing w:after="0" w:line="18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addition, our Compensation Committee considers the risks to the Company’s stockholders and to the achievement of our goals that may be inherent in the Company’s executive compensation program.</w:t>
      </w:r>
    </w:p>
    <w:p>
      <w:pPr>
        <w:spacing w:after="0" w:line="158"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17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believe the division of risk management responsibilities described above is an effective approach for addressing the risks facing the Company and that the Board leadership structure supports this approach.</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Governance Principles</w:t>
      </w:r>
    </w:p>
    <w:p>
      <w:pPr>
        <w:spacing w:after="0" w:line="21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Board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 Although there is no one-size-fits all approach to corporate governance, we believe that our Governance Principles are aligned with the expectations of our stockholders, including the Investor Stewardship Group (ISG) and the ISG Corporate Governance Principles.</w:t>
      </w:r>
    </w:p>
    <w:p>
      <w:pPr>
        <w:spacing w:after="0" w:line="183" w:lineRule="exact"/>
        <w:rPr>
          <w:sz w:val="20"/>
          <w:szCs w:val="20"/>
          <w:color w:val="auto"/>
        </w:rPr>
      </w:pPr>
    </w:p>
    <w:p>
      <w:pPr>
        <w:ind w:left="300" w:hanging="292"/>
        <w:spacing w:after="0"/>
        <w:tabs>
          <w:tab w:leader="none" w:pos="300" w:val="left"/>
        </w:tabs>
        <w:numPr>
          <w:ilvl w:val="0"/>
          <w:numId w:val="55"/>
        </w:numPr>
        <w:rPr>
          <w:rFonts w:ascii="Arial" w:cs="Arial" w:eastAsia="Arial" w:hAnsi="Arial"/>
          <w:sz w:val="18"/>
          <w:szCs w:val="18"/>
          <w:color w:val="345988"/>
        </w:rPr>
      </w:pPr>
      <w:r>
        <w:rPr>
          <w:rFonts w:ascii="Arial" w:cs="Arial" w:eastAsia="Arial" w:hAnsi="Arial"/>
          <w:sz w:val="18"/>
          <w:szCs w:val="18"/>
          <w:color w:val="1A1A1A"/>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Code of Ethics</w:t>
      </w:r>
    </w:p>
    <w:p>
      <w:pPr>
        <w:spacing w:after="0" w:line="21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Board adopted a Code of Ethics that applies to our directors, executive officers and employees. The Code of Ethics is designed to assist our directors, executive officers and employees in complying with the law and in resolving moral and ethical issues that may arise and in complying with our policies and procedures. Among the areas addressed by the Code of Ethics are compliance with applicable laws, conflicts of interest, use and protection of the Company’s assets, confidentiality, communications with the public, accounting matters, records retention, fair dealing, discrimination, harassment and health and safety. We intend to disclose on our corporate website any amendment to, or waiver of, any provisions of this Code applicable to our directors and executive officers that would otherwise be required to be disclosed under the rules of the SEC or the NYSE.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Whistleblowing and Whistleblower Protection Policy</w:t>
      </w:r>
    </w:p>
    <w:p>
      <w:pPr>
        <w:spacing w:after="0" w:line="21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Audit Committee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 of our Audit Committee, c/o Andrew S. Levine, Secretary, SL Green Realty Corp., 420 Lexington Avenue, New York, New York 10170-1881. Any such communications may be made anonymously.</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Directors of the Company who are also employees receive no additional compensation for their services as directors. The following table sets forth information regarding the compensation paid to our non-employee directors during the fiscal year ended December 31,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345988"/>
              </w:rPr>
              <w:t>Fees Earned or</w:t>
            </w:r>
          </w:p>
        </w:tc>
        <w:tc>
          <w:tcPr>
            <w:tcW w:w="2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45988"/>
              </w:rPr>
              <w:t>Stock</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45988"/>
              </w:rPr>
              <w:t>Option</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160" w:type="dxa"/>
            <w:vAlign w:val="bottom"/>
            <w:gridSpan w:val="3"/>
          </w:tcPr>
          <w:p>
            <w:pPr>
              <w:jc w:val="right"/>
              <w:ind w:right="140"/>
              <w:spacing w:after="0" w:line="180" w:lineRule="exact"/>
              <w:rPr>
                <w:sz w:val="20"/>
                <w:szCs w:val="20"/>
                <w:color w:val="auto"/>
              </w:rPr>
            </w:pPr>
            <w:r>
              <w:rPr>
                <w:rFonts w:ascii="Arial" w:cs="Arial" w:eastAsia="Arial" w:hAnsi="Arial"/>
                <w:sz w:val="12"/>
                <w:szCs w:val="12"/>
                <w:b w:val="1"/>
                <w:bCs w:val="1"/>
                <w:color w:val="345988"/>
              </w:rPr>
              <w:t>Paid in Cash</w:t>
            </w:r>
            <w:r>
              <w:rPr>
                <w:rFonts w:ascii="Arial" w:cs="Arial" w:eastAsia="Arial" w:hAnsi="Arial"/>
                <w:sz w:val="20"/>
                <w:szCs w:val="20"/>
                <w:b w:val="1"/>
                <w:bCs w:val="1"/>
                <w:color w:val="345988"/>
                <w:vertAlign w:val="superscript"/>
              </w:rPr>
              <w:t>(1)</w:t>
            </w:r>
          </w:p>
        </w:tc>
        <w:tc>
          <w:tcPr>
            <w:tcW w:w="220" w:type="dxa"/>
            <w:vAlign w:val="bottom"/>
          </w:tcPr>
          <w:p>
            <w:pPr>
              <w:spacing w:after="0"/>
              <w:rPr>
                <w:sz w:val="15"/>
                <w:szCs w:val="15"/>
                <w:color w:val="auto"/>
              </w:rPr>
            </w:pPr>
          </w:p>
        </w:tc>
        <w:tc>
          <w:tcPr>
            <w:tcW w:w="880" w:type="dxa"/>
            <w:vAlign w:val="bottom"/>
            <w:gridSpan w:val="2"/>
          </w:tcPr>
          <w:p>
            <w:pPr>
              <w:jc w:val="right"/>
              <w:ind w:right="120"/>
              <w:spacing w:after="0" w:line="180" w:lineRule="exact"/>
              <w:rPr>
                <w:sz w:val="20"/>
                <w:szCs w:val="20"/>
                <w:color w:val="auto"/>
              </w:rPr>
            </w:pPr>
            <w:r>
              <w:rPr>
                <w:rFonts w:ascii="Arial" w:cs="Arial" w:eastAsia="Arial" w:hAnsi="Arial"/>
                <w:sz w:val="12"/>
                <w:szCs w:val="12"/>
                <w:b w:val="1"/>
                <w:bCs w:val="1"/>
                <w:color w:val="345988"/>
              </w:rPr>
              <w:t>Awards</w:t>
            </w:r>
            <w:r>
              <w:rPr>
                <w:rFonts w:ascii="Arial" w:cs="Arial" w:eastAsia="Arial" w:hAnsi="Arial"/>
                <w:sz w:val="20"/>
                <w:szCs w:val="20"/>
                <w:b w:val="1"/>
                <w:bCs w:val="1"/>
                <w:color w:val="345988"/>
                <w:vertAlign w:val="superscript"/>
              </w:rPr>
              <w:t>(2)</w:t>
            </w:r>
          </w:p>
        </w:tc>
        <w:tc>
          <w:tcPr>
            <w:tcW w:w="760" w:type="dxa"/>
            <w:vAlign w:val="bottom"/>
            <w:gridSpan w:val="2"/>
          </w:tcPr>
          <w:p>
            <w:pPr>
              <w:jc w:val="right"/>
              <w:ind w:right="120"/>
              <w:spacing w:after="0" w:line="180" w:lineRule="exact"/>
              <w:rPr>
                <w:sz w:val="20"/>
                <w:szCs w:val="20"/>
                <w:color w:val="auto"/>
              </w:rPr>
            </w:pPr>
            <w:r>
              <w:rPr>
                <w:rFonts w:ascii="Arial" w:cs="Arial" w:eastAsia="Arial" w:hAnsi="Arial"/>
                <w:sz w:val="12"/>
                <w:szCs w:val="12"/>
                <w:b w:val="1"/>
                <w:bCs w:val="1"/>
                <w:color w:val="345988"/>
              </w:rPr>
              <w:t>Awards</w:t>
            </w:r>
            <w:r>
              <w:rPr>
                <w:rFonts w:ascii="Arial" w:cs="Arial" w:eastAsia="Arial" w:hAnsi="Arial"/>
                <w:sz w:val="20"/>
                <w:szCs w:val="20"/>
                <w:b w:val="1"/>
                <w:bCs w:val="1"/>
                <w:color w:val="345988"/>
                <w:vertAlign w:val="superscript"/>
              </w:rPr>
              <w:t>(3)</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345988"/>
              </w:rPr>
              <w:t>Total</w:t>
            </w:r>
          </w:p>
        </w:tc>
        <w:tc>
          <w:tcPr>
            <w:tcW w:w="0" w:type="dxa"/>
            <w:vAlign w:val="bottom"/>
          </w:tcPr>
          <w:p>
            <w:pPr>
              <w:spacing w:after="0"/>
              <w:rPr>
                <w:sz w:val="1"/>
                <w:szCs w:val="1"/>
                <w:color w:val="auto"/>
              </w:rPr>
            </w:pPr>
          </w:p>
        </w:tc>
      </w:tr>
      <w:tr>
        <w:trPr>
          <w:trHeight w:val="201"/>
        </w:trPr>
        <w:tc>
          <w:tcPr>
            <w:tcW w:w="74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345988"/>
              </w:rPr>
              <w:t>($)</w:t>
            </w:r>
          </w:p>
        </w:tc>
        <w:tc>
          <w:tcPr>
            <w:tcW w:w="2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45988"/>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0" w:type="dxa"/>
            <w:vAlign w:val="bottom"/>
          </w:tcPr>
          <w:p>
            <w:pPr>
              <w:spacing w:after="0"/>
              <w:rPr>
                <w:sz w:val="1"/>
                <w:szCs w:val="1"/>
                <w:color w:val="auto"/>
              </w:rPr>
            </w:pPr>
          </w:p>
        </w:tc>
      </w:tr>
      <w:tr>
        <w:trPr>
          <w:trHeight w:val="240"/>
        </w:trPr>
        <w:tc>
          <w:tcPr>
            <w:tcW w:w="728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auto"/>
              </w:rPr>
              <w:t>Edwin T. Burton, III</w:t>
            </w:r>
          </w:p>
        </w:tc>
        <w:tc>
          <w:tcPr>
            <w:tcW w:w="120" w:type="dxa"/>
            <w:vAlign w:val="bottom"/>
          </w:tcPr>
          <w:p>
            <w:pPr>
              <w:spacing w:after="0"/>
              <w:rPr>
                <w:sz w:val="20"/>
                <w:szCs w:val="20"/>
                <w:color w:val="auto"/>
              </w:rPr>
            </w:pPr>
          </w:p>
        </w:tc>
        <w:tc>
          <w:tcPr>
            <w:tcW w:w="240" w:type="dxa"/>
            <w:vAlign w:val="bottom"/>
            <w:tcBorders>
              <w:top w:val="single" w:sz="8" w:color="345988"/>
              <w:bottom w:val="single" w:sz="8" w:color="8590A9"/>
            </w:tcBorders>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104,000</w:t>
            </w:r>
          </w:p>
        </w:tc>
        <w:tc>
          <w:tcPr>
            <w:tcW w:w="140" w:type="dxa"/>
            <w:vAlign w:val="bottom"/>
          </w:tcPr>
          <w:p>
            <w:pPr>
              <w:spacing w:after="0"/>
              <w:rPr>
                <w:sz w:val="20"/>
                <w:szCs w:val="20"/>
                <w:color w:val="auto"/>
              </w:rPr>
            </w:pPr>
          </w:p>
        </w:tc>
        <w:tc>
          <w:tcPr>
            <w:tcW w:w="220" w:type="dxa"/>
            <w:vAlign w:val="bottom"/>
            <w:tcBorders>
              <w:top w:val="single" w:sz="8" w:color="345988"/>
              <w:bottom w:val="single" w:sz="8" w:color="8590A9"/>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6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345988"/>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404,000</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John H. Alschuler</w:t>
            </w:r>
          </w:p>
        </w:tc>
        <w:tc>
          <w:tcPr>
            <w:tcW w:w="120" w:type="dxa"/>
            <w:vAlign w:val="bottom"/>
          </w:tcPr>
          <w:p>
            <w:pPr>
              <w:spacing w:after="0"/>
              <w:rPr>
                <w:sz w:val="20"/>
                <w:szCs w:val="20"/>
                <w:color w:val="auto"/>
              </w:rPr>
            </w:pPr>
          </w:p>
        </w:tc>
        <w:tc>
          <w:tcPr>
            <w:tcW w:w="240" w:type="dxa"/>
            <w:vAlign w:val="bottom"/>
            <w:tcBorders>
              <w:bottom w:val="single" w:sz="8" w:color="8590A9"/>
            </w:tcBorders>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179,000</w:t>
            </w:r>
          </w:p>
        </w:tc>
        <w:tc>
          <w:tcPr>
            <w:tcW w:w="140" w:type="dxa"/>
            <w:vAlign w:val="bottom"/>
          </w:tcPr>
          <w:p>
            <w:pPr>
              <w:spacing w:after="0"/>
              <w:rPr>
                <w:sz w:val="20"/>
                <w:szCs w:val="20"/>
                <w:color w:val="auto"/>
              </w:rPr>
            </w:pPr>
          </w:p>
        </w:tc>
        <w:tc>
          <w:tcPr>
            <w:tcW w:w="220" w:type="dxa"/>
            <w:vAlign w:val="bottom"/>
            <w:tcBorders>
              <w:bottom w:val="single" w:sz="8" w:color="8590A9"/>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6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479,000</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John S. Levy</w:t>
            </w:r>
          </w:p>
        </w:tc>
        <w:tc>
          <w:tcPr>
            <w:tcW w:w="120" w:type="dxa"/>
            <w:vAlign w:val="bottom"/>
          </w:tcPr>
          <w:p>
            <w:pPr>
              <w:spacing w:after="0"/>
              <w:rPr>
                <w:sz w:val="20"/>
                <w:szCs w:val="20"/>
                <w:color w:val="auto"/>
              </w:rPr>
            </w:pPr>
          </w:p>
        </w:tc>
        <w:tc>
          <w:tcPr>
            <w:tcW w:w="240" w:type="dxa"/>
            <w:vAlign w:val="bottom"/>
            <w:tcBorders>
              <w:bottom w:val="single" w:sz="8" w:color="8590A9"/>
            </w:tcBorders>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70,500</w:t>
            </w:r>
          </w:p>
        </w:tc>
        <w:tc>
          <w:tcPr>
            <w:tcW w:w="140" w:type="dxa"/>
            <w:vAlign w:val="bottom"/>
          </w:tcPr>
          <w:p>
            <w:pPr>
              <w:spacing w:after="0"/>
              <w:rPr>
                <w:sz w:val="20"/>
                <w:szCs w:val="20"/>
                <w:color w:val="auto"/>
              </w:rPr>
            </w:pPr>
          </w:p>
        </w:tc>
        <w:tc>
          <w:tcPr>
            <w:tcW w:w="220" w:type="dxa"/>
            <w:vAlign w:val="bottom"/>
            <w:tcBorders>
              <w:bottom w:val="single" w:sz="8" w:color="8590A9"/>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6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370,500</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Craig M. Hatkoff</w:t>
            </w:r>
          </w:p>
        </w:tc>
        <w:tc>
          <w:tcPr>
            <w:tcW w:w="120" w:type="dxa"/>
            <w:vAlign w:val="bottom"/>
          </w:tcPr>
          <w:p>
            <w:pPr>
              <w:spacing w:after="0"/>
              <w:rPr>
                <w:sz w:val="20"/>
                <w:szCs w:val="20"/>
                <w:color w:val="auto"/>
              </w:rPr>
            </w:pPr>
          </w:p>
        </w:tc>
        <w:tc>
          <w:tcPr>
            <w:tcW w:w="240" w:type="dxa"/>
            <w:vAlign w:val="bottom"/>
            <w:tcBorders>
              <w:bottom w:val="single" w:sz="8" w:color="8590A9"/>
            </w:tcBorders>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77,500</w:t>
            </w:r>
          </w:p>
        </w:tc>
        <w:tc>
          <w:tcPr>
            <w:tcW w:w="140" w:type="dxa"/>
            <w:vAlign w:val="bottom"/>
          </w:tcPr>
          <w:p>
            <w:pPr>
              <w:spacing w:after="0"/>
              <w:rPr>
                <w:sz w:val="20"/>
                <w:szCs w:val="20"/>
                <w:color w:val="auto"/>
              </w:rPr>
            </w:pPr>
          </w:p>
        </w:tc>
        <w:tc>
          <w:tcPr>
            <w:tcW w:w="220" w:type="dxa"/>
            <w:vAlign w:val="bottom"/>
            <w:tcBorders>
              <w:bottom w:val="single" w:sz="8" w:color="8590A9"/>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6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377,500</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Betsy Atkins</w:t>
            </w:r>
          </w:p>
        </w:tc>
        <w:tc>
          <w:tcPr>
            <w:tcW w:w="120" w:type="dxa"/>
            <w:vAlign w:val="bottom"/>
          </w:tcPr>
          <w:p>
            <w:pPr>
              <w:spacing w:after="0"/>
              <w:rPr>
                <w:sz w:val="20"/>
                <w:szCs w:val="20"/>
                <w:color w:val="auto"/>
              </w:rPr>
            </w:pPr>
          </w:p>
        </w:tc>
        <w:tc>
          <w:tcPr>
            <w:tcW w:w="240" w:type="dxa"/>
            <w:vAlign w:val="bottom"/>
            <w:tcBorders>
              <w:bottom w:val="single" w:sz="8" w:color="8590A9"/>
            </w:tcBorders>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62,500</w:t>
            </w:r>
          </w:p>
        </w:tc>
        <w:tc>
          <w:tcPr>
            <w:tcW w:w="140" w:type="dxa"/>
            <w:vAlign w:val="bottom"/>
          </w:tcPr>
          <w:p>
            <w:pPr>
              <w:spacing w:after="0"/>
              <w:rPr>
                <w:sz w:val="20"/>
                <w:szCs w:val="20"/>
                <w:color w:val="auto"/>
              </w:rPr>
            </w:pPr>
          </w:p>
        </w:tc>
        <w:tc>
          <w:tcPr>
            <w:tcW w:w="220" w:type="dxa"/>
            <w:vAlign w:val="bottom"/>
            <w:tcBorders>
              <w:bottom w:val="single" w:sz="8" w:color="8590A9"/>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6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362,500</w:t>
            </w:r>
          </w:p>
        </w:tc>
        <w:tc>
          <w:tcPr>
            <w:tcW w:w="0" w:type="dxa"/>
            <w:vAlign w:val="bottom"/>
          </w:tcPr>
          <w:p>
            <w:pPr>
              <w:spacing w:after="0"/>
              <w:rPr>
                <w:sz w:val="1"/>
                <w:szCs w:val="1"/>
                <w:color w:val="auto"/>
              </w:rPr>
            </w:pPr>
          </w:p>
        </w:tc>
      </w:tr>
      <w:tr>
        <w:trPr>
          <w:trHeight w:val="246"/>
        </w:trPr>
        <w:tc>
          <w:tcPr>
            <w:tcW w:w="728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Lauren B. Dillard</w:t>
            </w:r>
          </w:p>
        </w:tc>
        <w:tc>
          <w:tcPr>
            <w:tcW w:w="120" w:type="dxa"/>
            <w:vAlign w:val="bottom"/>
          </w:tcPr>
          <w:p>
            <w:pPr>
              <w:spacing w:after="0"/>
              <w:rPr>
                <w:sz w:val="21"/>
                <w:szCs w:val="21"/>
                <w:color w:val="auto"/>
              </w:rPr>
            </w:pPr>
          </w:p>
        </w:tc>
        <w:tc>
          <w:tcPr>
            <w:tcW w:w="240" w:type="dxa"/>
            <w:vAlign w:val="bottom"/>
            <w:tcBorders>
              <w:bottom w:val="single" w:sz="8" w:color="345988"/>
            </w:tcBorders>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74,500</w:t>
            </w:r>
          </w:p>
        </w:tc>
        <w:tc>
          <w:tcPr>
            <w:tcW w:w="140" w:type="dxa"/>
            <w:vAlign w:val="bottom"/>
          </w:tcPr>
          <w:p>
            <w:pPr>
              <w:spacing w:after="0"/>
              <w:rPr>
                <w:sz w:val="21"/>
                <w:szCs w:val="21"/>
                <w:color w:val="auto"/>
              </w:rPr>
            </w:pPr>
          </w:p>
        </w:tc>
        <w:tc>
          <w:tcPr>
            <w:tcW w:w="220" w:type="dxa"/>
            <w:vAlign w:val="bottom"/>
            <w:tcBorders>
              <w:bottom w:val="single" w:sz="8" w:color="345988"/>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64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Borders>
              <w:bottom w:val="single" w:sz="8" w:color="345988"/>
            </w:tcBorders>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374,500</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60" w:right="60" w:hanging="352"/>
        <w:spacing w:after="0" w:line="250" w:lineRule="auto"/>
        <w:tabs>
          <w:tab w:leader="none" w:pos="3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Mr. Levy and Ms. Dillard deferred all of their 2017 cash compensation and Mr. Alschuler deferred $67,500 of his 2017 cash compensation pursuant to our Non-Employee Directors’ Deferral Program. Mr. Burton elected to receive all of his 2017 cash compensation and Mr. Hatkoff elected to receive $25,000 of his 2017 cash compensation in the form of shares of our common stock. Accordingly, our non-employee directors received the following shares of our common stock or phantom stock units with respect to the portion of their 2017 cash compensation that they elected to defer or receive in stock, as applicable: Mr. Burton received 986 shares, Mr. Alschuler received 636 units, Ms. Dillard received 707 units, Mr. Levy received 667 units and Mr. Hatkoff received 236 shares.</w:t>
      </w:r>
    </w:p>
    <w:p>
      <w:pPr>
        <w:spacing w:after="0" w:line="70" w:lineRule="exact"/>
        <w:rPr>
          <w:rFonts w:ascii="Arial" w:cs="Arial" w:eastAsia="Arial" w:hAnsi="Arial"/>
          <w:sz w:val="13"/>
          <w:szCs w:val="13"/>
          <w:color w:val="auto"/>
        </w:rPr>
      </w:pPr>
    </w:p>
    <w:p>
      <w:pPr>
        <w:ind w:left="360" w:right="180" w:hanging="352"/>
        <w:spacing w:after="0" w:line="286" w:lineRule="auto"/>
        <w:tabs>
          <w:tab w:leader="none" w:pos="3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Amounts shown reflect the full grant date fair value on the date of grant of shares of our common stock or phantom stock units granted to the directors in 2017, excluding shares of our common stock and phantom stock units credited in lieu of annual fees and meeting fees.</w:t>
      </w:r>
    </w:p>
    <w:p>
      <w:pPr>
        <w:spacing w:after="0" w:line="47" w:lineRule="exact"/>
        <w:rPr>
          <w:rFonts w:ascii="Arial" w:cs="Arial" w:eastAsia="Arial" w:hAnsi="Arial"/>
          <w:sz w:val="13"/>
          <w:szCs w:val="13"/>
          <w:color w:val="auto"/>
        </w:rPr>
      </w:pPr>
    </w:p>
    <w:p>
      <w:pPr>
        <w:ind w:left="360" w:right="420" w:hanging="352"/>
        <w:spacing w:after="0" w:line="286" w:lineRule="auto"/>
        <w:tabs>
          <w:tab w:leader="none" w:pos="3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There were no stock options granted to members of the Board in 2017. At December 31, 2017, the aggregate number of option awards held by our non-employee directors was as follows: Mr. Alschuler—14,500; and Mr. Levy—26,500.</w:t>
      </w:r>
    </w:p>
    <w:p>
      <w:pPr>
        <w:spacing w:after="0" w:line="154"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21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Only non-employee Directors are compensated for service on the Board. During the fiscal year ended December 31, 2017, the fees for non-employee Directors were: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540" w:type="dxa"/>
            <w:vAlign w:val="bottom"/>
            <w:gridSpan w:val="2"/>
          </w:tcPr>
          <w:p>
            <w:pPr>
              <w:spacing w:after="0"/>
              <w:rPr>
                <w:sz w:val="20"/>
                <w:szCs w:val="20"/>
                <w:color w:val="auto"/>
              </w:rPr>
            </w:pPr>
            <w:r>
              <w:rPr>
                <w:rFonts w:ascii="Arial" w:cs="Arial" w:eastAsia="Arial" w:hAnsi="Arial"/>
                <w:sz w:val="13"/>
                <w:szCs w:val="13"/>
                <w:b w:val="1"/>
                <w:bCs w:val="1"/>
                <w:color w:val="auto"/>
              </w:rPr>
              <w:t>Annual cash retainers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
        </w:trPr>
        <w:tc>
          <w:tcPr>
            <w:tcW w:w="105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r>
      <w:tr>
        <w:trPr>
          <w:trHeight w:val="240"/>
        </w:trPr>
        <w:tc>
          <w:tcPr>
            <w:tcW w:w="1040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auto"/>
              </w:rPr>
              <w:t>Cash retainer</w:t>
            </w:r>
          </w:p>
        </w:tc>
        <w:tc>
          <w:tcPr>
            <w:tcW w:w="140" w:type="dxa"/>
            <w:vAlign w:val="bottom"/>
          </w:tcPr>
          <w:p>
            <w:pPr>
              <w:spacing w:after="0"/>
              <w:rPr>
                <w:sz w:val="20"/>
                <w:szCs w:val="20"/>
                <w:color w:val="auto"/>
              </w:rPr>
            </w:pPr>
          </w:p>
        </w:tc>
        <w:tc>
          <w:tcPr>
            <w:tcW w:w="160" w:type="dxa"/>
            <w:vAlign w:val="bottom"/>
            <w:tcBorders>
              <w:top w:val="single" w:sz="8" w:color="345988"/>
              <w:bottom w:val="single" w:sz="8" w:color="8590A9"/>
            </w:tcBorders>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0"/>
                <w:szCs w:val="20"/>
                <w:color w:val="auto"/>
              </w:rPr>
            </w:pPr>
          </w:p>
        </w:tc>
      </w:tr>
      <w:tr>
        <w:trPr>
          <w:trHeight w:val="236"/>
        </w:trPr>
        <w:tc>
          <w:tcPr>
            <w:tcW w:w="104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Additional cash retainer if serving as the Lead Independent Director</w:t>
            </w:r>
          </w:p>
        </w:tc>
        <w:tc>
          <w:tcPr>
            <w:tcW w:w="140" w:type="dxa"/>
            <w:vAlign w:val="bottom"/>
          </w:tcPr>
          <w:p>
            <w:pPr>
              <w:spacing w:after="0"/>
              <w:rPr>
                <w:sz w:val="20"/>
                <w:szCs w:val="20"/>
                <w:color w:val="auto"/>
              </w:rPr>
            </w:pPr>
          </w:p>
        </w:tc>
        <w:tc>
          <w:tcPr>
            <w:tcW w:w="160" w:type="dxa"/>
            <w:vAlign w:val="bottom"/>
            <w:tcBorders>
              <w:bottom w:val="single" w:sz="8" w:color="8590A9"/>
            </w:tcBorders>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85,000</w:t>
            </w:r>
          </w:p>
        </w:tc>
        <w:tc>
          <w:tcPr>
            <w:tcW w:w="20" w:type="dxa"/>
            <w:vAlign w:val="bottom"/>
          </w:tcPr>
          <w:p>
            <w:pPr>
              <w:spacing w:after="0"/>
              <w:rPr>
                <w:sz w:val="20"/>
                <w:szCs w:val="20"/>
                <w:color w:val="auto"/>
              </w:rPr>
            </w:pPr>
          </w:p>
        </w:tc>
      </w:tr>
      <w:tr>
        <w:trPr>
          <w:trHeight w:val="236"/>
        </w:trPr>
        <w:tc>
          <w:tcPr>
            <w:tcW w:w="104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Additional cash retainer if serving as a chair of the Audit Committee</w:t>
            </w:r>
          </w:p>
        </w:tc>
        <w:tc>
          <w:tcPr>
            <w:tcW w:w="140" w:type="dxa"/>
            <w:vAlign w:val="bottom"/>
          </w:tcPr>
          <w:p>
            <w:pPr>
              <w:spacing w:after="0"/>
              <w:rPr>
                <w:sz w:val="20"/>
                <w:szCs w:val="20"/>
                <w:color w:val="auto"/>
              </w:rPr>
            </w:pPr>
          </w:p>
        </w:tc>
        <w:tc>
          <w:tcPr>
            <w:tcW w:w="160" w:type="dxa"/>
            <w:vAlign w:val="bottom"/>
            <w:tcBorders>
              <w:bottom w:val="single" w:sz="8" w:color="8590A9"/>
            </w:tcBorders>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20"/>
                <w:szCs w:val="20"/>
                <w:color w:val="auto"/>
              </w:rPr>
            </w:pPr>
          </w:p>
        </w:tc>
      </w:tr>
      <w:tr>
        <w:trPr>
          <w:trHeight w:val="236"/>
        </w:trPr>
        <w:tc>
          <w:tcPr>
            <w:tcW w:w="104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Additional cash retainer if serving as a chair of the Compensation Committee</w:t>
            </w:r>
          </w:p>
        </w:tc>
        <w:tc>
          <w:tcPr>
            <w:tcW w:w="140" w:type="dxa"/>
            <w:vAlign w:val="bottom"/>
          </w:tcPr>
          <w:p>
            <w:pPr>
              <w:spacing w:after="0"/>
              <w:rPr>
                <w:sz w:val="20"/>
                <w:szCs w:val="20"/>
                <w:color w:val="auto"/>
              </w:rPr>
            </w:pPr>
          </w:p>
        </w:tc>
        <w:tc>
          <w:tcPr>
            <w:tcW w:w="160" w:type="dxa"/>
            <w:vAlign w:val="bottom"/>
            <w:tcBorders>
              <w:bottom w:val="single" w:sz="8" w:color="8590A9"/>
            </w:tcBorders>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20"/>
                <w:szCs w:val="20"/>
                <w:color w:val="auto"/>
              </w:rPr>
            </w:pPr>
          </w:p>
        </w:tc>
      </w:tr>
      <w:tr>
        <w:trPr>
          <w:trHeight w:val="236"/>
        </w:trPr>
        <w:tc>
          <w:tcPr>
            <w:tcW w:w="104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Additional cash retainer if serving as a chair of the Corporate Governance Committee</w:t>
            </w:r>
          </w:p>
        </w:tc>
        <w:tc>
          <w:tcPr>
            <w:tcW w:w="140" w:type="dxa"/>
            <w:vAlign w:val="bottom"/>
          </w:tcPr>
          <w:p>
            <w:pPr>
              <w:spacing w:after="0"/>
              <w:rPr>
                <w:sz w:val="20"/>
                <w:szCs w:val="20"/>
                <w:color w:val="auto"/>
              </w:rPr>
            </w:pPr>
          </w:p>
        </w:tc>
        <w:tc>
          <w:tcPr>
            <w:tcW w:w="160" w:type="dxa"/>
            <w:vAlign w:val="bottom"/>
            <w:tcBorders>
              <w:bottom w:val="single" w:sz="8" w:color="8590A9"/>
            </w:tcBorders>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0"/>
                <w:szCs w:val="20"/>
                <w:color w:val="auto"/>
              </w:rPr>
            </w:pPr>
          </w:p>
        </w:tc>
      </w:tr>
      <w:tr>
        <w:trPr>
          <w:trHeight w:val="208"/>
        </w:trPr>
        <w:tc>
          <w:tcPr>
            <w:tcW w:w="10540" w:type="dxa"/>
            <w:vAlign w:val="bottom"/>
            <w:gridSpan w:val="2"/>
          </w:tcPr>
          <w:p>
            <w:pPr>
              <w:spacing w:after="0"/>
              <w:rPr>
                <w:sz w:val="20"/>
                <w:szCs w:val="20"/>
                <w:color w:val="auto"/>
              </w:rPr>
            </w:pPr>
            <w:r>
              <w:rPr>
                <w:rFonts w:ascii="Arial" w:cs="Arial" w:eastAsia="Arial" w:hAnsi="Arial"/>
                <w:sz w:val="13"/>
                <w:szCs w:val="13"/>
                <w:b w:val="1"/>
                <w:bCs w:val="1"/>
                <w:color w:val="auto"/>
              </w:rPr>
              <w:t>Meeting fees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
        </w:trPr>
        <w:tc>
          <w:tcPr>
            <w:tcW w:w="10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3"/>
        </w:trPr>
        <w:tc>
          <w:tcPr>
            <w:tcW w:w="1040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color w:val="auto"/>
              </w:rPr>
              <w:t>For each meeting of the Board or a committee of the Board</w:t>
            </w:r>
          </w:p>
        </w:tc>
        <w:tc>
          <w:tcPr>
            <w:tcW w:w="140" w:type="dxa"/>
            <w:vAlign w:val="bottom"/>
          </w:tcPr>
          <w:p>
            <w:pPr>
              <w:spacing w:after="0"/>
              <w:rPr>
                <w:sz w:val="20"/>
                <w:szCs w:val="20"/>
                <w:color w:val="auto"/>
              </w:rPr>
            </w:pPr>
          </w:p>
        </w:tc>
        <w:tc>
          <w:tcPr>
            <w:tcW w:w="160" w:type="dxa"/>
            <w:vAlign w:val="bottom"/>
            <w:tcBorders>
              <w:top w:val="single" w:sz="8" w:color="8590A9"/>
              <w:bottom w:val="single" w:sz="8" w:color="8590A9"/>
            </w:tcBorders>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20"/>
                <w:szCs w:val="20"/>
                <w:color w:val="auto"/>
              </w:rPr>
            </w:pPr>
          </w:p>
        </w:tc>
      </w:tr>
      <w:tr>
        <w:trPr>
          <w:trHeight w:val="236"/>
        </w:trPr>
        <w:tc>
          <w:tcPr>
            <w:tcW w:w="104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For each special meeting of the Audit Committee held independently of Board meetings</w:t>
            </w:r>
          </w:p>
        </w:tc>
        <w:tc>
          <w:tcPr>
            <w:tcW w:w="140" w:type="dxa"/>
            <w:vAlign w:val="bottom"/>
          </w:tcPr>
          <w:p>
            <w:pPr>
              <w:spacing w:after="0"/>
              <w:rPr>
                <w:sz w:val="20"/>
                <w:szCs w:val="20"/>
                <w:color w:val="auto"/>
              </w:rPr>
            </w:pPr>
          </w:p>
        </w:tc>
        <w:tc>
          <w:tcPr>
            <w:tcW w:w="160" w:type="dxa"/>
            <w:vAlign w:val="bottom"/>
            <w:tcBorders>
              <w:bottom w:val="single" w:sz="8" w:color="8590A9"/>
            </w:tcBorders>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20"/>
                <w:szCs w:val="20"/>
                <w:color w:val="auto"/>
              </w:rPr>
            </w:pPr>
          </w:p>
        </w:tc>
      </w:tr>
      <w:tr>
        <w:trPr>
          <w:trHeight w:val="208"/>
        </w:trPr>
        <w:tc>
          <w:tcPr>
            <w:tcW w:w="10540" w:type="dxa"/>
            <w:vAlign w:val="bottom"/>
            <w:gridSpan w:val="2"/>
          </w:tcPr>
          <w:p>
            <w:pPr>
              <w:spacing w:after="0"/>
              <w:rPr>
                <w:sz w:val="20"/>
                <w:szCs w:val="20"/>
                <w:color w:val="auto"/>
              </w:rPr>
            </w:pPr>
            <w:r>
              <w:rPr>
                <w:rFonts w:ascii="Arial" w:cs="Arial" w:eastAsia="Arial" w:hAnsi="Arial"/>
                <w:sz w:val="13"/>
                <w:szCs w:val="13"/>
                <w:b w:val="1"/>
                <w:bCs w:val="1"/>
                <w:color w:val="auto"/>
              </w:rPr>
              <w:t>Stock grant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
        </w:trPr>
        <w:tc>
          <w:tcPr>
            <w:tcW w:w="10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0400" w:type="dxa"/>
            <w:vAlign w:val="bottom"/>
            <w:tcBorders>
              <w:top w:val="single" w:sz="8" w:color="8590A9"/>
              <w:bottom w:val="single" w:sz="8" w:color="345988"/>
            </w:tcBorders>
          </w:tcPr>
          <w:p>
            <w:pPr>
              <w:spacing w:after="0"/>
              <w:rPr>
                <w:sz w:val="20"/>
                <w:szCs w:val="20"/>
                <w:color w:val="auto"/>
              </w:rPr>
            </w:pPr>
            <w:r>
              <w:rPr>
                <w:rFonts w:ascii="Arial" w:cs="Arial" w:eastAsia="Arial" w:hAnsi="Arial"/>
                <w:sz w:val="18"/>
                <w:szCs w:val="18"/>
                <w:color w:val="auto"/>
              </w:rPr>
              <w:t>Valued at the grant date with shares fully vested on such grant date.</w:t>
            </w:r>
          </w:p>
        </w:tc>
        <w:tc>
          <w:tcPr>
            <w:tcW w:w="140" w:type="dxa"/>
            <w:vAlign w:val="bottom"/>
          </w:tcPr>
          <w:p>
            <w:pPr>
              <w:spacing w:after="0"/>
              <w:rPr>
                <w:sz w:val="21"/>
                <w:szCs w:val="21"/>
                <w:color w:val="auto"/>
              </w:rPr>
            </w:pPr>
          </w:p>
        </w:tc>
        <w:tc>
          <w:tcPr>
            <w:tcW w:w="160" w:type="dxa"/>
            <w:vAlign w:val="bottom"/>
            <w:tcBorders>
              <w:top w:val="single" w:sz="8" w:color="8590A9"/>
              <w:bottom w:val="single" w:sz="8" w:color="345988"/>
            </w:tcBorders>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8590A9"/>
              <w:bottom w:val="single" w:sz="8" w:color="345988"/>
            </w:tcBorders>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21"/>
                <w:szCs w:val="21"/>
                <w:color w:val="auto"/>
              </w:rPr>
            </w:pPr>
          </w:p>
        </w:tc>
      </w:tr>
    </w:tbl>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annual fees and meeting fees generally are payable quarterly in cash. Each director may elect to receive some or all of these fees in stock and, as noted below, may elect to defer some or all of these fees.</w:t>
      </w:r>
    </w:p>
    <w:p>
      <w:pPr>
        <w:spacing w:after="0" w:line="15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Under our Non-Employee Directors’ Deferral Program, our non-employee directors were entitled to elect to defer up to 100% of their annual fees, meeting fees and annual stock grant. At each director’s election, cash fees deferred under the program could be credited in the form of either phantom stock units, account credits that accrue earnings or losses based on the 30-day LIBOR rate at the beginning of each month plus 2% (or based on such other rate or the performance of such investments as may be determined in advance by the Board) or measurement fund credits that track the performance of one or more open-ended mutual funds selected by the director. Stock grants deferred under the program are credited in the form of phantom stock units.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 the applicable mutual fund on the date the cash fees otherwise would have been paid or the date of the conversion, as applicable. Unless otherwise elected by a director, a director’s phantom stock units, account credits and measurement fund</w:t>
      </w:r>
    </w:p>
    <w:p>
      <w:pPr>
        <w:spacing w:after="0" w:line="3" w:lineRule="exact"/>
        <w:rPr>
          <w:sz w:val="20"/>
          <w:szCs w:val="20"/>
          <w:color w:val="auto"/>
        </w:rPr>
      </w:pPr>
    </w:p>
    <w:p>
      <w:pPr>
        <w:ind w:right="160"/>
        <w:spacing w:after="0" w:line="222" w:lineRule="auto"/>
        <w:rPr>
          <w:sz w:val="20"/>
          <w:szCs w:val="20"/>
          <w:color w:val="auto"/>
        </w:rPr>
      </w:pPr>
      <w:r>
        <w:rPr>
          <w:rFonts w:ascii="Arial" w:cs="Arial" w:eastAsia="Arial" w:hAnsi="Arial"/>
          <w:sz w:val="18"/>
          <w:szCs w:val="18"/>
          <w:color w:val="auto"/>
        </w:rPr>
        <w:t>credits are payable on the earlier of the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p>
    <w:p>
      <w:pPr>
        <w:spacing w:after="0" w:line="18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For the fiscal year ending 2017, we increased the annual cash retainer for serving as chair of our Audit Committee from $10,000 to $25,000, but otherwise retained the same director compensation arrangements that were in place for 2016.</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Going forward, we will reduce the value of the annual stock grant from $300,000 to $250,000 and reduce the cash retainer paid for serving as our Lead Independent Director from $85,000 to $70,000.</w:t>
      </w:r>
    </w:p>
    <w:p>
      <w:pPr>
        <w:spacing w:after="0" w:line="158"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biographical information regarding our executive officers who are not also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410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4108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p>
      <w:pPr>
        <w:spacing w:after="0" w:line="287" w:lineRule="exact"/>
        <w:rPr>
          <w:sz w:val="20"/>
          <w:szCs w:val="20"/>
          <w:color w:val="auto"/>
        </w:rPr>
      </w:pPr>
    </w:p>
    <w:p>
      <w:pPr>
        <w:jc w:val="right"/>
        <w:ind w:left="60"/>
        <w:spacing w:after="0" w:line="331" w:lineRule="auto"/>
        <w:rPr>
          <w:sz w:val="20"/>
          <w:szCs w:val="20"/>
          <w:color w:val="auto"/>
        </w:rPr>
      </w:pPr>
      <w:r>
        <w:rPr>
          <w:rFonts w:ascii="Arial" w:cs="Arial" w:eastAsia="Arial" w:hAnsi="Arial"/>
          <w:sz w:val="20"/>
          <w:szCs w:val="20"/>
          <w:b w:val="1"/>
          <w:bCs w:val="1"/>
          <w:color w:val="325889"/>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812800" cy="10864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2800" cy="108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43</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color w:val="auto"/>
        </w:rPr>
        <w:t>Executive Officer Since:</w:t>
      </w:r>
    </w:p>
    <w:p>
      <w:pPr>
        <w:spacing w:after="0"/>
        <w:rPr>
          <w:sz w:val="20"/>
          <w:szCs w:val="20"/>
          <w:color w:val="auto"/>
        </w:rPr>
      </w:pPr>
      <w:r>
        <w:rPr>
          <w:rFonts w:ascii="Arial" w:cs="Arial" w:eastAsia="Arial" w:hAnsi="Arial"/>
          <w:sz w:val="18"/>
          <w:szCs w:val="18"/>
          <w:color w:val="auto"/>
        </w:rPr>
        <w:t>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81280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28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Chief Financial Officer</w:t>
      </w:r>
    </w:p>
    <w:p>
      <w:pPr>
        <w:spacing w:after="0" w:line="27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color w:val="auto"/>
        </w:rPr>
        <w:t xml:space="preserve">Matthew J. DiLiberto </w:t>
      </w:r>
      <w:r>
        <w:rPr>
          <w:rFonts w:ascii="Arial" w:cs="Arial" w:eastAsia="Arial" w:hAnsi="Arial"/>
          <w:sz w:val="18"/>
          <w:szCs w:val="18"/>
          <w:color w:val="auto"/>
        </w:rPr>
        <w:t>joined the Company in September 2004 and currently serves as the Company’s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overseeing the finance, accounting, tax, investor relations and corporate capital markets functions of the organization. Mr. DiLiberto previously served as the Company’s Chief Accounting Officer &amp; Treasurer from 2007 to 2014. 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 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 level management reports and SEC filings. Prior to joining Vornado Realty Trust, Mr. DiLiberto worked as a Business Assurance Associate at Coopers and Lybrand, LLP (now PricewaterhouseCoopers LLP). Mr. DiLiberto currently serves on the National Association of Real Estate Investment Trust’s Best Financial Practices Council and is a member of the Board of Directors of the FDNY Foundation. Mr. DiLiberto received a B.S. degree in Accounting from The University of Scranton.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440690</wp:posOffset>
            </wp:positionV>
            <wp:extent cx="6365875" cy="410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65875" cy="410845"/>
                    </a:xfrm>
                    <a:prstGeom prst="rect">
                      <a:avLst/>
                    </a:prstGeom>
                    <a:noFill/>
                  </pic:spPr>
                </pic:pic>
              </a:graphicData>
            </a:graphic>
          </wp:anchor>
        </w:drawing>
      </w:r>
    </w:p>
    <w:p>
      <w:pPr>
        <w:spacing w:after="0" w:line="529" w:lineRule="exact"/>
        <w:rPr>
          <w:sz w:val="20"/>
          <w:szCs w:val="20"/>
          <w:color w:val="auto"/>
        </w:rPr>
      </w:pPr>
    </w:p>
    <w:p>
      <w:pPr>
        <w:sectPr>
          <w:pgSz w:w="11900" w:h="16838" w:orient="portrait"/>
          <w:cols w:equalWidth="0" w:num="2">
            <w:col w:w="1160" w:space="240"/>
            <w:col w:w="10020"/>
          </w:cols>
          <w:pgMar w:left="240" w:top="119" w:right="239" w:bottom="1440" w:gutter="0" w:footer="0" w:header="0"/>
          <w:type w:val="continuous"/>
        </w:sectPr>
      </w:pPr>
    </w:p>
    <w:p>
      <w:pPr>
        <w:ind w:left="100"/>
        <w:spacing w:after="0"/>
        <w:tabs>
          <w:tab w:leader="none" w:pos="1440" w:val="left"/>
        </w:tabs>
        <w:rPr>
          <w:sz w:val="20"/>
          <w:szCs w:val="20"/>
          <w:color w:val="auto"/>
        </w:rPr>
      </w:pPr>
      <w:r>
        <w:rPr>
          <w:rFonts w:ascii="Arial" w:cs="Arial" w:eastAsia="Arial" w:hAnsi="Arial"/>
          <w:sz w:val="43"/>
          <w:szCs w:val="43"/>
          <w:b w:val="1"/>
          <w:bCs w:val="1"/>
          <w:color w:val="325889"/>
          <w:vertAlign w:val="superscript"/>
        </w:rPr>
        <w:t>Andrew S.</w:t>
      </w:r>
      <w:r>
        <w:rPr>
          <w:sz w:val="20"/>
          <w:szCs w:val="20"/>
          <w:color w:val="auto"/>
        </w:rPr>
        <w:tab/>
      </w:r>
      <w:r>
        <w:rPr>
          <w:rFonts w:ascii="Arial" w:cs="Arial" w:eastAsia="Arial" w:hAnsi="Arial"/>
          <w:sz w:val="16"/>
          <w:szCs w:val="16"/>
          <w:b w:val="1"/>
          <w:bCs w:val="1"/>
          <w:color w:val="auto"/>
        </w:rPr>
        <w:t>Chief Legal Officer</w:t>
      </w:r>
    </w:p>
    <w:p>
      <w:pPr>
        <w:ind w:left="300"/>
        <w:spacing w:after="0"/>
        <w:rPr>
          <w:sz w:val="20"/>
          <w:szCs w:val="20"/>
          <w:color w:val="auto"/>
        </w:rPr>
      </w:pPr>
      <w:r>
        <w:rPr>
          <w:rFonts w:ascii="Arial" w:cs="Arial" w:eastAsia="Arial" w:hAnsi="Arial"/>
          <w:sz w:val="22"/>
          <w:szCs w:val="22"/>
          <w:b w:val="1"/>
          <w:bCs w:val="1"/>
          <w:color w:val="325889"/>
        </w:rPr>
        <w:t>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812800" cy="1189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2800" cy="1189355"/>
                    </a:xfrm>
                    <a:prstGeom prst="rect">
                      <a:avLst/>
                    </a:prstGeom>
                    <a:noFill/>
                  </pic:spPr>
                </pic:pic>
              </a:graphicData>
            </a:graphic>
          </wp:anchor>
        </w:drawing>
      </w:r>
    </w:p>
    <w:p>
      <w:pPr>
        <w:spacing w:after="0" w:line="90" w:lineRule="exact"/>
        <w:rPr>
          <w:sz w:val="20"/>
          <w:szCs w:val="20"/>
          <w:color w:val="auto"/>
        </w:rPr>
      </w:pPr>
    </w:p>
    <w:p>
      <w:pPr>
        <w:ind w:left="1400" w:right="60"/>
        <w:spacing w:after="0" w:line="241" w:lineRule="auto"/>
        <w:rPr>
          <w:sz w:val="20"/>
          <w:szCs w:val="20"/>
          <w:color w:val="auto"/>
        </w:rPr>
      </w:pPr>
      <w:r>
        <w:rPr>
          <w:rFonts w:ascii="Arial" w:cs="Arial" w:eastAsia="Arial" w:hAnsi="Arial"/>
          <w:sz w:val="18"/>
          <w:szCs w:val="18"/>
          <w:b w:val="1"/>
          <w:bCs w:val="1"/>
          <w:color w:val="auto"/>
        </w:rPr>
        <w:t xml:space="preserve">Andrew S. Levine </w:t>
      </w:r>
      <w:r>
        <w:rPr>
          <w:rFonts w:ascii="Arial" w:cs="Arial" w:eastAsia="Arial" w:hAnsi="Arial"/>
          <w:sz w:val="18"/>
          <w:szCs w:val="18"/>
          <w:color w:val="auto"/>
        </w:rPr>
        <w:t>has served as our Chief Legal Officer since April 2007 and as our General Counsel, Executive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Secretary since November 2000. Prior to joining the Company, Mr. Levine was a partner in the REIT and Real Estate Transactions and Business groups at the law firm of Pryor, Cashman, Sherman &amp; Flynn, LLP. Prior to joining Pryor, Cashman, Sherman &amp; Flynn, LLP, Mr. Levine was a partner at the law firm of Dreyer &amp; Traub. Mr. Levine received a B.A. degree from the University of Vermont and a J.D. degree from Rutgers School of Law, where Mr. Levine was an Editor of the Law Review. He currently serves as a member of the Advisory Board of Rutgers Center for Corporate Law and Governance.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Since:</w:t>
      </w:r>
    </w:p>
    <w:p>
      <w:pPr>
        <w:spacing w:after="0"/>
        <w:rPr>
          <w:sz w:val="20"/>
          <w:szCs w:val="20"/>
          <w:color w:val="auto"/>
        </w:rPr>
      </w:pPr>
      <w:r>
        <w:rPr>
          <w:rFonts w:ascii="Arial" w:cs="Arial" w:eastAsia="Arial" w:hAnsi="Arial"/>
          <w:sz w:val="18"/>
          <w:szCs w:val="18"/>
          <w:color w:val="auto"/>
        </w:rPr>
        <w:t>April 2007</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2018 Proxy Statement </w:t>
      </w:r>
      <w:r>
        <w:rPr>
          <w:rFonts w:ascii="Arial" w:cs="Arial" w:eastAsia="Arial" w:hAnsi="Arial"/>
          <w:sz w:val="18"/>
          <w:szCs w:val="18"/>
          <w:color w:val="325889"/>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4157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4157980"/>
                    </a:xfrm>
                    <a:prstGeom prst="rect">
                      <a:avLst/>
                    </a:prstGeom>
                    <a:noFill/>
                  </pic:spPr>
                </pic:pic>
              </a:graphicData>
            </a:graphic>
          </wp:anchor>
        </w:drawing>
      </w:r>
    </w:p>
    <w:p>
      <w:pPr>
        <w:spacing w:after="0" w:line="390"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auto"/>
        </w:rPr>
        <w:t>Proposal 2: Advisory Vote on the Compensation of our Named Executive Officers</w:t>
      </w:r>
    </w:p>
    <w:p>
      <w:pPr>
        <w:spacing w:after="0" w:line="292" w:lineRule="exact"/>
        <w:rPr>
          <w:sz w:val="20"/>
          <w:szCs w:val="20"/>
          <w:color w:val="auto"/>
        </w:rPr>
      </w:pPr>
    </w:p>
    <w:p>
      <w:pPr>
        <w:jc w:val="both"/>
        <w:ind w:left="180" w:right="160"/>
        <w:spacing w:after="0" w:line="245" w:lineRule="auto"/>
        <w:rPr>
          <w:sz w:val="20"/>
          <w:szCs w:val="20"/>
          <w:color w:val="auto"/>
        </w:rPr>
      </w:pPr>
      <w:r>
        <w:rPr>
          <w:rFonts w:ascii="Arial" w:cs="Arial" w:eastAsia="Arial" w:hAnsi="Arial"/>
          <w:sz w:val="18"/>
          <w:szCs w:val="18"/>
          <w:color w:val="auto"/>
        </w:rPr>
        <w:t>Section 14A(a)(1) of the Exchange Act generally requires each public company to include in its proxy statement a separate resolution subject to a non-binding stockholder vote to approve the compensation of the company’s named executive officers, as disclosed in its proxy statement pursuant to Item 402 of Regulation S-K, not less frequently than once every three years. This is commonly known as, and is referred to herein as, a “say-on-pay” proposal or resolution.</w:t>
      </w:r>
    </w:p>
    <w:p>
      <w:pPr>
        <w:spacing w:after="0" w:line="179" w:lineRule="exact"/>
        <w:rPr>
          <w:sz w:val="20"/>
          <w:szCs w:val="20"/>
          <w:color w:val="auto"/>
        </w:rPr>
      </w:pPr>
    </w:p>
    <w:p>
      <w:pPr>
        <w:ind w:left="180" w:right="160"/>
        <w:spacing w:after="0" w:line="242" w:lineRule="auto"/>
        <w:rPr>
          <w:sz w:val="20"/>
          <w:szCs w:val="20"/>
          <w:color w:val="auto"/>
        </w:rPr>
      </w:pPr>
      <w:r>
        <w:rPr>
          <w:rFonts w:ascii="Arial" w:cs="Arial" w:eastAsia="Arial" w:hAnsi="Arial"/>
          <w:sz w:val="18"/>
          <w:szCs w:val="18"/>
          <w:color w:val="auto"/>
        </w:rPr>
        <w:t>At our 2017 annual stockholder meeting, our stockholders advised on a non-binding basis, by an affirmative vote of a majority of all votes cast, that the Company should hold non-binding advisory votes on executive compensation on an annual basis. On June 1, 2017,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no later than the Company’s annual meeting of stockholders in 2023.</w:t>
      </w:r>
    </w:p>
    <w:p>
      <w:pPr>
        <w:spacing w:after="0" w:line="183" w:lineRule="exact"/>
        <w:rPr>
          <w:sz w:val="20"/>
          <w:szCs w:val="20"/>
          <w:color w:val="auto"/>
        </w:rPr>
      </w:pPr>
    </w:p>
    <w:p>
      <w:pPr>
        <w:ind w:left="180" w:right="420"/>
        <w:spacing w:after="0" w:line="268" w:lineRule="auto"/>
        <w:rPr>
          <w:sz w:val="20"/>
          <w:szCs w:val="20"/>
          <w:color w:val="auto"/>
        </w:rPr>
      </w:pPr>
      <w:r>
        <w:rPr>
          <w:rFonts w:ascii="Arial" w:cs="Arial" w:eastAsia="Arial" w:hAnsi="Arial"/>
          <w:sz w:val="18"/>
          <w:szCs w:val="18"/>
          <w:color w:val="auto"/>
        </w:rPr>
        <w:t>Accordingly, pursuant to Section 14A(a)(1) of the Exchange Act, the Company is providing stockholders with the opportunity to approve the following non-binding, advisory resolution:</w:t>
      </w:r>
    </w:p>
    <w:p>
      <w:pPr>
        <w:spacing w:after="0" w:line="158" w:lineRule="exact"/>
        <w:rPr>
          <w:sz w:val="20"/>
          <w:szCs w:val="20"/>
          <w:color w:val="auto"/>
        </w:rPr>
      </w:pPr>
    </w:p>
    <w:p>
      <w:pPr>
        <w:ind w:left="180" w:right="400"/>
        <w:spacing w:after="0" w:line="251"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Item 402 of Regulation S-K, including the Compensation Discussion and Analysis, compensation tables and narrative discussion, is hereby APPROVED.”</w:t>
      </w:r>
    </w:p>
    <w:p>
      <w:pPr>
        <w:spacing w:after="0" w:line="294" w:lineRule="exact"/>
        <w:rPr>
          <w:sz w:val="20"/>
          <w:szCs w:val="20"/>
          <w:color w:val="auto"/>
        </w:rPr>
      </w:pPr>
    </w:p>
    <w:p>
      <w:pPr>
        <w:jc w:val="center"/>
        <w:ind w:left="300" w:right="580"/>
        <w:spacing w:after="0" w:line="251" w:lineRule="auto"/>
        <w:rPr>
          <w:sz w:val="20"/>
          <w:szCs w:val="20"/>
          <w:color w:val="auto"/>
        </w:rPr>
      </w:pPr>
      <w:r>
        <w:rPr>
          <w:rFonts w:ascii="Arial" w:cs="Arial" w:eastAsia="Arial" w:hAnsi="Arial"/>
          <w:sz w:val="20"/>
          <w:szCs w:val="20"/>
          <w:b w:val="1"/>
          <w:bCs w:val="1"/>
          <w:color w:val="345988"/>
        </w:rPr>
        <w:t xml:space="preserve">The Board unanimously recommends a vote </w:t>
      </w:r>
      <w:r>
        <w:rPr>
          <w:rFonts w:ascii="Arial" w:cs="Arial" w:eastAsia="Arial" w:hAnsi="Arial"/>
          <w:sz w:val="20"/>
          <w:szCs w:val="20"/>
          <w:b w:val="1"/>
          <w:bCs w:val="1"/>
          <w:color w:val="000000"/>
        </w:rPr>
        <w:t>“FOR”</w:t>
      </w:r>
      <w:r>
        <w:rPr>
          <w:rFonts w:ascii="Arial" w:cs="Arial" w:eastAsia="Arial" w:hAnsi="Arial"/>
          <w:sz w:val="20"/>
          <w:szCs w:val="20"/>
          <w:b w:val="1"/>
          <w:bCs w:val="1"/>
          <w:color w:val="345988"/>
        </w:rPr>
        <w:t xml:space="preserve"> the above resolution regarding the compensation of our named executive officers, as disclosed in the Compensation Discussion and Analysis section and the accompanying compensation tables in this Proxy Statement.</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affirmative vote of a majority of all the votes cast with respect to this proposal will be required to approve this proposal.</w:t>
      </w:r>
    </w:p>
    <w:p>
      <w:pPr>
        <w:spacing w:after="0" w:line="211" w:lineRule="exact"/>
        <w:rPr>
          <w:sz w:val="20"/>
          <w:szCs w:val="20"/>
          <w:color w:val="auto"/>
        </w:rPr>
      </w:pPr>
    </w:p>
    <w:p>
      <w:pPr>
        <w:jc w:val="both"/>
        <w:ind w:left="180" w:right="400"/>
        <w:spacing w:after="0" w:line="332" w:lineRule="auto"/>
        <w:rPr>
          <w:sz w:val="20"/>
          <w:szCs w:val="20"/>
          <w:color w:val="auto"/>
        </w:rPr>
      </w:pPr>
      <w:r>
        <w:rPr>
          <w:rFonts w:ascii="Arial" w:cs="Arial" w:eastAsia="Arial" w:hAnsi="Arial"/>
          <w:sz w:val="16"/>
          <w:szCs w:val="16"/>
          <w:color w:val="auto"/>
        </w:rPr>
        <w:t>The results of this advisory vote are not binding on the Compensation Committee, the Company or the Board. Nevertheless, we value input from our stockholders and will consider carefully the results of this vote when making future decisions concerning executive compensation.</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Submitted by our Compensation Committee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Lauren B. Dillard (Chair)</w:t>
      </w:r>
    </w:p>
    <w:p>
      <w:pPr>
        <w:spacing w:after="0" w:line="234" w:lineRule="auto"/>
        <w:rPr>
          <w:sz w:val="20"/>
          <w:szCs w:val="20"/>
          <w:color w:val="auto"/>
        </w:rPr>
      </w:pPr>
      <w:r>
        <w:rPr>
          <w:rFonts w:ascii="Arial" w:cs="Arial" w:eastAsia="Arial" w:hAnsi="Arial"/>
          <w:sz w:val="18"/>
          <w:szCs w:val="18"/>
          <w:color w:val="auto"/>
        </w:rPr>
        <w:t>John H. Alschuler</w:t>
      </w:r>
    </w:p>
    <w:p>
      <w:pPr>
        <w:spacing w:after="0" w:line="234" w:lineRule="auto"/>
        <w:rPr>
          <w:sz w:val="20"/>
          <w:szCs w:val="20"/>
          <w:color w:val="auto"/>
        </w:rPr>
      </w:pPr>
      <w:r>
        <w:rPr>
          <w:rFonts w:ascii="Arial" w:cs="Arial" w:eastAsia="Arial" w:hAnsi="Arial"/>
          <w:sz w:val="18"/>
          <w:szCs w:val="18"/>
          <w:color w:val="auto"/>
        </w:rPr>
        <w:t>Edwin Thomas Burton, III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John S. Levy</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p>
    <w:p>
      <w:pPr>
        <w:spacing w:after="0" w:line="17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Throughout this proxy statement, the individuals who served as our Chief Executive Officer and Chief Financial Officer during our 2017 fiscal year, as well as the other individuals included in the “Summary Compensation Table” are referred to as the “named executive officers” or our “executives.”</w:t>
      </w:r>
    </w:p>
    <w:p>
      <w:pPr>
        <w:spacing w:after="0" w:line="172" w:lineRule="exact"/>
        <w:rPr>
          <w:sz w:val="20"/>
          <w:szCs w:val="20"/>
          <w:color w:val="auto"/>
        </w:rPr>
      </w:pPr>
    </w:p>
    <w:p>
      <w:pPr>
        <w:ind w:left="300" w:hanging="292"/>
        <w:spacing w:after="0"/>
        <w:tabs>
          <w:tab w:leader="none" w:pos="300" w:val="left"/>
        </w:tabs>
        <w:numPr>
          <w:ilvl w:val="0"/>
          <w:numId w:val="58"/>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60"/>
          </w:cols>
          <w:pgMar w:left="240" w:top="1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Executive Summary</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5391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539115"/>
                    </a:xfrm>
                    <a:prstGeom prst="rect">
                      <a:avLst/>
                    </a:prstGeom>
                    <a:noFill/>
                  </pic:spPr>
                </pic:pic>
              </a:graphicData>
            </a:graphic>
          </wp:anchor>
        </w:drawing>
      </w:r>
    </w:p>
    <w:p>
      <w:pPr>
        <w:spacing w:after="0" w:line="3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We are a fully integrated REIT focused on maximizing total return to stockholders through strategically acquiring,</w:t>
      </w:r>
    </w:p>
    <w:p>
      <w:pPr>
        <w:spacing w:after="0" w:line="17" w:lineRule="exact"/>
        <w:rPr>
          <w:sz w:val="20"/>
          <w:szCs w:val="20"/>
          <w:color w:val="auto"/>
        </w:rPr>
      </w:pPr>
    </w:p>
    <w:p>
      <w:pPr>
        <w:ind w:left="1840" w:right="500" w:hanging="1475"/>
        <w:spacing w:after="0" w:line="243" w:lineRule="auto"/>
        <w:tabs>
          <w:tab w:leader="none" w:pos="1820" w:val="left"/>
        </w:tabs>
        <w:rPr>
          <w:sz w:val="20"/>
          <w:szCs w:val="20"/>
          <w:color w:val="auto"/>
        </w:rPr>
      </w:pPr>
      <w:r>
        <w:rPr>
          <w:rFonts w:ascii="Arial" w:cs="Arial" w:eastAsia="Arial" w:hAnsi="Arial"/>
          <w:sz w:val="18"/>
          <w:szCs w:val="18"/>
          <w:b w:val="1"/>
          <w:bCs w:val="1"/>
          <w:color w:val="FFFFFF"/>
        </w:rPr>
        <w:t>Our Mission</w:t>
      </w:r>
      <w:r>
        <w:rPr>
          <w:sz w:val="20"/>
          <w:szCs w:val="20"/>
          <w:color w:val="auto"/>
        </w:rPr>
        <w:tab/>
      </w:r>
      <w:r>
        <w:rPr>
          <w:rFonts w:ascii="Arial" w:cs="Arial" w:eastAsia="Arial" w:hAnsi="Arial"/>
          <w:sz w:val="18"/>
          <w:szCs w:val="18"/>
          <w:color w:val="auto"/>
        </w:rPr>
        <w:t>redeveloping, repositioning and managing commercial properties, located primarily in Manhattan, in order to generate cash flow and create value.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740" w:type="dxa"/>
            <w:vAlign w:val="bottom"/>
            <w:tcBorders>
              <w:top w:val="single" w:sz="8" w:color="345988"/>
            </w:tcBorders>
            <w:vMerge w:val="restart"/>
            <w:shd w:val="clear" w:color="auto" w:fill="345988"/>
          </w:tcPr>
          <w:p>
            <w:pPr>
              <w:ind w:left="360"/>
              <w:spacing w:after="0"/>
              <w:rPr>
                <w:sz w:val="20"/>
                <w:szCs w:val="20"/>
                <w:color w:val="auto"/>
              </w:rPr>
            </w:pPr>
            <w:r>
              <w:rPr>
                <w:rFonts w:ascii="Arial" w:cs="Arial" w:eastAsia="Arial" w:hAnsi="Arial"/>
                <w:sz w:val="18"/>
                <w:szCs w:val="18"/>
                <w:b w:val="1"/>
                <w:bCs w:val="1"/>
                <w:color w:val="FFFFFF"/>
              </w:rPr>
              <w:t>Who We Are</w:t>
            </w:r>
          </w:p>
        </w:tc>
        <w:tc>
          <w:tcPr>
            <w:tcW w:w="2620" w:type="dxa"/>
            <w:vAlign w:val="bottom"/>
            <w:tcBorders>
              <w:top w:val="single" w:sz="8" w:color="345988"/>
              <w:right w:val="single" w:sz="8" w:color="345988"/>
            </w:tcBorders>
          </w:tcPr>
          <w:p>
            <w:pPr>
              <w:jc w:val="center"/>
              <w:spacing w:after="0"/>
              <w:rPr>
                <w:sz w:val="20"/>
                <w:szCs w:val="20"/>
                <w:color w:val="auto"/>
              </w:rPr>
            </w:pPr>
            <w:r>
              <w:rPr>
                <w:rFonts w:ascii="Arial" w:cs="Arial" w:eastAsia="Arial" w:hAnsi="Arial"/>
                <w:sz w:val="18"/>
                <w:szCs w:val="18"/>
                <w:b w:val="1"/>
                <w:bCs w:val="1"/>
                <w:color w:val="auto"/>
                <w:w w:val="97"/>
              </w:rPr>
              <w:t>$1.8 Billion in Combined</w:t>
            </w:r>
          </w:p>
        </w:tc>
        <w:tc>
          <w:tcPr>
            <w:tcW w:w="2520" w:type="dxa"/>
            <w:vAlign w:val="bottom"/>
            <w:tcBorders>
              <w:top w:val="single" w:sz="8" w:color="345988"/>
              <w:right w:val="single" w:sz="8" w:color="345988"/>
            </w:tcBorders>
          </w:tcPr>
          <w:p>
            <w:pPr>
              <w:jc w:val="center"/>
              <w:spacing w:after="0"/>
              <w:rPr>
                <w:sz w:val="20"/>
                <w:szCs w:val="20"/>
                <w:color w:val="auto"/>
              </w:rPr>
            </w:pPr>
            <w:r>
              <w:rPr>
                <w:rFonts w:ascii="Arial" w:cs="Arial" w:eastAsia="Arial" w:hAnsi="Arial"/>
                <w:sz w:val="18"/>
                <w:szCs w:val="18"/>
                <w:b w:val="1"/>
                <w:bCs w:val="1"/>
                <w:color w:val="auto"/>
                <w:w w:val="96"/>
              </w:rPr>
              <w:t>#1 Owner of Office</w:t>
            </w:r>
          </w:p>
        </w:tc>
        <w:tc>
          <w:tcPr>
            <w:tcW w:w="2400" w:type="dxa"/>
            <w:vAlign w:val="bottom"/>
            <w:tcBorders>
              <w:top w:val="single" w:sz="8" w:color="345988"/>
              <w:right w:val="single" w:sz="8" w:color="345988"/>
            </w:tcBorders>
          </w:tcPr>
          <w:p>
            <w:pPr>
              <w:jc w:val="center"/>
              <w:spacing w:after="0"/>
              <w:rPr>
                <w:sz w:val="20"/>
                <w:szCs w:val="20"/>
                <w:color w:val="auto"/>
              </w:rPr>
            </w:pPr>
            <w:r>
              <w:rPr>
                <w:rFonts w:ascii="Arial" w:cs="Arial" w:eastAsia="Arial" w:hAnsi="Arial"/>
                <w:sz w:val="18"/>
                <w:szCs w:val="18"/>
                <w:b w:val="1"/>
                <w:bCs w:val="1"/>
                <w:color w:val="auto"/>
                <w:w w:val="96"/>
              </w:rPr>
              <w:t>53.7 Million</w:t>
            </w:r>
          </w:p>
        </w:tc>
        <w:tc>
          <w:tcPr>
            <w:tcW w:w="2140" w:type="dxa"/>
            <w:vAlign w:val="bottom"/>
            <w:tcBorders>
              <w:top w:val="single" w:sz="8" w:color="345988"/>
              <w:right w:val="single" w:sz="8" w:color="345988"/>
            </w:tcBorders>
          </w:tcPr>
          <w:p>
            <w:pPr>
              <w:jc w:val="center"/>
              <w:spacing w:after="0"/>
              <w:rPr>
                <w:sz w:val="20"/>
                <w:szCs w:val="20"/>
                <w:color w:val="auto"/>
              </w:rPr>
            </w:pPr>
            <w:r>
              <w:rPr>
                <w:rFonts w:ascii="Arial" w:cs="Arial" w:eastAsia="Arial" w:hAnsi="Arial"/>
                <w:sz w:val="18"/>
                <w:szCs w:val="18"/>
                <w:b w:val="1"/>
                <w:bCs w:val="1"/>
                <w:color w:val="auto"/>
                <w:w w:val="97"/>
              </w:rPr>
              <w:t>$20.4 Billion</w:t>
            </w:r>
          </w:p>
        </w:tc>
        <w:tc>
          <w:tcPr>
            <w:tcW w:w="0" w:type="dxa"/>
            <w:vAlign w:val="bottom"/>
          </w:tcPr>
          <w:p>
            <w:pPr>
              <w:spacing w:after="0"/>
              <w:rPr>
                <w:sz w:val="1"/>
                <w:szCs w:val="1"/>
                <w:color w:val="auto"/>
              </w:rPr>
            </w:pPr>
          </w:p>
        </w:tc>
      </w:tr>
      <w:tr>
        <w:trPr>
          <w:trHeight w:val="139"/>
        </w:trPr>
        <w:tc>
          <w:tcPr>
            <w:tcW w:w="1740" w:type="dxa"/>
            <w:vAlign w:val="bottom"/>
            <w:vMerge w:val="continue"/>
            <w:shd w:val="clear" w:color="auto" w:fill="345988"/>
          </w:tcPr>
          <w:p>
            <w:pPr>
              <w:spacing w:after="0"/>
              <w:rPr>
                <w:sz w:val="12"/>
                <w:szCs w:val="12"/>
                <w:color w:val="auto"/>
              </w:rPr>
            </w:pPr>
          </w:p>
        </w:tc>
        <w:tc>
          <w:tcPr>
            <w:tcW w:w="2620" w:type="dxa"/>
            <w:vAlign w:val="bottom"/>
            <w:tcBorders>
              <w:right w:val="single" w:sz="8" w:color="345988"/>
            </w:tcBorders>
            <w:vMerge w:val="restart"/>
          </w:tcPr>
          <w:p>
            <w:pPr>
              <w:jc w:val="center"/>
              <w:spacing w:after="0"/>
              <w:rPr>
                <w:sz w:val="20"/>
                <w:szCs w:val="20"/>
                <w:color w:val="auto"/>
              </w:rPr>
            </w:pPr>
            <w:r>
              <w:rPr>
                <w:rFonts w:ascii="Arial" w:cs="Arial" w:eastAsia="Arial" w:hAnsi="Arial"/>
                <w:sz w:val="18"/>
                <w:szCs w:val="18"/>
                <w:b w:val="1"/>
                <w:bCs w:val="1"/>
                <w:color w:val="auto"/>
                <w:w w:val="98"/>
              </w:rPr>
              <w:t>Revenues</w:t>
            </w:r>
          </w:p>
        </w:tc>
        <w:tc>
          <w:tcPr>
            <w:tcW w:w="2520" w:type="dxa"/>
            <w:vAlign w:val="bottom"/>
            <w:tcBorders>
              <w:right w:val="single" w:sz="8" w:color="345988"/>
            </w:tcBorders>
            <w:vMerge w:val="restart"/>
          </w:tcPr>
          <w:p>
            <w:pPr>
              <w:jc w:val="center"/>
              <w:spacing w:after="0"/>
              <w:rPr>
                <w:sz w:val="20"/>
                <w:szCs w:val="20"/>
                <w:color w:val="auto"/>
              </w:rPr>
            </w:pPr>
            <w:r>
              <w:rPr>
                <w:rFonts w:ascii="Arial" w:cs="Arial" w:eastAsia="Arial" w:hAnsi="Arial"/>
                <w:sz w:val="18"/>
                <w:szCs w:val="18"/>
                <w:b w:val="1"/>
                <w:bCs w:val="1"/>
                <w:color w:val="auto"/>
                <w:w w:val="97"/>
              </w:rPr>
              <w:t>Property in Manhattan</w:t>
            </w:r>
          </w:p>
        </w:tc>
        <w:tc>
          <w:tcPr>
            <w:tcW w:w="2400" w:type="dxa"/>
            <w:vAlign w:val="bottom"/>
            <w:tcBorders>
              <w:right w:val="single" w:sz="8" w:color="345988"/>
            </w:tcBorders>
            <w:vMerge w:val="restart"/>
          </w:tcPr>
          <w:p>
            <w:pPr>
              <w:jc w:val="center"/>
              <w:spacing w:after="0"/>
              <w:rPr>
                <w:sz w:val="20"/>
                <w:szCs w:val="20"/>
                <w:color w:val="auto"/>
              </w:rPr>
            </w:pPr>
            <w:r>
              <w:rPr>
                <w:rFonts w:ascii="Arial" w:cs="Arial" w:eastAsia="Arial" w:hAnsi="Arial"/>
                <w:sz w:val="18"/>
                <w:szCs w:val="18"/>
                <w:b w:val="1"/>
                <w:bCs w:val="1"/>
                <w:color w:val="auto"/>
                <w:w w:val="96"/>
              </w:rPr>
              <w:t>Total Square Feet</w:t>
            </w:r>
          </w:p>
        </w:tc>
        <w:tc>
          <w:tcPr>
            <w:tcW w:w="2140" w:type="dxa"/>
            <w:vAlign w:val="bottom"/>
            <w:tcBorders>
              <w:right w:val="single" w:sz="8" w:color="345988"/>
            </w:tcBorders>
            <w:vMerge w:val="restart"/>
          </w:tcPr>
          <w:p>
            <w:pPr>
              <w:jc w:val="center"/>
              <w:spacing w:after="0"/>
              <w:rPr>
                <w:sz w:val="20"/>
                <w:szCs w:val="20"/>
                <w:color w:val="auto"/>
              </w:rPr>
            </w:pPr>
            <w:r>
              <w:rPr>
                <w:rFonts w:ascii="Arial" w:cs="Arial" w:eastAsia="Arial" w:hAnsi="Arial"/>
                <w:sz w:val="18"/>
                <w:szCs w:val="18"/>
                <w:b w:val="1"/>
                <w:bCs w:val="1"/>
                <w:color w:val="auto"/>
                <w:w w:val="97"/>
              </w:rPr>
              <w:t>Enterprise Value</w:t>
            </w:r>
          </w:p>
        </w:tc>
        <w:tc>
          <w:tcPr>
            <w:tcW w:w="0" w:type="dxa"/>
            <w:vAlign w:val="bottom"/>
          </w:tcPr>
          <w:p>
            <w:pPr>
              <w:spacing w:after="0"/>
              <w:rPr>
                <w:sz w:val="1"/>
                <w:szCs w:val="1"/>
                <w:color w:val="auto"/>
              </w:rPr>
            </w:pPr>
          </w:p>
        </w:tc>
      </w:tr>
      <w:tr>
        <w:trPr>
          <w:trHeight w:val="108"/>
        </w:trPr>
        <w:tc>
          <w:tcPr>
            <w:tcW w:w="1740" w:type="dxa"/>
            <w:vAlign w:val="bottom"/>
            <w:shd w:val="clear" w:color="auto" w:fill="345988"/>
          </w:tcPr>
          <w:p>
            <w:pPr>
              <w:spacing w:after="0"/>
              <w:rPr>
                <w:sz w:val="9"/>
                <w:szCs w:val="9"/>
                <w:color w:val="auto"/>
              </w:rPr>
            </w:pPr>
          </w:p>
        </w:tc>
        <w:tc>
          <w:tcPr>
            <w:tcW w:w="2620" w:type="dxa"/>
            <w:vAlign w:val="bottom"/>
            <w:tcBorders>
              <w:right w:val="single" w:sz="8" w:color="345988"/>
            </w:tcBorders>
            <w:vMerge w:val="continue"/>
          </w:tcPr>
          <w:p>
            <w:pPr>
              <w:spacing w:after="0"/>
              <w:rPr>
                <w:sz w:val="9"/>
                <w:szCs w:val="9"/>
                <w:color w:val="auto"/>
              </w:rPr>
            </w:pPr>
          </w:p>
        </w:tc>
        <w:tc>
          <w:tcPr>
            <w:tcW w:w="2520" w:type="dxa"/>
            <w:vAlign w:val="bottom"/>
            <w:tcBorders>
              <w:right w:val="single" w:sz="8" w:color="345988"/>
            </w:tcBorders>
            <w:vMerge w:val="continue"/>
          </w:tcPr>
          <w:p>
            <w:pPr>
              <w:spacing w:after="0"/>
              <w:rPr>
                <w:sz w:val="9"/>
                <w:szCs w:val="9"/>
                <w:color w:val="auto"/>
              </w:rPr>
            </w:pPr>
          </w:p>
        </w:tc>
        <w:tc>
          <w:tcPr>
            <w:tcW w:w="2400" w:type="dxa"/>
            <w:vAlign w:val="bottom"/>
            <w:tcBorders>
              <w:right w:val="single" w:sz="8" w:color="345988"/>
            </w:tcBorders>
            <w:vMerge w:val="continue"/>
          </w:tcPr>
          <w:p>
            <w:pPr>
              <w:spacing w:after="0"/>
              <w:rPr>
                <w:sz w:val="9"/>
                <w:szCs w:val="9"/>
                <w:color w:val="auto"/>
              </w:rPr>
            </w:pPr>
          </w:p>
        </w:tc>
        <w:tc>
          <w:tcPr>
            <w:tcW w:w="2140" w:type="dxa"/>
            <w:vAlign w:val="bottom"/>
            <w:tcBorders>
              <w:right w:val="single" w:sz="8" w:color="34598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740" w:type="dxa"/>
            <w:vAlign w:val="bottom"/>
            <w:tcBorders>
              <w:bottom w:val="single" w:sz="8" w:color="345988"/>
            </w:tcBorders>
            <w:shd w:val="clear" w:color="auto" w:fill="345988"/>
          </w:tcPr>
          <w:p>
            <w:pPr>
              <w:spacing w:after="0"/>
              <w:rPr>
                <w:sz w:val="7"/>
                <w:szCs w:val="7"/>
                <w:color w:val="auto"/>
              </w:rPr>
            </w:pPr>
          </w:p>
        </w:tc>
        <w:tc>
          <w:tcPr>
            <w:tcW w:w="2620" w:type="dxa"/>
            <w:vAlign w:val="bottom"/>
            <w:tcBorders>
              <w:bottom w:val="single" w:sz="8" w:color="345988"/>
              <w:right w:val="single" w:sz="8" w:color="345988"/>
            </w:tcBorders>
          </w:tcPr>
          <w:p>
            <w:pPr>
              <w:spacing w:after="0"/>
              <w:rPr>
                <w:sz w:val="7"/>
                <w:szCs w:val="7"/>
                <w:color w:val="auto"/>
              </w:rPr>
            </w:pPr>
          </w:p>
        </w:tc>
        <w:tc>
          <w:tcPr>
            <w:tcW w:w="2520" w:type="dxa"/>
            <w:vAlign w:val="bottom"/>
            <w:tcBorders>
              <w:bottom w:val="single" w:sz="8" w:color="345988"/>
              <w:right w:val="single" w:sz="8" w:color="345988"/>
            </w:tcBorders>
          </w:tcPr>
          <w:p>
            <w:pPr>
              <w:spacing w:after="0"/>
              <w:rPr>
                <w:sz w:val="7"/>
                <w:szCs w:val="7"/>
                <w:color w:val="auto"/>
              </w:rPr>
            </w:pPr>
          </w:p>
        </w:tc>
        <w:tc>
          <w:tcPr>
            <w:tcW w:w="2400" w:type="dxa"/>
            <w:vAlign w:val="bottom"/>
            <w:tcBorders>
              <w:bottom w:val="single" w:sz="8" w:color="345988"/>
              <w:right w:val="single" w:sz="8" w:color="345988"/>
            </w:tcBorders>
          </w:tcPr>
          <w:p>
            <w:pPr>
              <w:spacing w:after="0"/>
              <w:rPr>
                <w:sz w:val="7"/>
                <w:szCs w:val="7"/>
                <w:color w:val="auto"/>
              </w:rPr>
            </w:pPr>
          </w:p>
        </w:tc>
        <w:tc>
          <w:tcPr>
            <w:tcW w:w="2140" w:type="dxa"/>
            <w:vAlign w:val="bottom"/>
            <w:tcBorders>
              <w:bottom w:val="single" w:sz="8" w:color="345988"/>
              <w:right w:val="single" w:sz="8" w:color="345988"/>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are differentiated from our peers and competitors in three key ways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139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1399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and Engaged Business Strategy</w:t>
      </w:r>
    </w:p>
    <w:p>
      <w:pPr>
        <w:spacing w:after="0" w:line="132" w:lineRule="exact"/>
        <w:rPr>
          <w:sz w:val="20"/>
          <w:szCs w:val="20"/>
          <w:color w:val="auto"/>
        </w:rPr>
      </w:pPr>
    </w:p>
    <w:p>
      <w:pPr>
        <w:ind w:left="420" w:hanging="269"/>
        <w:spacing w:after="0"/>
        <w:tabs>
          <w:tab w:leader="none" w:pos="420" w:val="left"/>
        </w:tabs>
        <w:numPr>
          <w:ilvl w:val="0"/>
          <w:numId w:val="59"/>
        </w:numPr>
        <w:rPr>
          <w:rFonts w:ascii="Arial" w:cs="Arial" w:eastAsia="Arial" w:hAnsi="Arial"/>
          <w:sz w:val="18"/>
          <w:szCs w:val="18"/>
          <w:color w:val="345988"/>
        </w:rPr>
      </w:pPr>
      <w:r>
        <w:rPr>
          <w:rFonts w:ascii="Arial" w:cs="Arial" w:eastAsia="Arial" w:hAnsi="Arial"/>
          <w:sz w:val="18"/>
          <w:szCs w:val="18"/>
          <w:color w:val="auto"/>
        </w:rPr>
        <w:t>In any given year, we execute more transactions than many of our competitors do over a much longer, multi-year period</w:t>
      </w:r>
    </w:p>
    <w:p>
      <w:pPr>
        <w:spacing w:after="0" w:line="143" w:lineRule="exact"/>
        <w:rPr>
          <w:rFonts w:ascii="Arial" w:cs="Arial" w:eastAsia="Arial" w:hAnsi="Arial"/>
          <w:sz w:val="18"/>
          <w:szCs w:val="18"/>
          <w:color w:val="345988"/>
        </w:rPr>
      </w:pPr>
    </w:p>
    <w:p>
      <w:pPr>
        <w:ind w:left="420" w:hanging="269"/>
        <w:spacing w:after="0"/>
        <w:tabs>
          <w:tab w:leader="none" w:pos="420" w:val="left"/>
        </w:tabs>
        <w:numPr>
          <w:ilvl w:val="0"/>
          <w:numId w:val="59"/>
        </w:numPr>
        <w:rPr>
          <w:rFonts w:ascii="Arial" w:cs="Arial" w:eastAsia="Arial" w:hAnsi="Arial"/>
          <w:sz w:val="18"/>
          <w:szCs w:val="18"/>
          <w:color w:val="345988"/>
        </w:rPr>
      </w:pPr>
      <w:r>
        <w:rPr>
          <w:rFonts w:ascii="Arial" w:cs="Arial" w:eastAsia="Arial" w:hAnsi="Arial"/>
          <w:sz w:val="18"/>
          <w:szCs w:val="18"/>
          <w:color w:val="auto"/>
        </w:rPr>
        <w:t>SLG does not subscribe to a traditional “buy and hold” strategy and is a very active transaction-oriented company</w:t>
      </w:r>
    </w:p>
    <w:p>
      <w:pPr>
        <w:spacing w:after="0" w:line="143" w:lineRule="exact"/>
        <w:rPr>
          <w:rFonts w:ascii="Arial" w:cs="Arial" w:eastAsia="Arial" w:hAnsi="Arial"/>
          <w:sz w:val="18"/>
          <w:szCs w:val="18"/>
          <w:color w:val="345988"/>
        </w:rPr>
      </w:pPr>
    </w:p>
    <w:p>
      <w:pPr>
        <w:ind w:left="420" w:hanging="269"/>
        <w:spacing w:after="0"/>
        <w:tabs>
          <w:tab w:leader="none" w:pos="420" w:val="left"/>
        </w:tabs>
        <w:numPr>
          <w:ilvl w:val="0"/>
          <w:numId w:val="59"/>
        </w:numPr>
        <w:rPr>
          <w:rFonts w:ascii="Arial" w:cs="Arial" w:eastAsia="Arial" w:hAnsi="Arial"/>
          <w:sz w:val="18"/>
          <w:szCs w:val="18"/>
          <w:color w:val="345988"/>
        </w:rPr>
      </w:pPr>
      <w:r>
        <w:rPr>
          <w:rFonts w:ascii="Arial" w:cs="Arial" w:eastAsia="Arial" w:hAnsi="Arial"/>
          <w:sz w:val="18"/>
          <w:szCs w:val="18"/>
          <w:color w:val="auto"/>
        </w:rPr>
        <w:t>Accordingly, we frequently capitalize on opportunities in the market, maximizing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2139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139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on Multiple Platforms</w:t>
      </w:r>
    </w:p>
    <w:p>
      <w:pPr>
        <w:spacing w:after="0" w:line="132" w:lineRule="exact"/>
        <w:rPr>
          <w:sz w:val="20"/>
          <w:szCs w:val="20"/>
          <w:color w:val="auto"/>
        </w:rPr>
      </w:pPr>
    </w:p>
    <w:p>
      <w:pPr>
        <w:ind w:left="420" w:hanging="269"/>
        <w:spacing w:after="0"/>
        <w:tabs>
          <w:tab w:leader="none" w:pos="420" w:val="left"/>
        </w:tabs>
        <w:numPr>
          <w:ilvl w:val="0"/>
          <w:numId w:val="60"/>
        </w:numPr>
        <w:rPr>
          <w:rFonts w:ascii="Arial" w:cs="Arial" w:eastAsia="Arial" w:hAnsi="Arial"/>
          <w:sz w:val="18"/>
          <w:szCs w:val="18"/>
          <w:color w:val="345988"/>
        </w:rPr>
      </w:pPr>
      <w:r>
        <w:rPr>
          <w:rFonts w:ascii="Arial" w:cs="Arial" w:eastAsia="Arial" w:hAnsi="Arial"/>
          <w:sz w:val="18"/>
          <w:szCs w:val="18"/>
          <w:color w:val="auto"/>
        </w:rPr>
        <w:t>Buy and sell properties independently and collaborate with other organizations through joint ventures when advantageous</w:t>
      </w:r>
    </w:p>
    <w:p>
      <w:pPr>
        <w:spacing w:after="0" w:line="143" w:lineRule="exact"/>
        <w:rPr>
          <w:rFonts w:ascii="Arial" w:cs="Arial" w:eastAsia="Arial" w:hAnsi="Arial"/>
          <w:sz w:val="18"/>
          <w:szCs w:val="18"/>
          <w:color w:val="345988"/>
        </w:rPr>
      </w:pPr>
    </w:p>
    <w:p>
      <w:pPr>
        <w:ind w:left="420" w:hanging="269"/>
        <w:spacing w:after="0"/>
        <w:tabs>
          <w:tab w:leader="none" w:pos="420" w:val="left"/>
        </w:tabs>
        <w:numPr>
          <w:ilvl w:val="0"/>
          <w:numId w:val="60"/>
        </w:numPr>
        <w:rPr>
          <w:rFonts w:ascii="Arial" w:cs="Arial" w:eastAsia="Arial" w:hAnsi="Arial"/>
          <w:sz w:val="18"/>
          <w:szCs w:val="18"/>
          <w:color w:val="345988"/>
        </w:rPr>
      </w:pPr>
      <w:r>
        <w:rPr>
          <w:rFonts w:ascii="Arial" w:cs="Arial" w:eastAsia="Arial" w:hAnsi="Arial"/>
          <w:sz w:val="18"/>
          <w:szCs w:val="18"/>
          <w:color w:val="auto"/>
        </w:rPr>
        <w:t>Invest in redeveloping existing assets and develop projects from the ground up (e.g. One Vanderbilt)</w:t>
      </w:r>
    </w:p>
    <w:p>
      <w:pPr>
        <w:spacing w:after="0" w:line="143" w:lineRule="exact"/>
        <w:rPr>
          <w:rFonts w:ascii="Arial" w:cs="Arial" w:eastAsia="Arial" w:hAnsi="Arial"/>
          <w:sz w:val="18"/>
          <w:szCs w:val="18"/>
          <w:color w:val="345988"/>
        </w:rPr>
      </w:pPr>
    </w:p>
    <w:p>
      <w:pPr>
        <w:ind w:left="420" w:right="440" w:hanging="269"/>
        <w:spacing w:after="0" w:line="268" w:lineRule="auto"/>
        <w:tabs>
          <w:tab w:leader="none" w:pos="420" w:val="left"/>
        </w:tabs>
        <w:numPr>
          <w:ilvl w:val="0"/>
          <w:numId w:val="60"/>
        </w:numPr>
        <w:rPr>
          <w:rFonts w:ascii="Arial" w:cs="Arial" w:eastAsia="Arial" w:hAnsi="Arial"/>
          <w:sz w:val="18"/>
          <w:szCs w:val="18"/>
          <w:color w:val="345988"/>
        </w:rPr>
      </w:pPr>
      <w:r>
        <w:rPr>
          <w:rFonts w:ascii="Arial" w:cs="Arial" w:eastAsia="Arial" w:hAnsi="Arial"/>
          <w:sz w:val="18"/>
          <w:szCs w:val="18"/>
          <w:color w:val="auto"/>
        </w:rPr>
        <w:t>Provide financing for other real estate investors through our debt and preferred equity platform – a unique service that we offer at a scale unmatched by our peers, which provides us a diversified source of revenue and market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2139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139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NYC-Focused Business Model</w:t>
      </w:r>
    </w:p>
    <w:p>
      <w:pPr>
        <w:spacing w:after="0" w:line="132" w:lineRule="exact"/>
        <w:rPr>
          <w:sz w:val="20"/>
          <w:szCs w:val="20"/>
          <w:color w:val="auto"/>
        </w:rPr>
      </w:pPr>
    </w:p>
    <w:p>
      <w:pPr>
        <w:ind w:left="420" w:hanging="269"/>
        <w:spacing w:after="0"/>
        <w:tabs>
          <w:tab w:leader="none" w:pos="420" w:val="left"/>
        </w:tabs>
        <w:numPr>
          <w:ilvl w:val="0"/>
          <w:numId w:val="61"/>
        </w:numPr>
        <w:rPr>
          <w:rFonts w:ascii="Arial" w:cs="Arial" w:eastAsia="Arial" w:hAnsi="Arial"/>
          <w:sz w:val="16"/>
          <w:szCs w:val="16"/>
          <w:color w:val="345988"/>
        </w:rPr>
      </w:pPr>
      <w:r>
        <w:rPr>
          <w:rFonts w:ascii="Arial" w:cs="Arial" w:eastAsia="Arial" w:hAnsi="Arial"/>
          <w:sz w:val="16"/>
          <w:szCs w:val="16"/>
          <w:color w:val="auto"/>
        </w:rPr>
        <w:t>Singularly focused on New York City real estate – one of the most resilient markets through business cycles, but also one of the most complex</w:t>
      </w:r>
    </w:p>
    <w:p>
      <w:pPr>
        <w:spacing w:after="0" w:line="166" w:lineRule="exact"/>
        <w:rPr>
          <w:rFonts w:ascii="Arial" w:cs="Arial" w:eastAsia="Arial" w:hAnsi="Arial"/>
          <w:sz w:val="16"/>
          <w:szCs w:val="16"/>
          <w:color w:val="345988"/>
        </w:rPr>
      </w:pPr>
    </w:p>
    <w:p>
      <w:pPr>
        <w:ind w:left="420" w:hanging="269"/>
        <w:spacing w:after="0"/>
        <w:tabs>
          <w:tab w:leader="none" w:pos="420" w:val="left"/>
        </w:tabs>
        <w:numPr>
          <w:ilvl w:val="0"/>
          <w:numId w:val="61"/>
        </w:numPr>
        <w:rPr>
          <w:rFonts w:ascii="Arial" w:cs="Arial" w:eastAsia="Arial" w:hAnsi="Arial"/>
          <w:sz w:val="18"/>
          <w:szCs w:val="18"/>
          <w:color w:val="345988"/>
        </w:rPr>
      </w:pPr>
      <w:r>
        <w:rPr>
          <w:rFonts w:ascii="Arial" w:cs="Arial" w:eastAsia="Arial" w:hAnsi="Arial"/>
          <w:sz w:val="18"/>
          <w:szCs w:val="18"/>
          <w:color w:val="auto"/>
        </w:rPr>
        <w:t>Presence and operations in this complex market necessitate a top level of talent in our executive ranks</w:t>
      </w:r>
    </w:p>
    <w:p>
      <w:pPr>
        <w:spacing w:after="0" w:line="143" w:lineRule="exact"/>
        <w:rPr>
          <w:rFonts w:ascii="Arial" w:cs="Arial" w:eastAsia="Arial" w:hAnsi="Arial"/>
          <w:sz w:val="18"/>
          <w:szCs w:val="18"/>
          <w:color w:val="345988"/>
        </w:rPr>
      </w:pPr>
    </w:p>
    <w:p>
      <w:pPr>
        <w:ind w:left="420" w:right="100" w:hanging="269"/>
        <w:spacing w:after="0" w:line="268" w:lineRule="auto"/>
        <w:tabs>
          <w:tab w:leader="none" w:pos="420" w:val="left"/>
        </w:tabs>
        <w:numPr>
          <w:ilvl w:val="0"/>
          <w:numId w:val="61"/>
        </w:numPr>
        <w:rPr>
          <w:rFonts w:ascii="Arial" w:cs="Arial" w:eastAsia="Arial" w:hAnsi="Arial"/>
          <w:sz w:val="18"/>
          <w:szCs w:val="18"/>
          <w:color w:val="345988"/>
        </w:rPr>
      </w:pPr>
      <w:r>
        <w:rPr>
          <w:rFonts w:ascii="Arial" w:cs="Arial" w:eastAsia="Arial" w:hAnsi="Arial"/>
          <w:sz w:val="18"/>
          <w:szCs w:val="18"/>
          <w:color w:val="auto"/>
        </w:rPr>
        <w:t>Our leadership team manages our cost base, allowing us to be very efficient, with an employee base much smaller than other fully-integrated “gateway city” real estate companies that transact far less business than SLG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Long-Term Stockholder Value Creation</w:t>
      </w:r>
    </w:p>
    <w:p>
      <w:pPr>
        <w:spacing w:after="0" w:line="21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demonstrated strong operational and financial performance since our IPO and have created tremendous value for our stockholders over the long-term as we’ve positioned the Company for sustainable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4547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454785"/>
                    </a:xfrm>
                    <a:prstGeom prst="rect">
                      <a:avLst/>
                    </a:prstGeom>
                    <a:noFill/>
                  </pic:spPr>
                </pic:pic>
              </a:graphicData>
            </a:graphic>
          </wp:anchor>
        </w:drawing>
      </w:r>
    </w:p>
    <w:p>
      <w:pPr>
        <w:spacing w:after="0" w:line="23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2017 Strategic, Financial and Operational Achievements</w:t>
      </w:r>
    </w:p>
    <w:p>
      <w:pPr>
        <w:spacing w:after="0" w:line="105" w:lineRule="exact"/>
        <w:rPr>
          <w:sz w:val="20"/>
          <w:szCs w:val="20"/>
          <w:color w:val="auto"/>
        </w:rPr>
      </w:pPr>
    </w:p>
    <w:p>
      <w:pPr>
        <w:ind w:left="5140" w:right="220" w:hanging="235"/>
        <w:spacing w:after="0" w:line="281" w:lineRule="auto"/>
        <w:tabs>
          <w:tab w:leader="none" w:pos="5144" w:val="left"/>
        </w:tabs>
        <w:numPr>
          <w:ilvl w:val="1"/>
          <w:numId w:val="62"/>
        </w:numPr>
        <w:rPr>
          <w:rFonts w:ascii="Times New Roman" w:cs="Times New Roman" w:eastAsia="Times New Roman" w:hAnsi="Times New Roman"/>
          <w:sz w:val="17"/>
          <w:szCs w:val="17"/>
          <w:color w:val="345988"/>
        </w:rPr>
      </w:pPr>
      <w:r>
        <w:rPr>
          <w:rFonts w:ascii="Arial" w:cs="Arial" w:eastAsia="Arial" w:hAnsi="Arial"/>
          <w:sz w:val="18"/>
          <w:szCs w:val="18"/>
          <w:color w:val="auto"/>
        </w:rPr>
        <w:t>$1.6B of Strategic Asset Sales Generated $1.1B of Net Proceeds That Were Committed to Opportunistic Stock Repurchases</w:t>
      </w:r>
    </w:p>
    <w:p>
      <w:pPr>
        <w:ind w:left="5140" w:right="220" w:hanging="235"/>
        <w:spacing w:after="0" w:line="284" w:lineRule="auto"/>
        <w:tabs>
          <w:tab w:leader="none" w:pos="5144" w:val="left"/>
        </w:tabs>
        <w:numPr>
          <w:ilvl w:val="1"/>
          <w:numId w:val="62"/>
        </w:numPr>
        <w:rPr>
          <w:rFonts w:ascii="Times New Roman" w:cs="Times New Roman" w:eastAsia="Times New Roman" w:hAnsi="Times New Roman"/>
          <w:sz w:val="17"/>
          <w:szCs w:val="17"/>
          <w:color w:val="345988"/>
        </w:rPr>
      </w:pPr>
      <w:r>
        <w:rPr>
          <w:rFonts w:ascii="Arial" w:cs="Arial" w:eastAsia="Arial" w:hAnsi="Arial"/>
          <w:sz w:val="18"/>
          <w:szCs w:val="18"/>
          <w:color w:val="auto"/>
        </w:rPr>
        <w:t>Leased Approximately 1.5 Million Square Feet of Office Space in Manhattan at an 11.3% Mark-to-Market</w:t>
      </w:r>
    </w:p>
    <w:p>
      <w:pPr>
        <w:spacing w:after="0" w:line="8" w:lineRule="exact"/>
        <w:rPr>
          <w:rFonts w:ascii="Times New Roman" w:cs="Times New Roman" w:eastAsia="Times New Roman" w:hAnsi="Times New Roman"/>
          <w:sz w:val="17"/>
          <w:szCs w:val="17"/>
          <w:color w:val="345988"/>
        </w:rPr>
      </w:pPr>
    </w:p>
    <w:p>
      <w:pPr>
        <w:ind w:left="5140" w:right="220" w:hanging="235"/>
        <w:spacing w:after="0" w:line="281" w:lineRule="auto"/>
        <w:tabs>
          <w:tab w:leader="none" w:pos="5144" w:val="left"/>
        </w:tabs>
        <w:numPr>
          <w:ilvl w:val="1"/>
          <w:numId w:val="62"/>
        </w:numPr>
        <w:rPr>
          <w:rFonts w:ascii="Times New Roman" w:cs="Times New Roman" w:eastAsia="Times New Roman" w:hAnsi="Times New Roman"/>
          <w:sz w:val="17"/>
          <w:szCs w:val="17"/>
          <w:color w:val="345988"/>
        </w:rPr>
      </w:pPr>
      <w:r>
        <w:rPr>
          <w:rFonts w:ascii="Arial" w:cs="Arial" w:eastAsia="Arial" w:hAnsi="Arial"/>
          <w:sz w:val="18"/>
          <w:szCs w:val="18"/>
          <w:color w:val="auto"/>
        </w:rPr>
        <w:t>Acquired Fully Leased and Income Producing Worldwide Plaza at Attractive Pricing Relative to Market</w:t>
      </w:r>
    </w:p>
    <w:p>
      <w:pPr>
        <w:ind w:left="5120" w:hanging="215"/>
        <w:spacing w:after="0"/>
        <w:tabs>
          <w:tab w:leader="none" w:pos="5120" w:val="left"/>
        </w:tabs>
        <w:numPr>
          <w:ilvl w:val="1"/>
          <w:numId w:val="62"/>
        </w:numPr>
        <w:rPr>
          <w:rFonts w:ascii="Times New Roman" w:cs="Times New Roman" w:eastAsia="Times New Roman" w:hAnsi="Times New Roman"/>
          <w:sz w:val="17"/>
          <w:szCs w:val="17"/>
          <w:color w:val="345988"/>
        </w:rPr>
      </w:pPr>
      <w:r>
        <w:rPr>
          <w:rFonts w:ascii="Arial" w:cs="Arial" w:eastAsia="Arial" w:hAnsi="Arial"/>
          <w:sz w:val="18"/>
          <w:szCs w:val="18"/>
          <w:color w:val="auto"/>
        </w:rPr>
        <w:t>Lease up of 1515 Broadway Retail Vacancy at 29.4% Mark-to-Market</w:t>
      </w:r>
    </w:p>
    <w:p>
      <w:pPr>
        <w:spacing w:after="0" w:line="320" w:lineRule="exact"/>
        <w:rPr>
          <w:rFonts w:ascii="Times New Roman" w:cs="Times New Roman" w:eastAsia="Times New Roman" w:hAnsi="Times New Roman"/>
          <w:sz w:val="17"/>
          <w:szCs w:val="17"/>
          <w:color w:val="345988"/>
        </w:rPr>
      </w:pPr>
    </w:p>
    <w:p>
      <w:pPr>
        <w:ind w:left="360" w:hanging="352"/>
        <w:spacing w:after="0"/>
        <w:tabs>
          <w:tab w:leader="none" w:pos="3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Refer to Appendix A to this proxy statement for a reconciliation of Normalized FFO.</w:t>
      </w:r>
    </w:p>
    <w:p>
      <w:pPr>
        <w:spacing w:after="0" w:line="212"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total returns to stockholders since our IPO – over several cycles – demonstrates the enduring strength of our company and the talent of our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111760</wp:posOffset>
            </wp:positionV>
            <wp:extent cx="5339080" cy="2070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39080" cy="2070735"/>
                    </a:xfrm>
                    <a:prstGeom prst="rect">
                      <a:avLst/>
                    </a:prstGeom>
                    <a:noFill/>
                  </pic:spPr>
                </pic:pic>
              </a:graphicData>
            </a:graphic>
          </wp:anchor>
        </w:drawing>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345988"/>
        </w:rPr>
        <w:t>SLG TSR % vs. MSCI U.S. REIT Index Total Return</w:t>
      </w:r>
      <w:r>
        <w:rPr>
          <w:rFonts w:ascii="Arial" w:cs="Arial" w:eastAsia="Arial" w:hAnsi="Arial"/>
          <w:sz w:val="22"/>
          <w:szCs w:val="22"/>
          <w:b w:val="1"/>
          <w:bCs w:val="1"/>
          <w:color w:val="345988"/>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0" w:hanging="352"/>
        <w:spacing w:after="0"/>
        <w:tabs>
          <w:tab w:leader="none" w:pos="3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Source: Bloomberg; August 14, 1997 – December 29, 2017.</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2017 Say-on-Pay Outcome, Shareholder Engagement and Responsiveness</w:t>
      </w:r>
    </w:p>
    <w:p>
      <w:pPr>
        <w:spacing w:after="0" w:line="21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Our Compensation Committee continually evaluates our executive compensation programs to determine their effectiveness in linking pay to performance and the shareholder experience. We were disappointed that our 2017 advisory vote on executive compensation received support from only 43% of stockholders. In response, the Committee and our management team initiated a robust stockholder engagement program to solicit stockholder perspectives on our executive compensation programs.</w:t>
      </w:r>
    </w:p>
    <w:p>
      <w:pPr>
        <w:spacing w:after="0" w:line="179"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As part of this engagement program, we contacted stockholders accounting for 66% of our shares outstanding and engaged with stockholders accounting for 58% of such shares. All of these discussions were led by the chair of our Compensation Committee, or the Committee, and by the Lead Independent Director. Several shareholders declined our invitation to meet, indicating to us that they were satisfied with our current compensation and corporate governance practices and that a meeting was not necessary at that time.</w:t>
      </w:r>
    </w:p>
    <w:p>
      <w:pPr>
        <w:spacing w:after="0" w:line="17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feedback we received in these meetings was shared with the Committee and the entire Board, as applicable. The Committee carefully considered this feedback and implemented changes to our executive compensation program that are responsive to the views that we heard.</w:t>
      </w:r>
    </w:p>
    <w:p>
      <w:pPr>
        <w:spacing w:after="0" w:line="111"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The table below details stockholders’ feedback we received during our engagements with them and the actions the Committee took to address investors’ perspectives on our executive compensation program. The Committee is confident that these changes – including the materially re-designed compensation for our CEO as governed by his employment agreement – reflect our Board’s ongoing commitment to shareholder engagement and responsiveness. With these changes, the Committee has significantly simplified the structure of our compensation program, by reducing the overall components of compensation from seven to four and enhanced the transparency of our compensation program so that stockholders can better recognize how they link pay with performance.</w:t>
      </w:r>
    </w:p>
    <w:p>
      <w:pPr>
        <w:spacing w:after="0" w:line="181" w:lineRule="exact"/>
        <w:rPr>
          <w:sz w:val="20"/>
          <w:szCs w:val="20"/>
          <w:color w:val="auto"/>
        </w:rPr>
      </w:pPr>
    </w:p>
    <w:p>
      <w:pPr>
        <w:ind w:left="300" w:hanging="292"/>
        <w:spacing w:after="0"/>
        <w:tabs>
          <w:tab w:leader="none" w:pos="300" w:val="left"/>
        </w:tabs>
        <w:numPr>
          <w:ilvl w:val="0"/>
          <w:numId w:val="64"/>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8"/>
          <w:szCs w:val="18"/>
          <w:u w:val="single" w:color="auto"/>
          <w:color w:val="34598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9705"/>
                    </a:xfrm>
                    <a:prstGeom prst="rect">
                      <a:avLst/>
                    </a:prstGeom>
                    <a:noFill/>
                  </pic:spPr>
                </pic:pic>
              </a:graphicData>
            </a:graphic>
          </wp:anchor>
        </w:drawing>
      </w:r>
    </w:p>
    <w:p>
      <w:pPr>
        <w:spacing w:after="0" w:line="258" w:lineRule="exact"/>
        <w:rPr>
          <w:sz w:val="20"/>
          <w:szCs w:val="20"/>
          <w:color w:val="auto"/>
        </w:rPr>
      </w:pPr>
    </w:p>
    <w:p>
      <w:pPr>
        <w:ind w:left="1500"/>
        <w:spacing w:after="0"/>
        <w:tabs>
          <w:tab w:leader="none" w:pos="7320" w:val="left"/>
        </w:tabs>
        <w:rPr>
          <w:sz w:val="20"/>
          <w:szCs w:val="20"/>
          <w:color w:val="auto"/>
        </w:rPr>
      </w:pPr>
      <w:r>
        <w:rPr>
          <w:rFonts w:ascii="Arial" w:cs="Arial" w:eastAsia="Arial" w:hAnsi="Arial"/>
          <w:sz w:val="13"/>
          <w:szCs w:val="13"/>
          <w:b w:val="1"/>
          <w:bCs w:val="1"/>
          <w:color w:val="FFFFFF"/>
        </w:rPr>
        <w:t xml:space="preserve">Stockholder Feedback – </w:t>
      </w:r>
      <w:r>
        <w:rPr>
          <w:rFonts w:ascii="Arial" w:cs="Arial" w:eastAsia="Arial" w:hAnsi="Arial"/>
          <w:sz w:val="13"/>
          <w:szCs w:val="13"/>
          <w:b w:val="1"/>
          <w:bCs w:val="1"/>
          <w:i w:val="1"/>
          <w:iCs w:val="1"/>
          <w:color w:val="FFFFFF"/>
        </w:rPr>
        <w:t>What We Heard</w:t>
      </w:r>
      <w:r>
        <w:rPr>
          <w:sz w:val="20"/>
          <w:szCs w:val="20"/>
          <w:color w:val="auto"/>
        </w:rPr>
        <w:tab/>
      </w:r>
      <w:r>
        <w:rPr>
          <w:rFonts w:ascii="Arial" w:cs="Arial" w:eastAsia="Arial" w:hAnsi="Arial"/>
          <w:sz w:val="13"/>
          <w:szCs w:val="13"/>
          <w:b w:val="1"/>
          <w:bCs w:val="1"/>
          <w:color w:val="FFFFFF"/>
        </w:rPr>
        <w:t xml:space="preserve">Committee’s Response – </w:t>
      </w:r>
      <w:r>
        <w:rPr>
          <w:rFonts w:ascii="Arial" w:cs="Arial" w:eastAsia="Arial" w:hAnsi="Arial"/>
          <w:sz w:val="13"/>
          <w:szCs w:val="13"/>
          <w:b w:val="1"/>
          <w:bCs w:val="1"/>
          <w:i w:val="1"/>
          <w:iCs w:val="1"/>
          <w:color w:val="FFFFFF"/>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62560"/>
                    </a:xfrm>
                    <a:prstGeom prst="rect">
                      <a:avLst/>
                    </a:prstGeom>
                    <a:noFill/>
                  </pic:spPr>
                </pic:pic>
              </a:graphicData>
            </a:graphic>
          </wp:anchor>
        </w:drawing>
      </w:r>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Overall Compensation</w:t>
      </w:r>
    </w:p>
    <w:p>
      <w:pPr>
        <w:sectPr>
          <w:pgSz w:w="11900" w:h="16838" w:orient="portrait"/>
          <w:cols w:equalWidth="0" w:num="1">
            <w:col w:w="11440"/>
          </w:cols>
          <w:pgMar w:left="240" w:top="119" w:right="219" w:bottom="1440" w:gutter="0" w:footer="0" w:header="0"/>
        </w:sectPr>
      </w:pPr>
    </w:p>
    <w:p>
      <w:pPr>
        <w:spacing w:after="0" w:line="51" w:lineRule="exact"/>
        <w:rPr>
          <w:sz w:val="20"/>
          <w:szCs w:val="20"/>
          <w:color w:val="auto"/>
        </w:rPr>
      </w:pPr>
    </w:p>
    <w:p>
      <w:pPr>
        <w:ind w:left="540" w:hanging="254"/>
        <w:spacing w:after="0" w:line="284" w:lineRule="auto"/>
        <w:tabs>
          <w:tab w:leader="none" w:pos="517" w:val="left"/>
        </w:tabs>
        <w:numPr>
          <w:ilvl w:val="0"/>
          <w:numId w:val="65"/>
        </w:numPr>
        <w:rPr>
          <w:rFonts w:ascii="Times New Roman" w:cs="Times New Roman" w:eastAsia="Times New Roman" w:hAnsi="Times New Roman"/>
          <w:sz w:val="17"/>
          <w:szCs w:val="17"/>
          <w:color w:val="345988"/>
        </w:rPr>
      </w:pPr>
      <w:r>
        <w:rPr>
          <w:rFonts w:ascii="Arial" w:cs="Arial" w:eastAsia="Arial" w:hAnsi="Arial"/>
          <w:sz w:val="18"/>
          <w:szCs w:val="18"/>
          <w:color w:val="auto"/>
        </w:rPr>
        <w:t>Compensation program is overly complicated and contains too many elements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70" w:right="160" w:hanging="270"/>
        <w:spacing w:after="0" w:line="284" w:lineRule="auto"/>
        <w:tabs>
          <w:tab w:leader="none" w:pos="247" w:val="left"/>
        </w:tabs>
        <w:numPr>
          <w:ilvl w:val="0"/>
          <w:numId w:val="66"/>
        </w:numPr>
        <w:rPr>
          <w:rFonts w:ascii="Times New Roman" w:cs="Times New Roman" w:eastAsia="Times New Roman" w:hAnsi="Times New Roman"/>
          <w:sz w:val="16"/>
          <w:szCs w:val="16"/>
          <w:color w:val="345988"/>
        </w:rPr>
      </w:pPr>
      <w:r>
        <w:rPr>
          <w:rFonts w:ascii="Arial" w:cs="Arial" w:eastAsia="Arial" w:hAnsi="Arial"/>
          <w:sz w:val="16"/>
          <w:szCs w:val="16"/>
          <w:color w:val="auto"/>
        </w:rPr>
        <w:t>Under new CEO contract, the number of elements of compensation has been reduced from seven to four: the CEO will receive base salary, a 100% formulaic annual incentive, time-based equity grants, and simplified performance-based equity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724662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6256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5360" w:space="370"/>
            <w:col w:w="5710"/>
          </w:cols>
          <w:pgMar w:left="240" w:top="119" w:right="2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Fixed Compensation</w:t>
      </w:r>
    </w:p>
    <w:p>
      <w:pPr>
        <w:spacing w:after="0" w:line="51" w:lineRule="exact"/>
        <w:rPr>
          <w:sz w:val="20"/>
          <w:szCs w:val="20"/>
          <w:color w:val="auto"/>
        </w:rPr>
      </w:pPr>
    </w:p>
    <w:p>
      <w:pPr>
        <w:ind w:left="520" w:hanging="234"/>
        <w:spacing w:after="0"/>
        <w:tabs>
          <w:tab w:leader="none" w:pos="520" w:val="left"/>
        </w:tabs>
        <w:numPr>
          <w:ilvl w:val="0"/>
          <w:numId w:val="67"/>
        </w:numPr>
        <w:rPr>
          <w:rFonts w:ascii="Times New Roman" w:cs="Times New Roman" w:eastAsia="Times New Roman" w:hAnsi="Times New Roman"/>
          <w:sz w:val="17"/>
          <w:szCs w:val="17"/>
          <w:color w:val="345988"/>
        </w:rPr>
      </w:pPr>
      <w:r>
        <w:rPr>
          <w:rFonts w:ascii="Arial" w:cs="Arial" w:eastAsia="Arial" w:hAnsi="Arial"/>
          <w:sz w:val="18"/>
          <w:szCs w:val="18"/>
          <w:color w:val="auto"/>
        </w:rPr>
        <w:t xml:space="preserve">Base salary and deferred compensation provide two overlapping  </w:t>
      </w:r>
      <w:r>
        <w:rPr>
          <w:rFonts w:ascii="Times New Roman" w:cs="Times New Roman" w:eastAsia="Times New Roman" w:hAnsi="Times New Roman"/>
          <w:sz w:val="17"/>
          <w:szCs w:val="17"/>
          <w:color w:val="345988"/>
        </w:rPr>
        <w:t>●</w:t>
      </w:r>
      <w:r>
        <w:rPr>
          <w:rFonts w:ascii="Arial" w:cs="Arial" w:eastAsia="Arial" w:hAnsi="Arial"/>
          <w:sz w:val="18"/>
          <w:szCs w:val="18"/>
          <w:color w:val="auto"/>
        </w:rPr>
        <w:t xml:space="preserve">  Under new CEO contract, deferred compensation will be eliminated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ind w:left="540"/>
              <w:spacing w:after="0"/>
              <w:rPr>
                <w:sz w:val="20"/>
                <w:szCs w:val="20"/>
                <w:color w:val="auto"/>
              </w:rPr>
            </w:pPr>
            <w:r>
              <w:rPr>
                <w:rFonts w:ascii="Arial" w:cs="Arial" w:eastAsia="Arial" w:hAnsi="Arial"/>
                <w:sz w:val="18"/>
                <w:szCs w:val="18"/>
                <w:color w:val="auto"/>
              </w:rPr>
              <w:t>“fixed pay” vehicles for CEO</w:t>
            </w:r>
          </w:p>
        </w:tc>
        <w:tc>
          <w:tcPr>
            <w:tcW w:w="7860" w:type="dxa"/>
            <w:vAlign w:val="bottom"/>
          </w:tcPr>
          <w:p>
            <w:pPr>
              <w:ind w:left="2440"/>
              <w:spacing w:after="0"/>
              <w:rPr>
                <w:sz w:val="20"/>
                <w:szCs w:val="20"/>
                <w:color w:val="auto"/>
              </w:rPr>
            </w:pPr>
            <w:r>
              <w:rPr>
                <w:rFonts w:ascii="Arial" w:cs="Arial" w:eastAsia="Arial" w:hAnsi="Arial"/>
                <w:sz w:val="18"/>
                <w:szCs w:val="18"/>
                <w:color w:val="auto"/>
              </w:rPr>
              <w:t>from compensation package</w:t>
            </w:r>
          </w:p>
        </w:tc>
      </w:tr>
      <w:tr>
        <w:trPr>
          <w:trHeight w:val="216"/>
        </w:trPr>
        <w:tc>
          <w:tcPr>
            <w:tcW w:w="3560" w:type="dxa"/>
            <w:vAlign w:val="bottom"/>
          </w:tcPr>
          <w:p>
            <w:pPr>
              <w:spacing w:after="0"/>
              <w:rPr>
                <w:sz w:val="18"/>
                <w:szCs w:val="18"/>
                <w:color w:val="auto"/>
              </w:rPr>
            </w:pPr>
          </w:p>
        </w:tc>
        <w:tc>
          <w:tcPr>
            <w:tcW w:w="7860" w:type="dxa"/>
            <w:vAlign w:val="bottom"/>
          </w:tcPr>
          <w:p>
            <w:pPr>
              <w:ind w:left="216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Reduced CEO’s base salary to $1.25 million from $1.35 million,</w:t>
            </w:r>
          </w:p>
        </w:tc>
      </w:tr>
      <w:tr>
        <w:trPr>
          <w:trHeight w:val="242"/>
        </w:trPr>
        <w:tc>
          <w:tcPr>
            <w:tcW w:w="3560" w:type="dxa"/>
            <w:vAlign w:val="bottom"/>
          </w:tcPr>
          <w:p>
            <w:pPr>
              <w:spacing w:after="0"/>
              <w:rPr>
                <w:sz w:val="21"/>
                <w:szCs w:val="21"/>
                <w:color w:val="auto"/>
              </w:rPr>
            </w:pPr>
          </w:p>
        </w:tc>
        <w:tc>
          <w:tcPr>
            <w:tcW w:w="7860" w:type="dxa"/>
            <w:vAlign w:val="bottom"/>
          </w:tcPr>
          <w:p>
            <w:pPr>
              <w:ind w:left="2440"/>
              <w:spacing w:after="0"/>
              <w:rPr>
                <w:sz w:val="20"/>
                <w:szCs w:val="20"/>
                <w:color w:val="auto"/>
              </w:rPr>
            </w:pPr>
            <w:r>
              <w:rPr>
                <w:rFonts w:ascii="Arial" w:cs="Arial" w:eastAsia="Arial" w:hAnsi="Arial"/>
                <w:sz w:val="18"/>
                <w:szCs w:val="18"/>
                <w:color w:val="auto"/>
              </w:rPr>
              <w:t>effective January 18, 2018</w:t>
            </w:r>
          </w:p>
        </w:tc>
      </w:tr>
      <w:tr>
        <w:trPr>
          <w:trHeight w:val="262"/>
        </w:trPr>
        <w:tc>
          <w:tcPr>
            <w:tcW w:w="3560" w:type="dxa"/>
            <w:vAlign w:val="bottom"/>
            <w:shd w:val="clear" w:color="auto" w:fill="8590A9"/>
          </w:tcPr>
          <w:p>
            <w:pPr>
              <w:spacing w:after="0"/>
              <w:rPr>
                <w:sz w:val="22"/>
                <w:szCs w:val="22"/>
                <w:color w:val="auto"/>
              </w:rPr>
            </w:pPr>
          </w:p>
        </w:tc>
        <w:tc>
          <w:tcPr>
            <w:tcW w:w="7860" w:type="dxa"/>
            <w:vAlign w:val="bottom"/>
            <w:shd w:val="clear" w:color="auto" w:fill="8590A9"/>
          </w:tcPr>
          <w:p>
            <w:pPr>
              <w:ind w:left="820"/>
              <w:spacing w:after="0"/>
              <w:rPr>
                <w:sz w:val="20"/>
                <w:szCs w:val="20"/>
                <w:color w:val="auto"/>
              </w:rPr>
            </w:pPr>
            <w:r>
              <w:rPr>
                <w:rFonts w:ascii="Arial" w:cs="Arial" w:eastAsia="Arial" w:hAnsi="Arial"/>
                <w:sz w:val="18"/>
                <w:szCs w:val="18"/>
                <w:b w:val="1"/>
                <w:bCs w:val="1"/>
                <w:color w:val="auto"/>
              </w:rPr>
              <w:t>Annual Incentive Compensation</w:t>
            </w:r>
          </w:p>
        </w:tc>
      </w:tr>
    </w:tbl>
    <w:p>
      <w:pPr>
        <w:spacing w:after="0" w:line="8" w:lineRule="exact"/>
        <w:rPr>
          <w:sz w:val="20"/>
          <w:szCs w:val="20"/>
          <w:color w:val="auto"/>
        </w:rPr>
      </w:pPr>
    </w:p>
    <w:p>
      <w:pPr>
        <w:sectPr>
          <w:pgSz w:w="11900" w:h="16838" w:orient="portrait"/>
          <w:cols w:equalWidth="0" w:num="1">
            <w:col w:w="11440"/>
          </w:cols>
          <w:pgMar w:left="240" w:top="119" w:right="219" w:bottom="1440" w:gutter="0" w:footer="0" w:header="0"/>
          <w:type w:val="continuous"/>
        </w:sectPr>
      </w:pPr>
    </w:p>
    <w:p>
      <w:pPr>
        <w:ind w:left="540" w:hanging="254"/>
        <w:spacing w:after="0" w:line="284" w:lineRule="auto"/>
        <w:tabs>
          <w:tab w:leader="none" w:pos="517" w:val="left"/>
        </w:tabs>
        <w:numPr>
          <w:ilvl w:val="0"/>
          <w:numId w:val="68"/>
        </w:numPr>
        <w:rPr>
          <w:rFonts w:ascii="Times New Roman" w:cs="Times New Roman" w:eastAsia="Times New Roman" w:hAnsi="Times New Roman"/>
          <w:sz w:val="17"/>
          <w:szCs w:val="17"/>
          <w:color w:val="345988"/>
        </w:rPr>
      </w:pPr>
      <w:r>
        <w:rPr>
          <w:rFonts w:ascii="Arial" w:cs="Arial" w:eastAsia="Arial" w:hAnsi="Arial"/>
          <w:sz w:val="18"/>
          <w:szCs w:val="18"/>
          <w:color w:val="auto"/>
        </w:rPr>
        <w:t>Align performance incentives with metrics that are focus areas for management and are in their direct control</w:t>
      </w:r>
    </w:p>
    <w:p>
      <w:pPr>
        <w:spacing w:after="0" w:line="20" w:lineRule="exact"/>
        <w:rPr>
          <w:sz w:val="20"/>
          <w:szCs w:val="20"/>
          <w:color w:val="auto"/>
        </w:rPr>
      </w:pPr>
      <w:r>
        <w:rPr>
          <w:sz w:val="20"/>
          <w:szCs w:val="20"/>
          <w:color w:val="auto"/>
        </w:rPr>
        <w:br w:type="column"/>
      </w:r>
    </w:p>
    <w:p>
      <w:pPr>
        <w:ind w:left="230" w:hanging="230"/>
        <w:spacing w:after="0"/>
        <w:tabs>
          <w:tab w:leader="none" w:pos="230" w:val="left"/>
        </w:tabs>
        <w:numPr>
          <w:ilvl w:val="0"/>
          <w:numId w:val="69"/>
        </w:numPr>
        <w:rPr>
          <w:rFonts w:ascii="Times New Roman" w:cs="Times New Roman" w:eastAsia="Times New Roman" w:hAnsi="Times New Roman"/>
          <w:sz w:val="16"/>
          <w:szCs w:val="16"/>
          <w:color w:val="345988"/>
        </w:rPr>
      </w:pPr>
      <w:r>
        <w:rPr>
          <w:rFonts w:ascii="Arial" w:cs="Arial" w:eastAsia="Arial" w:hAnsi="Arial"/>
          <w:sz w:val="16"/>
          <w:szCs w:val="16"/>
          <w:color w:val="auto"/>
        </w:rPr>
        <w:t>Eliminated TSR as a metric in the annual bonus program</w:t>
      </w:r>
    </w:p>
    <w:p>
      <w:pPr>
        <w:spacing w:after="0" w:line="51" w:lineRule="exact"/>
        <w:rPr>
          <w:rFonts w:ascii="Times New Roman" w:cs="Times New Roman" w:eastAsia="Times New Roman" w:hAnsi="Times New Roman"/>
          <w:sz w:val="16"/>
          <w:szCs w:val="16"/>
          <w:color w:val="345988"/>
        </w:rPr>
      </w:pPr>
    </w:p>
    <w:p>
      <w:pPr>
        <w:ind w:left="230" w:hanging="230"/>
        <w:spacing w:after="0"/>
        <w:tabs>
          <w:tab w:leader="none" w:pos="230" w:val="left"/>
        </w:tabs>
        <w:numPr>
          <w:ilvl w:val="0"/>
          <w:numId w:val="69"/>
        </w:numPr>
        <w:rPr>
          <w:rFonts w:ascii="Times New Roman" w:cs="Times New Roman" w:eastAsia="Times New Roman" w:hAnsi="Times New Roman"/>
          <w:sz w:val="17"/>
          <w:szCs w:val="17"/>
          <w:color w:val="345988"/>
        </w:rPr>
      </w:pPr>
      <w:r>
        <w:rPr>
          <w:rFonts w:ascii="Arial" w:cs="Arial" w:eastAsia="Arial" w:hAnsi="Arial"/>
          <w:sz w:val="18"/>
          <w:szCs w:val="18"/>
          <w:color w:val="auto"/>
        </w:rPr>
        <w:t>Added G&amp;A expense as metric</w:t>
      </w:r>
    </w:p>
    <w:p>
      <w:pPr>
        <w:spacing w:after="0" w:line="8" w:lineRule="exact"/>
        <w:rPr>
          <w:rFonts w:ascii="Times New Roman" w:cs="Times New Roman" w:eastAsia="Times New Roman" w:hAnsi="Times New Roman"/>
          <w:sz w:val="17"/>
          <w:szCs w:val="17"/>
          <w:color w:val="345988"/>
        </w:rPr>
      </w:pPr>
    </w:p>
    <w:p>
      <w:pPr>
        <w:ind w:left="230" w:hanging="230"/>
        <w:spacing w:after="0"/>
        <w:tabs>
          <w:tab w:leader="none" w:pos="230" w:val="left"/>
        </w:tabs>
        <w:numPr>
          <w:ilvl w:val="0"/>
          <w:numId w:val="69"/>
        </w:numPr>
        <w:rPr>
          <w:rFonts w:ascii="Times New Roman" w:cs="Times New Roman" w:eastAsia="Times New Roman" w:hAnsi="Times New Roman"/>
          <w:sz w:val="17"/>
          <w:szCs w:val="17"/>
          <w:color w:val="345988"/>
        </w:rPr>
      </w:pPr>
      <w:r>
        <w:rPr>
          <w:rFonts w:ascii="Arial" w:cs="Arial" w:eastAsia="Arial" w:hAnsi="Arial"/>
          <w:sz w:val="18"/>
          <w:szCs w:val="18"/>
          <w:color w:val="auto"/>
        </w:rPr>
        <w:t>Increased weighting of dividend growth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20955</wp:posOffset>
            </wp:positionV>
            <wp:extent cx="72466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340" w:space="390"/>
            <w:col w:w="5710"/>
          </w:cols>
          <w:pgMar w:left="240" w:top="119" w:right="21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60" w:type="dxa"/>
            <w:vAlign w:val="bottom"/>
          </w:tcPr>
          <w:p>
            <w:pPr>
              <w:ind w:left="280"/>
              <w:spacing w:after="0"/>
              <w:rPr>
                <w:sz w:val="20"/>
                <w:szCs w:val="20"/>
                <w:color w:val="auto"/>
              </w:rPr>
            </w:pPr>
            <w:r>
              <w:rPr>
                <w:rFonts w:ascii="Times New Roman" w:cs="Times New Roman" w:eastAsia="Times New Roman" w:hAnsi="Times New Roman"/>
                <w:sz w:val="17"/>
                <w:szCs w:val="17"/>
                <w:color w:val="345988"/>
              </w:rPr>
              <w:t>●</w:t>
            </w:r>
          </w:p>
        </w:tc>
        <w:tc>
          <w:tcPr>
            <w:tcW w:w="4880" w:type="dxa"/>
            <w:vAlign w:val="bottom"/>
          </w:tcPr>
          <w:p>
            <w:pPr>
              <w:ind w:left="60"/>
              <w:spacing w:after="0"/>
              <w:rPr>
                <w:sz w:val="20"/>
                <w:szCs w:val="20"/>
                <w:color w:val="auto"/>
              </w:rPr>
            </w:pPr>
            <w:r>
              <w:rPr>
                <w:rFonts w:ascii="Arial" w:cs="Arial" w:eastAsia="Arial" w:hAnsi="Arial"/>
                <w:sz w:val="18"/>
                <w:szCs w:val="18"/>
                <w:color w:val="auto"/>
              </w:rPr>
              <w:t>Process for determining annual equity bonus is not clear</w:t>
            </w:r>
          </w:p>
        </w:tc>
        <w:tc>
          <w:tcPr>
            <w:tcW w:w="560" w:type="dxa"/>
            <w:vAlign w:val="bottom"/>
          </w:tcPr>
          <w:p>
            <w:pPr>
              <w:ind w:left="380"/>
              <w:spacing w:after="0"/>
              <w:rPr>
                <w:sz w:val="20"/>
                <w:szCs w:val="20"/>
                <w:color w:val="auto"/>
              </w:rPr>
            </w:pPr>
            <w:r>
              <w:rPr>
                <w:rFonts w:ascii="Times New Roman" w:cs="Times New Roman" w:eastAsia="Times New Roman" w:hAnsi="Times New Roman"/>
                <w:sz w:val="17"/>
                <w:szCs w:val="17"/>
                <w:color w:val="345988"/>
              </w:rPr>
              <w:t>●</w:t>
            </w:r>
          </w:p>
        </w:tc>
        <w:tc>
          <w:tcPr>
            <w:tcW w:w="5520" w:type="dxa"/>
            <w:vAlign w:val="bottom"/>
          </w:tcPr>
          <w:p>
            <w:pPr>
              <w:ind w:left="60"/>
              <w:spacing w:after="0"/>
              <w:rPr>
                <w:sz w:val="20"/>
                <w:szCs w:val="20"/>
                <w:color w:val="auto"/>
              </w:rPr>
            </w:pPr>
            <w:r>
              <w:rPr>
                <w:rFonts w:ascii="Arial" w:cs="Arial" w:eastAsia="Arial" w:hAnsi="Arial"/>
                <w:sz w:val="18"/>
                <w:szCs w:val="18"/>
                <w:color w:val="auto"/>
              </w:rPr>
              <w:t>Under new CEO contract, eliminating discretionary equity bonuses</w:t>
            </w:r>
          </w:p>
        </w:tc>
      </w:tr>
      <w:tr>
        <w:trPr>
          <w:trHeight w:val="25"/>
        </w:trPr>
        <w:tc>
          <w:tcPr>
            <w:tcW w:w="460" w:type="dxa"/>
            <w:vAlign w:val="bottom"/>
          </w:tcPr>
          <w:p>
            <w:pPr>
              <w:spacing w:after="0"/>
              <w:rPr>
                <w:sz w:val="2"/>
                <w:szCs w:val="2"/>
                <w:color w:val="auto"/>
              </w:rPr>
            </w:pPr>
          </w:p>
        </w:tc>
        <w:tc>
          <w:tcPr>
            <w:tcW w:w="10960" w:type="dxa"/>
            <w:vAlign w:val="bottom"/>
            <w:gridSpan w:val="3"/>
          </w:tcPr>
          <w:p>
            <w:pPr>
              <w:spacing w:after="0"/>
              <w:rPr>
                <w:sz w:val="2"/>
                <w:szCs w:val="2"/>
                <w:color w:val="auto"/>
              </w:rPr>
            </w:pPr>
          </w:p>
        </w:tc>
      </w:tr>
      <w:tr>
        <w:trPr>
          <w:trHeight w:val="256"/>
        </w:trPr>
        <w:tc>
          <w:tcPr>
            <w:tcW w:w="460" w:type="dxa"/>
            <w:vAlign w:val="bottom"/>
            <w:shd w:val="clear" w:color="auto" w:fill="8590A9"/>
          </w:tcPr>
          <w:p>
            <w:pPr>
              <w:spacing w:after="0"/>
              <w:rPr>
                <w:sz w:val="22"/>
                <w:szCs w:val="22"/>
                <w:color w:val="auto"/>
              </w:rPr>
            </w:pPr>
          </w:p>
        </w:tc>
        <w:tc>
          <w:tcPr>
            <w:tcW w:w="10960" w:type="dxa"/>
            <w:vAlign w:val="bottom"/>
            <w:gridSpan w:val="3"/>
            <w:shd w:val="clear" w:color="auto" w:fill="8590A9"/>
          </w:tcPr>
          <w:p>
            <w:pPr>
              <w:ind w:left="3760"/>
              <w:spacing w:after="0"/>
              <w:rPr>
                <w:sz w:val="20"/>
                <w:szCs w:val="20"/>
                <w:color w:val="auto"/>
              </w:rPr>
            </w:pPr>
            <w:r>
              <w:rPr>
                <w:rFonts w:ascii="Arial" w:cs="Arial" w:eastAsia="Arial" w:hAnsi="Arial"/>
                <w:sz w:val="18"/>
                <w:szCs w:val="18"/>
                <w:b w:val="1"/>
                <w:bCs w:val="1"/>
                <w:color w:val="auto"/>
              </w:rPr>
              <w:t>Long-Term Incentive Compensation</w:t>
            </w:r>
          </w:p>
        </w:tc>
      </w:tr>
      <w:tr>
        <w:trPr>
          <w:trHeight w:val="224"/>
        </w:trPr>
        <w:tc>
          <w:tcPr>
            <w:tcW w:w="460" w:type="dxa"/>
            <w:vAlign w:val="bottom"/>
          </w:tcPr>
          <w:p>
            <w:pPr>
              <w:ind w:left="280"/>
              <w:spacing w:after="0"/>
              <w:rPr>
                <w:sz w:val="20"/>
                <w:szCs w:val="20"/>
                <w:color w:val="auto"/>
              </w:rPr>
            </w:pPr>
            <w:r>
              <w:rPr>
                <w:rFonts w:ascii="Times New Roman" w:cs="Times New Roman" w:eastAsia="Times New Roman" w:hAnsi="Times New Roman"/>
                <w:sz w:val="17"/>
                <w:szCs w:val="17"/>
                <w:color w:val="345988"/>
              </w:rPr>
              <w:t>●</w:t>
            </w:r>
          </w:p>
        </w:tc>
        <w:tc>
          <w:tcPr>
            <w:tcW w:w="4880" w:type="dxa"/>
            <w:vAlign w:val="bottom"/>
          </w:tcPr>
          <w:p>
            <w:pPr>
              <w:ind w:left="60"/>
              <w:spacing w:after="0"/>
              <w:rPr>
                <w:sz w:val="20"/>
                <w:szCs w:val="20"/>
                <w:color w:val="auto"/>
              </w:rPr>
            </w:pPr>
            <w:r>
              <w:rPr>
                <w:rFonts w:ascii="Arial" w:cs="Arial" w:eastAsia="Arial" w:hAnsi="Arial"/>
                <w:sz w:val="18"/>
                <w:szCs w:val="18"/>
                <w:color w:val="auto"/>
              </w:rPr>
              <w:t>Eliminate multiple performance retesting opportunities for</w:t>
            </w:r>
          </w:p>
        </w:tc>
        <w:tc>
          <w:tcPr>
            <w:tcW w:w="560" w:type="dxa"/>
            <w:vAlign w:val="bottom"/>
          </w:tcPr>
          <w:p>
            <w:pPr>
              <w:ind w:left="380"/>
              <w:spacing w:after="0"/>
              <w:rPr>
                <w:sz w:val="20"/>
                <w:szCs w:val="20"/>
                <w:color w:val="auto"/>
              </w:rPr>
            </w:pPr>
            <w:r>
              <w:rPr>
                <w:rFonts w:ascii="Times New Roman" w:cs="Times New Roman" w:eastAsia="Times New Roman" w:hAnsi="Times New Roman"/>
                <w:sz w:val="17"/>
                <w:szCs w:val="17"/>
                <w:color w:val="345988"/>
              </w:rPr>
              <w:t>●</w:t>
            </w:r>
          </w:p>
        </w:tc>
        <w:tc>
          <w:tcPr>
            <w:tcW w:w="5520" w:type="dxa"/>
            <w:vAlign w:val="bottom"/>
          </w:tcPr>
          <w:p>
            <w:pPr>
              <w:ind w:left="60"/>
              <w:spacing w:after="0"/>
              <w:rPr>
                <w:sz w:val="20"/>
                <w:szCs w:val="20"/>
                <w:color w:val="auto"/>
              </w:rPr>
            </w:pPr>
            <w:r>
              <w:rPr>
                <w:rFonts w:ascii="Arial" w:cs="Arial" w:eastAsia="Arial" w:hAnsi="Arial"/>
                <w:sz w:val="18"/>
                <w:szCs w:val="18"/>
                <w:color w:val="auto"/>
              </w:rPr>
              <w:t>Under new CEO contract, we will provide only one opportunity for</w:t>
            </w:r>
          </w:p>
        </w:tc>
      </w:tr>
      <w:tr>
        <w:trPr>
          <w:trHeight w:val="202"/>
        </w:trPr>
        <w:tc>
          <w:tcPr>
            <w:tcW w:w="460" w:type="dxa"/>
            <w:vAlign w:val="bottom"/>
          </w:tcPr>
          <w:p>
            <w:pPr>
              <w:spacing w:after="0"/>
              <w:rPr>
                <w:sz w:val="17"/>
                <w:szCs w:val="17"/>
                <w:color w:val="auto"/>
              </w:rPr>
            </w:pPr>
          </w:p>
        </w:tc>
        <w:tc>
          <w:tcPr>
            <w:tcW w:w="4880" w:type="dxa"/>
            <w:vAlign w:val="bottom"/>
          </w:tcPr>
          <w:p>
            <w:pPr>
              <w:ind w:left="80"/>
              <w:spacing w:after="0" w:line="202" w:lineRule="exact"/>
              <w:rPr>
                <w:sz w:val="20"/>
                <w:szCs w:val="20"/>
                <w:color w:val="auto"/>
              </w:rPr>
            </w:pPr>
            <w:r>
              <w:rPr>
                <w:rFonts w:ascii="Arial" w:cs="Arial" w:eastAsia="Arial" w:hAnsi="Arial"/>
                <w:sz w:val="18"/>
                <w:szCs w:val="18"/>
                <w:color w:val="auto"/>
              </w:rPr>
              <w:t>performance-based LTIP units</w:t>
            </w:r>
          </w:p>
        </w:tc>
        <w:tc>
          <w:tcPr>
            <w:tcW w:w="560" w:type="dxa"/>
            <w:vAlign w:val="bottom"/>
          </w:tcPr>
          <w:p>
            <w:pPr>
              <w:spacing w:after="0"/>
              <w:rPr>
                <w:sz w:val="17"/>
                <w:szCs w:val="17"/>
                <w:color w:val="auto"/>
              </w:rPr>
            </w:pPr>
          </w:p>
        </w:tc>
        <w:tc>
          <w:tcPr>
            <w:tcW w:w="5520" w:type="dxa"/>
            <w:vAlign w:val="bottom"/>
          </w:tcPr>
          <w:p>
            <w:pPr>
              <w:ind w:left="100"/>
              <w:spacing w:after="0" w:line="202" w:lineRule="exact"/>
              <w:rPr>
                <w:sz w:val="20"/>
                <w:szCs w:val="20"/>
                <w:color w:val="auto"/>
              </w:rPr>
            </w:pPr>
            <w:r>
              <w:rPr>
                <w:rFonts w:ascii="Arial" w:cs="Arial" w:eastAsia="Arial" w:hAnsi="Arial"/>
                <w:sz w:val="18"/>
                <w:szCs w:val="18"/>
                <w:color w:val="auto"/>
                <w:w w:val="99"/>
              </w:rPr>
              <w:t>performance-based LTIP units to be earned, at the conclusion of the</w:t>
            </w:r>
          </w:p>
        </w:tc>
      </w:tr>
      <w:tr>
        <w:trPr>
          <w:trHeight w:val="237"/>
        </w:trPr>
        <w:tc>
          <w:tcPr>
            <w:tcW w:w="4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tcPr>
          <w:p>
            <w:pPr>
              <w:ind w:left="100"/>
              <w:spacing w:after="0"/>
              <w:rPr>
                <w:sz w:val="20"/>
                <w:szCs w:val="20"/>
                <w:color w:val="auto"/>
              </w:rPr>
            </w:pPr>
            <w:r>
              <w:rPr>
                <w:rFonts w:ascii="Arial" w:cs="Arial" w:eastAsia="Arial" w:hAnsi="Arial"/>
                <w:sz w:val="18"/>
                <w:szCs w:val="18"/>
                <w:color w:val="auto"/>
              </w:rPr>
              <w:t>3-year performance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13" w:lineRule="exact"/>
        <w:rPr>
          <w:sz w:val="20"/>
          <w:szCs w:val="20"/>
          <w:color w:val="auto"/>
        </w:rPr>
      </w:pPr>
    </w:p>
    <w:p>
      <w:pPr>
        <w:ind w:left="520" w:hanging="234"/>
        <w:spacing w:after="0"/>
        <w:tabs>
          <w:tab w:leader="none" w:pos="520" w:val="left"/>
        </w:tabs>
        <w:numPr>
          <w:ilvl w:val="0"/>
          <w:numId w:val="70"/>
        </w:numPr>
        <w:rPr>
          <w:rFonts w:ascii="Times New Roman" w:cs="Times New Roman" w:eastAsia="Times New Roman" w:hAnsi="Times New Roman"/>
          <w:sz w:val="17"/>
          <w:szCs w:val="17"/>
          <w:color w:val="345988"/>
        </w:rPr>
      </w:pPr>
      <w:r>
        <w:rPr>
          <w:rFonts w:ascii="Arial" w:cs="Arial" w:eastAsia="Arial" w:hAnsi="Arial"/>
          <w:sz w:val="18"/>
          <w:szCs w:val="18"/>
          <w:color w:val="auto"/>
        </w:rPr>
        <w:t>Performance period for performance-based awards should be</w:t>
      </w: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Under new CEO contract, one-half of performance-based LTIP units</w:t>
      </w:r>
    </w:p>
    <w:p>
      <w:pPr>
        <w:spacing w:after="0" w:line="26" w:lineRule="exact"/>
        <w:rPr>
          <w:sz w:val="20"/>
          <w:szCs w:val="20"/>
          <w:color w:val="auto"/>
        </w:rPr>
      </w:pPr>
    </w:p>
    <w:p>
      <w:pPr>
        <w:ind w:left="540"/>
        <w:spacing w:after="0"/>
        <w:tabs>
          <w:tab w:leader="none" w:pos="5980" w:val="left"/>
        </w:tabs>
        <w:rPr>
          <w:sz w:val="20"/>
          <w:szCs w:val="20"/>
          <w:color w:val="auto"/>
        </w:rPr>
      </w:pPr>
      <w:r>
        <w:rPr>
          <w:rFonts w:ascii="Arial" w:cs="Arial" w:eastAsia="Arial" w:hAnsi="Arial"/>
          <w:sz w:val="18"/>
          <w:szCs w:val="18"/>
          <w:color w:val="auto"/>
        </w:rPr>
        <w:t>longer than one year</w:t>
      </w:r>
      <w:r>
        <w:rPr>
          <w:sz w:val="20"/>
          <w:szCs w:val="20"/>
          <w:color w:val="auto"/>
        </w:rPr>
        <w:tab/>
      </w:r>
      <w:r>
        <w:rPr>
          <w:rFonts w:ascii="Arial" w:cs="Arial" w:eastAsia="Arial" w:hAnsi="Arial"/>
          <w:sz w:val="16"/>
          <w:szCs w:val="16"/>
          <w:color w:val="auto"/>
        </w:rPr>
        <w:t>will be earned based on performance against annual operating goals,</w:t>
      </w:r>
    </w:p>
    <w:p>
      <w:pPr>
        <w:ind w:left="6000"/>
        <w:spacing w:after="0"/>
        <w:rPr>
          <w:sz w:val="20"/>
          <w:szCs w:val="20"/>
          <w:color w:val="auto"/>
        </w:rPr>
      </w:pPr>
      <w:r>
        <w:rPr>
          <w:rFonts w:ascii="Arial" w:cs="Arial" w:eastAsia="Arial" w:hAnsi="Arial"/>
          <w:sz w:val="16"/>
          <w:szCs w:val="16"/>
          <w:color w:val="auto"/>
        </w:rPr>
        <w:t>but will be subject to modifier based on absolute TSR measured over</w:t>
      </w:r>
    </w:p>
    <w:p>
      <w:pPr>
        <w:spacing w:after="0" w:line="1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three-year performance period</w:t>
      </w:r>
    </w:p>
    <w:p>
      <w:pPr>
        <w:ind w:left="6000" w:right="320" w:hanging="270"/>
        <w:spacing w:after="0" w:line="258" w:lineRule="auto"/>
        <w:tabs>
          <w:tab w:leader="none" w:pos="5977" w:val="left"/>
        </w:tabs>
        <w:numPr>
          <w:ilvl w:val="1"/>
          <w:numId w:val="71"/>
        </w:numPr>
        <w:rPr>
          <w:rFonts w:ascii="Times New Roman" w:cs="Times New Roman" w:eastAsia="Times New Roman" w:hAnsi="Times New Roman"/>
          <w:sz w:val="17"/>
          <w:szCs w:val="17"/>
          <w:color w:val="345988"/>
        </w:rPr>
      </w:pPr>
      <w:r>
        <w:rPr>
          <w:rFonts w:ascii="Arial" w:cs="Arial" w:eastAsia="Arial" w:hAnsi="Arial"/>
          <w:sz w:val="18"/>
          <w:szCs w:val="18"/>
          <w:color w:val="auto"/>
        </w:rPr>
        <w:t>One-half of performance-based LTIP units will be earned based on relative TSR over three-year performance period</w:t>
      </w:r>
    </w:p>
    <w:p>
      <w:pPr>
        <w:spacing w:after="0" w:line="18" w:lineRule="exact"/>
        <w:rPr>
          <w:rFonts w:ascii="Times New Roman" w:cs="Times New Roman" w:eastAsia="Times New Roman" w:hAnsi="Times New Roman"/>
          <w:sz w:val="17"/>
          <w:szCs w:val="17"/>
          <w:color w:val="345988"/>
        </w:rPr>
      </w:pPr>
    </w:p>
    <w:p>
      <w:pPr>
        <w:ind w:left="520" w:hanging="234"/>
        <w:spacing w:after="0"/>
        <w:tabs>
          <w:tab w:leader="none" w:pos="520" w:val="left"/>
        </w:tabs>
        <w:numPr>
          <w:ilvl w:val="0"/>
          <w:numId w:val="71"/>
        </w:numPr>
        <w:rPr>
          <w:rFonts w:ascii="Times New Roman" w:cs="Times New Roman" w:eastAsia="Times New Roman" w:hAnsi="Times New Roman"/>
          <w:sz w:val="17"/>
          <w:szCs w:val="17"/>
          <w:color w:val="345988"/>
        </w:rPr>
      </w:pPr>
      <w:r>
        <w:rPr>
          <w:rFonts w:ascii="Arial" w:cs="Arial" w:eastAsia="Arial" w:hAnsi="Arial"/>
          <w:sz w:val="18"/>
          <w:szCs w:val="18"/>
          <w:color w:val="auto"/>
        </w:rPr>
        <w:t>CEO contract guarantees annual equity grant amounts on a</w:t>
      </w: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Under new CEO contract, target amounts for a time-based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800" w:type="dxa"/>
            <w:vAlign w:val="bottom"/>
          </w:tcPr>
          <w:p>
            <w:pPr>
              <w:ind w:left="540"/>
              <w:spacing w:after="0"/>
              <w:rPr>
                <w:sz w:val="20"/>
                <w:szCs w:val="20"/>
                <w:color w:val="auto"/>
              </w:rPr>
            </w:pPr>
            <w:r>
              <w:rPr>
                <w:rFonts w:ascii="Arial" w:cs="Arial" w:eastAsia="Arial" w:hAnsi="Arial"/>
                <w:sz w:val="18"/>
                <w:szCs w:val="18"/>
                <w:color w:val="auto"/>
              </w:rPr>
              <w:t>multi-year basis</w:t>
            </w:r>
          </w:p>
        </w:tc>
        <w:tc>
          <w:tcPr>
            <w:tcW w:w="6620" w:type="dxa"/>
            <w:vAlign w:val="bottom"/>
          </w:tcPr>
          <w:p>
            <w:pPr>
              <w:ind w:left="1200"/>
              <w:spacing w:after="0"/>
              <w:rPr>
                <w:sz w:val="20"/>
                <w:szCs w:val="20"/>
                <w:color w:val="auto"/>
              </w:rPr>
            </w:pPr>
            <w:r>
              <w:rPr>
                <w:rFonts w:ascii="Arial" w:cs="Arial" w:eastAsia="Arial" w:hAnsi="Arial"/>
                <w:sz w:val="18"/>
                <w:szCs w:val="18"/>
                <w:color w:val="auto"/>
              </w:rPr>
              <w:t>performance-based equity grant are provided for, without any</w:t>
            </w:r>
          </w:p>
        </w:tc>
        <w:tc>
          <w:tcPr>
            <w:tcW w:w="20" w:type="dxa"/>
            <w:vAlign w:val="bottom"/>
          </w:tcPr>
          <w:p>
            <w:pPr>
              <w:spacing w:after="0"/>
              <w:rPr>
                <w:sz w:val="18"/>
                <w:szCs w:val="18"/>
                <w:color w:val="auto"/>
              </w:rPr>
            </w:pPr>
          </w:p>
        </w:tc>
      </w:tr>
      <w:tr>
        <w:trPr>
          <w:trHeight w:val="242"/>
        </w:trPr>
        <w:tc>
          <w:tcPr>
            <w:tcW w:w="4800" w:type="dxa"/>
            <w:vAlign w:val="bottom"/>
          </w:tcPr>
          <w:p>
            <w:pPr>
              <w:spacing w:after="0"/>
              <w:rPr>
                <w:sz w:val="21"/>
                <w:szCs w:val="21"/>
                <w:color w:val="auto"/>
              </w:rPr>
            </w:pPr>
          </w:p>
        </w:tc>
        <w:tc>
          <w:tcPr>
            <w:tcW w:w="6620" w:type="dxa"/>
            <w:vAlign w:val="bottom"/>
          </w:tcPr>
          <w:p>
            <w:pPr>
              <w:ind w:left="1200"/>
              <w:spacing w:after="0"/>
              <w:rPr>
                <w:sz w:val="20"/>
                <w:szCs w:val="20"/>
                <w:color w:val="auto"/>
              </w:rPr>
            </w:pPr>
            <w:r>
              <w:rPr>
                <w:rFonts w:ascii="Arial" w:cs="Arial" w:eastAsia="Arial" w:hAnsi="Arial"/>
                <w:sz w:val="18"/>
                <w:szCs w:val="18"/>
                <w:color w:val="auto"/>
              </w:rPr>
              <w:t>contractual guarantees</w:t>
            </w:r>
          </w:p>
        </w:tc>
        <w:tc>
          <w:tcPr>
            <w:tcW w:w="20" w:type="dxa"/>
            <w:vAlign w:val="bottom"/>
          </w:tcPr>
          <w:p>
            <w:pPr>
              <w:spacing w:after="0"/>
              <w:rPr>
                <w:sz w:val="21"/>
                <w:szCs w:val="21"/>
                <w:color w:val="auto"/>
              </w:rPr>
            </w:pPr>
          </w:p>
        </w:tc>
      </w:tr>
      <w:tr>
        <w:trPr>
          <w:trHeight w:val="262"/>
        </w:trPr>
        <w:tc>
          <w:tcPr>
            <w:tcW w:w="4800" w:type="dxa"/>
            <w:vAlign w:val="bottom"/>
            <w:shd w:val="clear" w:color="auto" w:fill="8590A9"/>
          </w:tcPr>
          <w:p>
            <w:pPr>
              <w:spacing w:after="0"/>
              <w:rPr>
                <w:sz w:val="22"/>
                <w:szCs w:val="22"/>
                <w:color w:val="auto"/>
              </w:rPr>
            </w:pPr>
          </w:p>
        </w:tc>
        <w:tc>
          <w:tcPr>
            <w:tcW w:w="6620" w:type="dxa"/>
            <w:vAlign w:val="bottom"/>
            <w:shd w:val="clear" w:color="auto" w:fill="8590A9"/>
          </w:tcPr>
          <w:p>
            <w:pPr>
              <w:ind w:left="680"/>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22"/>
                <w:szCs w:val="22"/>
                <w:color w:val="auto"/>
              </w:rPr>
            </w:pPr>
          </w:p>
        </w:tc>
      </w:tr>
      <w:tr>
        <w:trPr>
          <w:trHeight w:val="224"/>
        </w:trPr>
        <w:tc>
          <w:tcPr>
            <w:tcW w:w="4800" w:type="dxa"/>
            <w:vAlign w:val="bottom"/>
          </w:tcPr>
          <w:p>
            <w:pPr>
              <w:ind w:left="28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Reduce compensation for Executive Chairman</w:t>
            </w:r>
          </w:p>
        </w:tc>
        <w:tc>
          <w:tcPr>
            <w:tcW w:w="6620" w:type="dxa"/>
            <w:vAlign w:val="bottom"/>
          </w:tcPr>
          <w:p>
            <w:pPr>
              <w:ind w:left="92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Reduced total compensation awarded to Stephen L. Green for three</w:t>
            </w:r>
          </w:p>
        </w:tc>
        <w:tc>
          <w:tcPr>
            <w:tcW w:w="20" w:type="dxa"/>
            <w:vAlign w:val="bottom"/>
          </w:tcPr>
          <w:p>
            <w:pPr>
              <w:spacing w:after="0"/>
              <w:rPr>
                <w:sz w:val="19"/>
                <w:szCs w:val="19"/>
                <w:color w:val="auto"/>
              </w:rPr>
            </w:pPr>
          </w:p>
        </w:tc>
      </w:tr>
      <w:tr>
        <w:trPr>
          <w:trHeight w:val="202"/>
        </w:trPr>
        <w:tc>
          <w:tcPr>
            <w:tcW w:w="4800" w:type="dxa"/>
            <w:vAlign w:val="bottom"/>
          </w:tcPr>
          <w:p>
            <w:pPr>
              <w:spacing w:after="0"/>
              <w:rPr>
                <w:sz w:val="17"/>
                <w:szCs w:val="17"/>
                <w:color w:val="auto"/>
              </w:rPr>
            </w:pPr>
          </w:p>
        </w:tc>
        <w:tc>
          <w:tcPr>
            <w:tcW w:w="6620" w:type="dxa"/>
            <w:vAlign w:val="bottom"/>
          </w:tcPr>
          <w:p>
            <w:pPr>
              <w:ind w:left="1200"/>
              <w:spacing w:after="0" w:line="202" w:lineRule="exact"/>
              <w:rPr>
                <w:sz w:val="20"/>
                <w:szCs w:val="20"/>
                <w:color w:val="auto"/>
              </w:rPr>
            </w:pPr>
            <w:r>
              <w:rPr>
                <w:rFonts w:ascii="Arial" w:cs="Arial" w:eastAsia="Arial" w:hAnsi="Arial"/>
                <w:sz w:val="18"/>
                <w:szCs w:val="18"/>
                <w:color w:val="auto"/>
                <w:w w:val="98"/>
              </w:rPr>
              <w:t>consecutive years to reflect his role and responsibilities as Executive</w:t>
            </w:r>
          </w:p>
        </w:tc>
        <w:tc>
          <w:tcPr>
            <w:tcW w:w="20" w:type="dxa"/>
            <w:vAlign w:val="bottom"/>
          </w:tcPr>
          <w:p>
            <w:pPr>
              <w:spacing w:after="0"/>
              <w:rPr>
                <w:sz w:val="17"/>
                <w:szCs w:val="17"/>
                <w:color w:val="auto"/>
              </w:rPr>
            </w:pPr>
          </w:p>
        </w:tc>
      </w:tr>
      <w:tr>
        <w:trPr>
          <w:trHeight w:val="202"/>
        </w:trPr>
        <w:tc>
          <w:tcPr>
            <w:tcW w:w="4800" w:type="dxa"/>
            <w:vAlign w:val="bottom"/>
          </w:tcPr>
          <w:p>
            <w:pPr>
              <w:spacing w:after="0"/>
              <w:rPr>
                <w:sz w:val="17"/>
                <w:szCs w:val="17"/>
                <w:color w:val="auto"/>
              </w:rPr>
            </w:pPr>
          </w:p>
        </w:tc>
        <w:tc>
          <w:tcPr>
            <w:tcW w:w="6620" w:type="dxa"/>
            <w:vAlign w:val="bottom"/>
          </w:tcPr>
          <w:p>
            <w:pPr>
              <w:ind w:left="1200"/>
              <w:spacing w:after="0" w:line="202" w:lineRule="exact"/>
              <w:rPr>
                <w:sz w:val="20"/>
                <w:szCs w:val="20"/>
                <w:color w:val="auto"/>
              </w:rPr>
            </w:pPr>
            <w:r>
              <w:rPr>
                <w:rFonts w:ascii="Arial" w:cs="Arial" w:eastAsia="Arial" w:hAnsi="Arial"/>
                <w:sz w:val="18"/>
                <w:szCs w:val="18"/>
                <w:color w:val="auto"/>
              </w:rPr>
              <w:t>Chairman</w:t>
            </w:r>
          </w:p>
        </w:tc>
        <w:tc>
          <w:tcPr>
            <w:tcW w:w="20" w:type="dxa"/>
            <w:vAlign w:val="bottom"/>
          </w:tcPr>
          <w:p>
            <w:pPr>
              <w:spacing w:after="0"/>
              <w:rPr>
                <w:sz w:val="17"/>
                <w:szCs w:val="17"/>
                <w:color w:val="auto"/>
              </w:rPr>
            </w:pPr>
          </w:p>
        </w:tc>
      </w:tr>
      <w:tr>
        <w:trPr>
          <w:trHeight w:val="216"/>
        </w:trPr>
        <w:tc>
          <w:tcPr>
            <w:tcW w:w="4800" w:type="dxa"/>
            <w:vAlign w:val="bottom"/>
          </w:tcPr>
          <w:p>
            <w:pPr>
              <w:spacing w:after="0"/>
              <w:rPr>
                <w:sz w:val="18"/>
                <w:szCs w:val="18"/>
                <w:color w:val="auto"/>
              </w:rPr>
            </w:pPr>
          </w:p>
        </w:tc>
        <w:tc>
          <w:tcPr>
            <w:tcW w:w="6620" w:type="dxa"/>
            <w:vAlign w:val="bottom"/>
          </w:tcPr>
          <w:p>
            <w:pPr>
              <w:ind w:left="92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Mr. Green will step down as Executive Chairman and assume the role</w:t>
            </w:r>
          </w:p>
        </w:tc>
        <w:tc>
          <w:tcPr>
            <w:tcW w:w="20" w:type="dxa"/>
            <w:vAlign w:val="bottom"/>
          </w:tcPr>
          <w:p>
            <w:pPr>
              <w:spacing w:after="0"/>
              <w:rPr>
                <w:sz w:val="18"/>
                <w:szCs w:val="18"/>
                <w:color w:val="auto"/>
              </w:rPr>
            </w:pPr>
          </w:p>
        </w:tc>
      </w:tr>
      <w:tr>
        <w:trPr>
          <w:trHeight w:val="202"/>
        </w:trPr>
        <w:tc>
          <w:tcPr>
            <w:tcW w:w="4800" w:type="dxa"/>
            <w:vAlign w:val="bottom"/>
          </w:tcPr>
          <w:p>
            <w:pPr>
              <w:spacing w:after="0"/>
              <w:rPr>
                <w:sz w:val="17"/>
                <w:szCs w:val="17"/>
                <w:color w:val="auto"/>
              </w:rPr>
            </w:pPr>
          </w:p>
        </w:tc>
        <w:tc>
          <w:tcPr>
            <w:tcW w:w="6620" w:type="dxa"/>
            <w:vAlign w:val="bottom"/>
          </w:tcPr>
          <w:p>
            <w:pPr>
              <w:ind w:left="1200"/>
              <w:spacing w:after="0" w:line="202" w:lineRule="exact"/>
              <w:rPr>
                <w:sz w:val="20"/>
                <w:szCs w:val="20"/>
                <w:color w:val="auto"/>
              </w:rPr>
            </w:pPr>
            <w:r>
              <w:rPr>
                <w:rFonts w:ascii="Arial" w:cs="Arial" w:eastAsia="Arial" w:hAnsi="Arial"/>
                <w:sz w:val="18"/>
                <w:szCs w:val="18"/>
                <w:color w:val="auto"/>
              </w:rPr>
              <w:t>of Chairman Emeritus in January 2019, and will no longer be an</w:t>
            </w:r>
          </w:p>
        </w:tc>
        <w:tc>
          <w:tcPr>
            <w:tcW w:w="20" w:type="dxa"/>
            <w:vAlign w:val="bottom"/>
          </w:tcPr>
          <w:p>
            <w:pPr>
              <w:spacing w:after="0"/>
              <w:rPr>
                <w:sz w:val="17"/>
                <w:szCs w:val="17"/>
                <w:color w:val="auto"/>
              </w:rPr>
            </w:pPr>
          </w:p>
        </w:tc>
      </w:tr>
      <w:tr>
        <w:trPr>
          <w:trHeight w:val="242"/>
        </w:trPr>
        <w:tc>
          <w:tcPr>
            <w:tcW w:w="4800" w:type="dxa"/>
            <w:vAlign w:val="bottom"/>
            <w:tcBorders>
              <w:bottom w:val="single" w:sz="8" w:color="8590A9"/>
            </w:tcBorders>
          </w:tcPr>
          <w:p>
            <w:pPr>
              <w:spacing w:after="0"/>
              <w:rPr>
                <w:sz w:val="21"/>
                <w:szCs w:val="21"/>
                <w:color w:val="auto"/>
              </w:rPr>
            </w:pPr>
          </w:p>
        </w:tc>
        <w:tc>
          <w:tcPr>
            <w:tcW w:w="6620" w:type="dxa"/>
            <w:vAlign w:val="bottom"/>
            <w:tcBorders>
              <w:bottom w:val="single" w:sz="8" w:color="8590A9"/>
            </w:tcBorders>
          </w:tcPr>
          <w:p>
            <w:pPr>
              <w:ind w:left="1200"/>
              <w:spacing w:after="0"/>
              <w:rPr>
                <w:sz w:val="20"/>
                <w:szCs w:val="20"/>
                <w:color w:val="auto"/>
              </w:rPr>
            </w:pPr>
            <w:r>
              <w:rPr>
                <w:rFonts w:ascii="Arial" w:cs="Arial" w:eastAsia="Arial" w:hAnsi="Arial"/>
                <w:sz w:val="18"/>
                <w:szCs w:val="18"/>
                <w:color w:val="auto"/>
              </w:rPr>
              <w:t>employee of the Company</w:t>
            </w:r>
          </w:p>
        </w:tc>
        <w:tc>
          <w:tcPr>
            <w:tcW w:w="20" w:type="dxa"/>
            <w:vAlign w:val="bottom"/>
          </w:tcPr>
          <w:p>
            <w:pPr>
              <w:spacing w:after="0"/>
              <w:rPr>
                <w:sz w:val="21"/>
                <w:szCs w:val="21"/>
                <w:color w:val="auto"/>
              </w:rPr>
            </w:pPr>
          </w:p>
        </w:tc>
      </w:tr>
      <w:tr>
        <w:trPr>
          <w:trHeight w:val="223"/>
        </w:trPr>
        <w:tc>
          <w:tcPr>
            <w:tcW w:w="4800" w:type="dxa"/>
            <w:vAlign w:val="bottom"/>
          </w:tcPr>
          <w:p>
            <w:pPr>
              <w:ind w:left="28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Director compensation is high relative to peers</w:t>
            </w:r>
          </w:p>
        </w:tc>
        <w:tc>
          <w:tcPr>
            <w:tcW w:w="6620" w:type="dxa"/>
            <w:vAlign w:val="bottom"/>
          </w:tcPr>
          <w:p>
            <w:pPr>
              <w:ind w:left="92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Compensation for all non-employee directors will be reduced by</w:t>
            </w:r>
          </w:p>
        </w:tc>
        <w:tc>
          <w:tcPr>
            <w:tcW w:w="20" w:type="dxa"/>
            <w:vAlign w:val="bottom"/>
          </w:tcPr>
          <w:p>
            <w:pPr>
              <w:spacing w:after="0"/>
              <w:rPr>
                <w:sz w:val="19"/>
                <w:szCs w:val="19"/>
                <w:color w:val="auto"/>
              </w:rPr>
            </w:pPr>
          </w:p>
        </w:tc>
      </w:tr>
      <w:tr>
        <w:trPr>
          <w:trHeight w:val="242"/>
        </w:trPr>
        <w:tc>
          <w:tcPr>
            <w:tcW w:w="4800" w:type="dxa"/>
            <w:vAlign w:val="bottom"/>
            <w:tcBorders>
              <w:bottom w:val="single" w:sz="8" w:color="8590A9"/>
            </w:tcBorders>
          </w:tcPr>
          <w:p>
            <w:pPr>
              <w:spacing w:after="0"/>
              <w:rPr>
                <w:sz w:val="21"/>
                <w:szCs w:val="21"/>
                <w:color w:val="auto"/>
              </w:rPr>
            </w:pPr>
          </w:p>
        </w:tc>
        <w:tc>
          <w:tcPr>
            <w:tcW w:w="6620" w:type="dxa"/>
            <w:vAlign w:val="bottom"/>
            <w:tcBorders>
              <w:bottom w:val="single" w:sz="8" w:color="8590A9"/>
            </w:tcBorders>
          </w:tcPr>
          <w:p>
            <w:pPr>
              <w:ind w:left="1200"/>
              <w:spacing w:after="0"/>
              <w:rPr>
                <w:sz w:val="20"/>
                <w:szCs w:val="20"/>
                <w:color w:val="auto"/>
              </w:rPr>
            </w:pPr>
            <w:r>
              <w:rPr>
                <w:rFonts w:ascii="Arial" w:cs="Arial" w:eastAsia="Arial" w:hAnsi="Arial"/>
                <w:sz w:val="18"/>
                <w:szCs w:val="18"/>
                <w:color w:val="auto"/>
              </w:rPr>
              <w:t>approximately $50,000</w:t>
            </w:r>
          </w:p>
        </w:tc>
        <w:tc>
          <w:tcPr>
            <w:tcW w:w="20" w:type="dxa"/>
            <w:vAlign w:val="bottom"/>
          </w:tcPr>
          <w:p>
            <w:pPr>
              <w:spacing w:after="0"/>
              <w:rPr>
                <w:sz w:val="21"/>
                <w:szCs w:val="21"/>
                <w:color w:val="auto"/>
              </w:rPr>
            </w:pPr>
          </w:p>
        </w:tc>
      </w:tr>
      <w:tr>
        <w:trPr>
          <w:trHeight w:val="432"/>
        </w:trPr>
        <w:tc>
          <w:tcPr>
            <w:tcW w:w="4800" w:type="dxa"/>
            <w:vAlign w:val="bottom"/>
          </w:tcPr>
          <w:p>
            <w:pPr>
              <w:spacing w:after="0"/>
              <w:rPr>
                <w:sz w:val="24"/>
                <w:szCs w:val="24"/>
                <w:color w:val="auto"/>
              </w:rPr>
            </w:pPr>
          </w:p>
        </w:tc>
        <w:tc>
          <w:tcPr>
            <w:tcW w:w="6620" w:type="dxa"/>
            <w:vAlign w:val="bottom"/>
          </w:tcPr>
          <w:p>
            <w:pPr>
              <w:ind w:left="4600"/>
              <w:spacing w:after="0"/>
              <w:rPr>
                <w:sz w:val="20"/>
                <w:szCs w:val="20"/>
                <w:color w:val="auto"/>
              </w:rPr>
            </w:pPr>
            <w:r>
              <w:rPr>
                <w:rFonts w:ascii="Arial" w:cs="Arial" w:eastAsia="Arial" w:hAnsi="Arial"/>
                <w:sz w:val="18"/>
                <w:szCs w:val="18"/>
                <w:color w:val="auto"/>
                <w:w w:val="98"/>
              </w:rPr>
              <w:t xml:space="preserve">2018 Proxy Statement </w:t>
            </w:r>
            <w:r>
              <w:rPr>
                <w:rFonts w:ascii="Arial" w:cs="Arial" w:eastAsia="Arial" w:hAnsi="Arial"/>
                <w:sz w:val="18"/>
                <w:szCs w:val="18"/>
                <w:color w:val="325889"/>
                <w:w w:val="98"/>
              </w:rPr>
              <w:t>31</w:t>
            </w:r>
          </w:p>
        </w:tc>
        <w:tc>
          <w:tcPr>
            <w:tcW w:w="20" w:type="dxa"/>
            <w:vAlign w:val="bottom"/>
          </w:tcPr>
          <w:p>
            <w:pPr>
              <w:spacing w:after="0"/>
              <w:rPr>
                <w:sz w:val="24"/>
                <w:szCs w:val="24"/>
                <w:color w:val="auto"/>
              </w:rPr>
            </w:pPr>
          </w:p>
        </w:tc>
      </w:tr>
      <w:tr>
        <w:trPr>
          <w:trHeight w:val="210"/>
        </w:trPr>
        <w:tc>
          <w:tcPr>
            <w:tcW w:w="4800" w:type="dxa"/>
            <w:vAlign w:val="bottom"/>
            <w:tcBorders>
              <w:bottom w:val="single" w:sz="8" w:color="808080"/>
            </w:tcBorders>
          </w:tcPr>
          <w:p>
            <w:pPr>
              <w:spacing w:after="0"/>
              <w:rPr>
                <w:sz w:val="18"/>
                <w:szCs w:val="18"/>
                <w:color w:val="auto"/>
              </w:rPr>
            </w:pPr>
          </w:p>
        </w:tc>
        <w:tc>
          <w:tcPr>
            <w:tcW w:w="66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Expected Components of Compensation for CEO – Effective in 2019</w:t>
      </w:r>
    </w:p>
    <w:p>
      <w:pPr>
        <w:spacing w:after="0" w:line="21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Beginning in January 2019 – when our CEO’s new employment agreement becomes effective – his compensation will be simplified with enhanced transparency and improved long-term orientation, per the changes described above.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500" w:type="dxa"/>
            <w:vAlign w:val="bottom"/>
            <w:shd w:val="clear" w:color="auto" w:fill="345988"/>
          </w:tcPr>
          <w:p>
            <w:pPr>
              <w:spacing w:after="0"/>
              <w:rPr>
                <w:sz w:val="17"/>
                <w:szCs w:val="17"/>
                <w:color w:val="auto"/>
              </w:rPr>
            </w:pPr>
          </w:p>
        </w:tc>
        <w:tc>
          <w:tcPr>
            <w:tcW w:w="2280" w:type="dxa"/>
            <w:vAlign w:val="bottom"/>
            <w:shd w:val="clear" w:color="auto" w:fill="345988"/>
          </w:tcPr>
          <w:p>
            <w:pPr>
              <w:ind w:left="140"/>
              <w:spacing w:after="0"/>
              <w:rPr>
                <w:sz w:val="20"/>
                <w:szCs w:val="20"/>
                <w:color w:val="auto"/>
              </w:rPr>
            </w:pPr>
            <w:r>
              <w:rPr>
                <w:rFonts w:ascii="Arial" w:cs="Arial" w:eastAsia="Arial" w:hAnsi="Arial"/>
                <w:sz w:val="13"/>
                <w:szCs w:val="13"/>
                <w:b w:val="1"/>
                <w:bCs w:val="1"/>
                <w:color w:val="FFFFFF"/>
              </w:rPr>
              <w:t>Pay Element</w:t>
            </w:r>
          </w:p>
        </w:tc>
        <w:tc>
          <w:tcPr>
            <w:tcW w:w="7640" w:type="dxa"/>
            <w:vAlign w:val="bottom"/>
            <w:gridSpan w:val="2"/>
            <w:shd w:val="clear" w:color="auto" w:fill="345988"/>
          </w:tcPr>
          <w:p>
            <w:pPr>
              <w:ind w:left="140"/>
              <w:spacing w:after="0"/>
              <w:rPr>
                <w:sz w:val="20"/>
                <w:szCs w:val="20"/>
                <w:color w:val="auto"/>
              </w:rPr>
            </w:pPr>
            <w:r>
              <w:rPr>
                <w:rFonts w:ascii="Arial" w:cs="Arial" w:eastAsia="Arial" w:hAnsi="Arial"/>
                <w:sz w:val="13"/>
                <w:szCs w:val="13"/>
                <w:b w:val="1"/>
                <w:bCs w:val="1"/>
                <w:color w:val="FFFFFF"/>
              </w:rPr>
              <w:t>Key Changes / Characteristics</w:t>
            </w:r>
          </w:p>
        </w:tc>
        <w:tc>
          <w:tcPr>
            <w:tcW w:w="0" w:type="dxa"/>
            <w:vAlign w:val="bottom"/>
          </w:tcPr>
          <w:p>
            <w:pPr>
              <w:spacing w:after="0"/>
              <w:rPr>
                <w:sz w:val="1"/>
                <w:szCs w:val="1"/>
                <w:color w:val="auto"/>
              </w:rPr>
            </w:pPr>
          </w:p>
        </w:tc>
      </w:tr>
      <w:tr>
        <w:trPr>
          <w:trHeight w:val="263"/>
        </w:trPr>
        <w:tc>
          <w:tcPr>
            <w:tcW w:w="1500" w:type="dxa"/>
            <w:vAlign w:val="bottom"/>
            <w:tcBorders>
              <w:bottom w:val="single" w:sz="8" w:color="808080"/>
            </w:tcBorders>
            <w:shd w:val="clear" w:color="auto" w:fill="8590A9"/>
          </w:tcPr>
          <w:p>
            <w:pPr>
              <w:jc w:val="center"/>
              <w:spacing w:after="0"/>
              <w:rPr>
                <w:sz w:val="20"/>
                <w:szCs w:val="20"/>
                <w:color w:val="auto"/>
              </w:rPr>
            </w:pPr>
            <w:r>
              <w:rPr>
                <w:rFonts w:ascii="Arial" w:cs="Arial" w:eastAsia="Arial" w:hAnsi="Arial"/>
                <w:sz w:val="18"/>
                <w:szCs w:val="18"/>
                <w:b w:val="1"/>
                <w:bCs w:val="1"/>
                <w:color w:val="FFFFFF"/>
                <w:w w:val="97"/>
              </w:rPr>
              <w:t>Fixed</w:t>
            </w:r>
          </w:p>
        </w:tc>
        <w:tc>
          <w:tcPr>
            <w:tcW w:w="2280" w:type="dxa"/>
            <w:vAlign w:val="bottom"/>
            <w:tcBorders>
              <w:bottom w:val="single" w:sz="8" w:color="8590A9"/>
            </w:tcBorders>
            <w:shd w:val="clear" w:color="auto" w:fill="D0D3DB"/>
          </w:tcPr>
          <w:p>
            <w:pPr>
              <w:ind w:left="140"/>
              <w:spacing w:after="0"/>
              <w:rPr>
                <w:sz w:val="20"/>
                <w:szCs w:val="20"/>
                <w:color w:val="auto"/>
              </w:rPr>
            </w:pPr>
            <w:r>
              <w:rPr>
                <w:rFonts w:ascii="Arial" w:cs="Arial" w:eastAsia="Arial" w:hAnsi="Arial"/>
                <w:sz w:val="18"/>
                <w:szCs w:val="18"/>
                <w:color w:val="auto"/>
              </w:rPr>
              <w:t>Base Salary</w:t>
            </w:r>
          </w:p>
        </w:tc>
        <w:tc>
          <w:tcPr>
            <w:tcW w:w="320" w:type="dxa"/>
            <w:vAlign w:val="bottom"/>
            <w:tcBorders>
              <w:bottom w:val="single" w:sz="8" w:color="8590A9"/>
            </w:tcBorders>
          </w:tcPr>
          <w:p>
            <w:pPr>
              <w:ind w:left="160"/>
              <w:spacing w:after="0"/>
              <w:rPr>
                <w:sz w:val="20"/>
                <w:szCs w:val="20"/>
                <w:color w:val="auto"/>
              </w:rPr>
            </w:pPr>
            <w:r>
              <w:rPr>
                <w:rFonts w:ascii="Times New Roman" w:cs="Times New Roman" w:eastAsia="Times New Roman" w:hAnsi="Times New Roman"/>
                <w:sz w:val="17"/>
                <w:szCs w:val="17"/>
                <w:color w:val="345988"/>
              </w:rPr>
              <w:t>●</w:t>
            </w:r>
          </w:p>
        </w:tc>
        <w:tc>
          <w:tcPr>
            <w:tcW w:w="7320" w:type="dxa"/>
            <w:vAlign w:val="bottom"/>
            <w:tcBorders>
              <w:bottom w:val="single" w:sz="8" w:color="8590A9"/>
            </w:tcBorders>
          </w:tcPr>
          <w:p>
            <w:pPr>
              <w:ind w:left="80"/>
              <w:spacing w:after="0"/>
              <w:rPr>
                <w:sz w:val="20"/>
                <w:szCs w:val="20"/>
                <w:color w:val="auto"/>
              </w:rPr>
            </w:pPr>
            <w:r>
              <w:rPr>
                <w:rFonts w:ascii="Arial" w:cs="Arial" w:eastAsia="Arial" w:hAnsi="Arial"/>
                <w:sz w:val="18"/>
                <w:szCs w:val="18"/>
                <w:color w:val="auto"/>
              </w:rPr>
              <w:t>Only fixed component of compensation awarded to our CEO</w:t>
            </w:r>
          </w:p>
        </w:tc>
        <w:tc>
          <w:tcPr>
            <w:tcW w:w="0" w:type="dxa"/>
            <w:vAlign w:val="bottom"/>
          </w:tcPr>
          <w:p>
            <w:pPr>
              <w:spacing w:after="0"/>
              <w:rPr>
                <w:sz w:val="1"/>
                <w:szCs w:val="1"/>
                <w:color w:val="auto"/>
              </w:rPr>
            </w:pPr>
          </w:p>
        </w:tc>
      </w:tr>
      <w:tr>
        <w:trPr>
          <w:trHeight w:val="208"/>
        </w:trPr>
        <w:tc>
          <w:tcPr>
            <w:tcW w:w="1500" w:type="dxa"/>
            <w:vAlign w:val="bottom"/>
            <w:shd w:val="clear" w:color="auto" w:fill="808080"/>
          </w:tcPr>
          <w:p>
            <w:pPr>
              <w:jc w:val="center"/>
              <w:spacing w:after="0"/>
              <w:rPr>
                <w:sz w:val="20"/>
                <w:szCs w:val="20"/>
                <w:color w:val="auto"/>
              </w:rPr>
            </w:pPr>
            <w:r>
              <w:rPr>
                <w:rFonts w:ascii="Arial" w:cs="Arial" w:eastAsia="Arial" w:hAnsi="Arial"/>
                <w:sz w:val="18"/>
                <w:szCs w:val="18"/>
                <w:b w:val="1"/>
                <w:bCs w:val="1"/>
                <w:color w:val="FFFFFF"/>
                <w:w w:val="98"/>
              </w:rPr>
              <w:t>Annual</w:t>
            </w:r>
          </w:p>
        </w:tc>
        <w:tc>
          <w:tcPr>
            <w:tcW w:w="2280" w:type="dxa"/>
            <w:vAlign w:val="bottom"/>
            <w:vMerge w:val="restart"/>
            <w:shd w:val="clear" w:color="auto" w:fill="D6D6D6"/>
          </w:tcPr>
          <w:p>
            <w:pPr>
              <w:ind w:left="140"/>
              <w:spacing w:after="0"/>
              <w:rPr>
                <w:sz w:val="20"/>
                <w:szCs w:val="20"/>
                <w:color w:val="auto"/>
              </w:rPr>
            </w:pPr>
            <w:r>
              <w:rPr>
                <w:rFonts w:ascii="Arial" w:cs="Arial" w:eastAsia="Arial" w:hAnsi="Arial"/>
                <w:sz w:val="18"/>
                <w:szCs w:val="18"/>
                <w:color w:val="auto"/>
              </w:rPr>
              <w:t>Annual Cash Bonus</w:t>
            </w:r>
          </w:p>
        </w:tc>
        <w:tc>
          <w:tcPr>
            <w:tcW w:w="320" w:type="dxa"/>
            <w:vAlign w:val="bottom"/>
          </w:tcPr>
          <w:p>
            <w:pPr>
              <w:ind w:left="160"/>
              <w:spacing w:after="0"/>
              <w:rPr>
                <w:sz w:val="20"/>
                <w:szCs w:val="20"/>
                <w:color w:val="auto"/>
              </w:rPr>
            </w:pPr>
            <w:r>
              <w:rPr>
                <w:rFonts w:ascii="Times New Roman" w:cs="Times New Roman" w:eastAsia="Times New Roman" w:hAnsi="Times New Roman"/>
                <w:sz w:val="17"/>
                <w:szCs w:val="17"/>
                <w:color w:val="345988"/>
              </w:rPr>
              <w:t>●</w:t>
            </w:r>
          </w:p>
        </w:tc>
        <w:tc>
          <w:tcPr>
            <w:tcW w:w="7320" w:type="dxa"/>
            <w:vAlign w:val="bottom"/>
          </w:tcPr>
          <w:p>
            <w:pPr>
              <w:ind w:left="80"/>
              <w:spacing w:after="0"/>
              <w:rPr>
                <w:sz w:val="20"/>
                <w:szCs w:val="20"/>
                <w:color w:val="auto"/>
              </w:rPr>
            </w:pPr>
            <w:r>
              <w:rPr>
                <w:rFonts w:ascii="Arial" w:cs="Arial" w:eastAsia="Arial" w:hAnsi="Arial"/>
                <w:sz w:val="18"/>
                <w:szCs w:val="18"/>
                <w:color w:val="auto"/>
              </w:rPr>
              <w:t>100% formulaic based on specific performance criteria and weightings that link to our</w:t>
            </w:r>
          </w:p>
        </w:tc>
        <w:tc>
          <w:tcPr>
            <w:tcW w:w="0" w:type="dxa"/>
            <w:vAlign w:val="bottom"/>
          </w:tcPr>
          <w:p>
            <w:pPr>
              <w:spacing w:after="0"/>
              <w:rPr>
                <w:sz w:val="1"/>
                <w:szCs w:val="1"/>
                <w:color w:val="auto"/>
              </w:rPr>
            </w:pPr>
          </w:p>
        </w:tc>
      </w:tr>
      <w:tr>
        <w:trPr>
          <w:trHeight w:val="144"/>
        </w:trPr>
        <w:tc>
          <w:tcPr>
            <w:tcW w:w="1500" w:type="dxa"/>
            <w:vAlign w:val="bottom"/>
            <w:vMerge w:val="restart"/>
            <w:shd w:val="clear" w:color="auto" w:fill="808080"/>
          </w:tcPr>
          <w:p>
            <w:pPr>
              <w:jc w:val="center"/>
              <w:spacing w:after="0"/>
              <w:rPr>
                <w:sz w:val="20"/>
                <w:szCs w:val="20"/>
                <w:color w:val="auto"/>
              </w:rPr>
            </w:pPr>
            <w:r>
              <w:rPr>
                <w:rFonts w:ascii="Arial" w:cs="Arial" w:eastAsia="Arial" w:hAnsi="Arial"/>
                <w:sz w:val="18"/>
                <w:szCs w:val="18"/>
                <w:b w:val="1"/>
                <w:bCs w:val="1"/>
                <w:color w:val="FFFFFF"/>
                <w:w w:val="97"/>
              </w:rPr>
              <w:t>Incentives</w:t>
            </w:r>
          </w:p>
        </w:tc>
        <w:tc>
          <w:tcPr>
            <w:tcW w:w="2280" w:type="dxa"/>
            <w:vAlign w:val="bottom"/>
            <w:vMerge w:val="continue"/>
            <w:shd w:val="clear" w:color="auto" w:fill="D6D6D6"/>
          </w:tcPr>
          <w:p>
            <w:pPr>
              <w:spacing w:after="0"/>
              <w:rPr>
                <w:sz w:val="12"/>
                <w:szCs w:val="12"/>
                <w:color w:val="auto"/>
              </w:rPr>
            </w:pPr>
          </w:p>
        </w:tc>
        <w:tc>
          <w:tcPr>
            <w:tcW w:w="320" w:type="dxa"/>
            <w:vAlign w:val="bottom"/>
          </w:tcPr>
          <w:p>
            <w:pPr>
              <w:spacing w:after="0"/>
              <w:rPr>
                <w:sz w:val="12"/>
                <w:szCs w:val="12"/>
                <w:color w:val="auto"/>
              </w:rPr>
            </w:pPr>
          </w:p>
        </w:tc>
        <w:tc>
          <w:tcPr>
            <w:tcW w:w="7320" w:type="dxa"/>
            <w:vAlign w:val="bottom"/>
            <w:vMerge w:val="restart"/>
          </w:tcPr>
          <w:p>
            <w:pPr>
              <w:ind w:left="100"/>
              <w:spacing w:after="0"/>
              <w:rPr>
                <w:sz w:val="20"/>
                <w:szCs w:val="20"/>
                <w:color w:val="auto"/>
              </w:rPr>
            </w:pPr>
            <w:r>
              <w:rPr>
                <w:rFonts w:ascii="Arial" w:cs="Arial" w:eastAsia="Arial" w:hAnsi="Arial"/>
                <w:sz w:val="18"/>
                <w:szCs w:val="18"/>
                <w:color w:val="auto"/>
              </w:rPr>
              <w:t>strategy; criteria and weightings were revised in 2018</w:t>
            </w:r>
          </w:p>
        </w:tc>
        <w:tc>
          <w:tcPr>
            <w:tcW w:w="0" w:type="dxa"/>
            <w:vAlign w:val="bottom"/>
          </w:tcPr>
          <w:p>
            <w:pPr>
              <w:spacing w:after="0"/>
              <w:rPr>
                <w:sz w:val="1"/>
                <w:szCs w:val="1"/>
                <w:color w:val="auto"/>
              </w:rPr>
            </w:pPr>
          </w:p>
        </w:tc>
      </w:tr>
      <w:tr>
        <w:trPr>
          <w:trHeight w:val="113"/>
        </w:trPr>
        <w:tc>
          <w:tcPr>
            <w:tcW w:w="1500" w:type="dxa"/>
            <w:vAlign w:val="bottom"/>
            <w:vMerge w:val="continue"/>
            <w:shd w:val="clear" w:color="auto" w:fill="808080"/>
          </w:tcPr>
          <w:p>
            <w:pPr>
              <w:spacing w:after="0"/>
              <w:rPr>
                <w:sz w:val="9"/>
                <w:szCs w:val="9"/>
                <w:color w:val="auto"/>
              </w:rPr>
            </w:pPr>
          </w:p>
        </w:tc>
        <w:tc>
          <w:tcPr>
            <w:tcW w:w="2280" w:type="dxa"/>
            <w:vAlign w:val="bottom"/>
            <w:tcBorders>
              <w:bottom w:val="single" w:sz="8" w:color="8590A9"/>
            </w:tcBorders>
            <w:shd w:val="clear" w:color="auto" w:fill="D6D6D6"/>
          </w:tcPr>
          <w:p>
            <w:pPr>
              <w:spacing w:after="0"/>
              <w:rPr>
                <w:sz w:val="9"/>
                <w:szCs w:val="9"/>
                <w:color w:val="auto"/>
              </w:rPr>
            </w:pPr>
          </w:p>
        </w:tc>
        <w:tc>
          <w:tcPr>
            <w:tcW w:w="320" w:type="dxa"/>
            <w:vAlign w:val="bottom"/>
            <w:tcBorders>
              <w:bottom w:val="single" w:sz="8" w:color="8590A9"/>
            </w:tcBorders>
          </w:tcPr>
          <w:p>
            <w:pPr>
              <w:spacing w:after="0"/>
              <w:rPr>
                <w:sz w:val="9"/>
                <w:szCs w:val="9"/>
                <w:color w:val="auto"/>
              </w:rPr>
            </w:pPr>
          </w:p>
        </w:tc>
        <w:tc>
          <w:tcPr>
            <w:tcW w:w="7320" w:type="dxa"/>
            <w:vAlign w:val="bottom"/>
            <w:tcBorders>
              <w:bottom w:val="single" w:sz="8" w:color="8590A9"/>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95855" cy="11468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95855" cy="11468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hanging="21"/>
        <w:spacing w:after="0" w:line="345" w:lineRule="auto"/>
        <w:rPr>
          <w:sz w:val="20"/>
          <w:szCs w:val="20"/>
          <w:color w:val="auto"/>
        </w:rPr>
      </w:pPr>
      <w:r>
        <w:rPr>
          <w:rFonts w:ascii="Arial" w:cs="Arial" w:eastAsia="Arial" w:hAnsi="Arial"/>
          <w:sz w:val="16"/>
          <w:szCs w:val="16"/>
          <w:b w:val="1"/>
          <w:bCs w:val="1"/>
          <w:color w:val="FFFFFF"/>
        </w:rPr>
        <w:t>Long-Term Incentives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50% to be based on performance against annual operating goals (e.g., Manhattan same</w:t>
            </w:r>
          </w:p>
        </w:tc>
      </w:tr>
      <w:tr>
        <w:trPr>
          <w:trHeight w:val="202"/>
        </w:trPr>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Performance-Based LTIP</w:t>
            </w:r>
          </w:p>
        </w:tc>
        <w:tc>
          <w:tcPr>
            <w:tcW w:w="7620" w:type="dxa"/>
            <w:vAlign w:val="bottom"/>
          </w:tcPr>
          <w:p>
            <w:pPr>
              <w:ind w:left="400"/>
              <w:spacing w:after="0" w:line="202" w:lineRule="exact"/>
              <w:rPr>
                <w:sz w:val="20"/>
                <w:szCs w:val="20"/>
                <w:color w:val="auto"/>
              </w:rPr>
            </w:pPr>
            <w:r>
              <w:rPr>
                <w:rFonts w:ascii="Arial" w:cs="Arial" w:eastAsia="Arial" w:hAnsi="Arial"/>
                <w:sz w:val="18"/>
                <w:szCs w:val="18"/>
                <w:color w:val="auto"/>
              </w:rPr>
              <w:t>store occupancy, debt to EBITDA and/or FAD) determined by the Committee, subject to</w:t>
            </w:r>
          </w:p>
        </w:tc>
      </w:tr>
      <w:tr>
        <w:trPr>
          <w:trHeight w:val="202"/>
        </w:trPr>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Units (62.5% of Total)</w:t>
            </w:r>
          </w:p>
        </w:tc>
        <w:tc>
          <w:tcPr>
            <w:tcW w:w="7620" w:type="dxa"/>
            <w:vAlign w:val="bottom"/>
          </w:tcPr>
          <w:p>
            <w:pPr>
              <w:ind w:left="400"/>
              <w:spacing w:after="0" w:line="202" w:lineRule="exact"/>
              <w:rPr>
                <w:sz w:val="20"/>
                <w:szCs w:val="20"/>
                <w:color w:val="auto"/>
              </w:rPr>
            </w:pPr>
            <w:r>
              <w:rPr>
                <w:rFonts w:ascii="Arial" w:cs="Arial" w:eastAsia="Arial" w:hAnsi="Arial"/>
                <w:sz w:val="18"/>
                <w:szCs w:val="18"/>
                <w:color w:val="auto"/>
              </w:rPr>
              <w:t>modifier measured on absolute TSR over three-year performance period</w:t>
            </w:r>
          </w:p>
        </w:tc>
      </w:tr>
      <w:tr>
        <w:trPr>
          <w:trHeight w:val="237"/>
        </w:trPr>
        <w:tc>
          <w:tcPr>
            <w:tcW w:w="2300" w:type="dxa"/>
            <w:vAlign w:val="bottom"/>
          </w:tcPr>
          <w:p>
            <w:pPr>
              <w:spacing w:after="0"/>
              <w:rPr>
                <w:sz w:val="20"/>
                <w:szCs w:val="20"/>
                <w:color w:val="auto"/>
              </w:rPr>
            </w:pPr>
          </w:p>
        </w:tc>
        <w:tc>
          <w:tcPr>
            <w:tcW w:w="7620" w:type="dxa"/>
            <w:vAlign w:val="bottom"/>
          </w:tcPr>
          <w:p>
            <w:pPr>
              <w:ind w:left="14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50% to be based on relative TSR over three-year performance period</w:t>
            </w:r>
          </w:p>
        </w:tc>
      </w:tr>
      <w:tr>
        <w:trPr>
          <w:trHeight w:val="25"/>
        </w:trPr>
        <w:tc>
          <w:tcPr>
            <w:tcW w:w="2300" w:type="dxa"/>
            <w:vAlign w:val="bottom"/>
            <w:tcBorders>
              <w:bottom w:val="single" w:sz="8" w:color="8590A9"/>
            </w:tcBorders>
          </w:tcPr>
          <w:p>
            <w:pPr>
              <w:spacing w:after="0"/>
              <w:rPr>
                <w:sz w:val="2"/>
                <w:szCs w:val="2"/>
                <w:color w:val="auto"/>
              </w:rPr>
            </w:pPr>
          </w:p>
        </w:tc>
        <w:tc>
          <w:tcPr>
            <w:tcW w:w="7620" w:type="dxa"/>
            <w:vAlign w:val="bottom"/>
            <w:tcBorders>
              <w:bottom w:val="single" w:sz="8" w:color="8590A9"/>
            </w:tcBorders>
          </w:tcPr>
          <w:p>
            <w:pPr>
              <w:spacing w:after="0"/>
              <w:rPr>
                <w:sz w:val="2"/>
                <w:szCs w:val="2"/>
                <w:color w:val="auto"/>
              </w:rPr>
            </w:pPr>
          </w:p>
        </w:tc>
      </w:tr>
      <w:tr>
        <w:trPr>
          <w:trHeight w:val="217"/>
        </w:trPr>
        <w:tc>
          <w:tcPr>
            <w:tcW w:w="230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Annual target amount to be disclosed in connection with new contract</w:t>
            </w:r>
          </w:p>
        </w:tc>
      </w:tr>
      <w:tr>
        <w:trPr>
          <w:trHeight w:val="202"/>
        </w:trPr>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Time-Based Equity Award</w:t>
            </w:r>
          </w:p>
        </w:tc>
        <w:tc>
          <w:tcPr>
            <w:tcW w:w="7620" w:type="dxa"/>
            <w:vAlign w:val="bottom"/>
          </w:tcPr>
          <w:p>
            <w:pPr>
              <w:ind w:left="14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Adjustments to target amount to be determined by the Committee, based on the short-term</w:t>
            </w:r>
          </w:p>
        </w:tc>
      </w:tr>
      <w:tr>
        <w:trPr>
          <w:trHeight w:val="216"/>
        </w:trPr>
        <w:tc>
          <w:tcPr>
            <w:tcW w:w="2300" w:type="dxa"/>
            <w:vAlign w:val="bottom"/>
          </w:tcPr>
          <w:p>
            <w:pPr>
              <w:ind w:left="140"/>
              <w:spacing w:after="0"/>
              <w:rPr>
                <w:sz w:val="20"/>
                <w:szCs w:val="20"/>
                <w:color w:val="auto"/>
              </w:rPr>
            </w:pPr>
            <w:r>
              <w:rPr>
                <w:rFonts w:ascii="Arial" w:cs="Arial" w:eastAsia="Arial" w:hAnsi="Arial"/>
                <w:sz w:val="18"/>
                <w:szCs w:val="18"/>
                <w:color w:val="auto"/>
              </w:rPr>
              <w:t>(37.5% of Total)</w:t>
            </w:r>
          </w:p>
        </w:tc>
        <w:tc>
          <w:tcPr>
            <w:tcW w:w="7620" w:type="dxa"/>
            <w:vAlign w:val="bottom"/>
          </w:tcPr>
          <w:p>
            <w:pPr>
              <w:ind w:left="400"/>
              <w:spacing w:after="0"/>
              <w:rPr>
                <w:sz w:val="20"/>
                <w:szCs w:val="20"/>
                <w:color w:val="auto"/>
              </w:rPr>
            </w:pPr>
            <w:r>
              <w:rPr>
                <w:rFonts w:ascii="Arial" w:cs="Arial" w:eastAsia="Arial" w:hAnsi="Arial"/>
                <w:sz w:val="18"/>
                <w:szCs w:val="18"/>
                <w:color w:val="auto"/>
              </w:rPr>
              <w:t>and long-term performance of our Company and the executive; subject to three-year</w:t>
            </w:r>
          </w:p>
        </w:tc>
      </w:tr>
      <w:tr>
        <w:trPr>
          <w:trHeight w:val="242"/>
        </w:trPr>
        <w:tc>
          <w:tcPr>
            <w:tcW w:w="2300" w:type="dxa"/>
            <w:vAlign w:val="bottom"/>
            <w:tcBorders>
              <w:bottom w:val="single" w:sz="8" w:color="8590A9"/>
            </w:tcBorders>
          </w:tcPr>
          <w:p>
            <w:pPr>
              <w:spacing w:after="0"/>
              <w:rPr>
                <w:sz w:val="21"/>
                <w:szCs w:val="21"/>
                <w:color w:val="auto"/>
              </w:rPr>
            </w:pPr>
          </w:p>
        </w:tc>
        <w:tc>
          <w:tcPr>
            <w:tcW w:w="7620" w:type="dxa"/>
            <w:vAlign w:val="bottom"/>
            <w:tcBorders>
              <w:bottom w:val="single" w:sz="8" w:color="8590A9"/>
            </w:tcBorders>
          </w:tcPr>
          <w:p>
            <w:pPr>
              <w:ind w:left="400"/>
              <w:spacing w:after="0"/>
              <w:rPr>
                <w:sz w:val="20"/>
                <w:szCs w:val="20"/>
                <w:color w:val="auto"/>
              </w:rPr>
            </w:pPr>
            <w:r>
              <w:rPr>
                <w:rFonts w:ascii="Arial" w:cs="Arial" w:eastAsia="Arial" w:hAnsi="Arial"/>
                <w:sz w:val="18"/>
                <w:szCs w:val="18"/>
                <w:color w:val="auto"/>
              </w:rPr>
              <w:t>ratable vesting and a no-sell restriction for three years after grant date</w:t>
            </w:r>
          </w:p>
        </w:tc>
      </w:tr>
    </w:tbl>
    <w:p>
      <w:pPr>
        <w:spacing w:after="0" w:line="197" w:lineRule="exact"/>
        <w:rPr>
          <w:sz w:val="20"/>
          <w:szCs w:val="20"/>
          <w:color w:val="auto"/>
        </w:rPr>
      </w:pPr>
    </w:p>
    <w:p>
      <w:pPr>
        <w:sectPr>
          <w:pgSz w:w="11900" w:h="16838" w:orient="portrait"/>
          <w:cols w:equalWidth="0" w:num="2">
            <w:col w:w="1200" w:space="300"/>
            <w:col w:w="9920"/>
          </w:cols>
          <w:pgMar w:left="240" w:top="119" w:right="239" w:bottom="1440" w:gutter="0" w:footer="0" w:header="0"/>
          <w:type w:val="continuous"/>
        </w:sectPr>
      </w:pPr>
    </w:p>
    <w:p>
      <w:pPr>
        <w:ind w:right="320"/>
        <w:spacing w:after="0" w:line="268" w:lineRule="auto"/>
        <w:rPr>
          <w:sz w:val="20"/>
          <w:szCs w:val="20"/>
          <w:color w:val="auto"/>
        </w:rPr>
      </w:pPr>
      <w:r>
        <w:rPr>
          <w:rFonts w:ascii="Arial" w:cs="Arial" w:eastAsia="Arial" w:hAnsi="Arial"/>
          <w:sz w:val="18"/>
          <w:szCs w:val="18"/>
          <w:color w:val="auto"/>
        </w:rPr>
        <w:t>In addition, as part of our regular effort to refresh our Board Committee chairs and bring new perspectives to those leadership positions, Lauren Dillard became chair of the Compensation Committee in February 2018, succeeding John Alschuler.</w:t>
      </w:r>
    </w:p>
    <w:p>
      <w:pPr>
        <w:spacing w:after="0" w:line="158"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During our discussions with investors, we discussed our overall executive compensation programs including the extent to which each NEO’s long-term compensation is determined by their individual employment agreements. The NEOs – with the exception of our Chairman – have distinct agreements, with staggered expiration dates, tailored to their individual roles and responsibilities. In response to shareholder feedback, the Committee simplified the long-term equity awards granted under Mr. DiLiberto’s new contract, executed in February 2018. The Committee demonstrated its intent to design new employment agreements for the other NEOs in a manner consistent with this enhanced approach when it structured the new contract for Mr. Holliday, with the details described above.</w:t>
      </w:r>
    </w:p>
    <w:p>
      <w:pPr>
        <w:spacing w:after="0" w:line="181" w:lineRule="exact"/>
        <w:rPr>
          <w:sz w:val="20"/>
          <w:szCs w:val="20"/>
          <w:color w:val="auto"/>
        </w:rPr>
      </w:pPr>
    </w:p>
    <w:p>
      <w:pPr>
        <w:ind w:left="300" w:hanging="292"/>
        <w:spacing w:after="0"/>
        <w:tabs>
          <w:tab w:leader="none" w:pos="300" w:val="left"/>
        </w:tabs>
        <w:numPr>
          <w:ilvl w:val="0"/>
          <w:numId w:val="72"/>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Our 2017 Executive Compensation Programs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compensation in 2017 had three primary components, which are discussed in more detail below:</w:t>
      </w:r>
    </w:p>
    <w:p>
      <w:pPr>
        <w:spacing w:after="0" w:line="211" w:lineRule="exact"/>
        <w:rPr>
          <w:sz w:val="20"/>
          <w:szCs w:val="20"/>
          <w:color w:val="auto"/>
        </w:rPr>
      </w:pPr>
    </w:p>
    <w:p>
      <w:pPr>
        <w:ind w:left="540" w:hanging="263"/>
        <w:spacing w:after="0"/>
        <w:tabs>
          <w:tab w:leader="none" w:pos="540" w:val="left"/>
        </w:tabs>
        <w:numPr>
          <w:ilvl w:val="0"/>
          <w:numId w:val="73"/>
        </w:numPr>
        <w:rPr>
          <w:rFonts w:ascii="Times New Roman" w:cs="Times New Roman" w:eastAsia="Times New Roman" w:hAnsi="Times New Roman"/>
          <w:sz w:val="17"/>
          <w:szCs w:val="17"/>
          <w:color w:val="345988"/>
        </w:rPr>
      </w:pPr>
      <w:r>
        <w:rPr>
          <w:rFonts w:ascii="Arial" w:cs="Arial" w:eastAsia="Arial" w:hAnsi="Arial"/>
          <w:sz w:val="18"/>
          <w:szCs w:val="18"/>
          <w:color w:val="auto"/>
        </w:rPr>
        <w:t>annual base salary and deferred compensation</w:t>
      </w:r>
    </w:p>
    <w:p>
      <w:pPr>
        <w:spacing w:after="0" w:line="17" w:lineRule="exact"/>
        <w:rPr>
          <w:rFonts w:ascii="Times New Roman" w:cs="Times New Roman" w:eastAsia="Times New Roman" w:hAnsi="Times New Roman"/>
          <w:sz w:val="17"/>
          <w:szCs w:val="17"/>
          <w:color w:val="345988"/>
        </w:rPr>
      </w:pPr>
    </w:p>
    <w:p>
      <w:pPr>
        <w:ind w:left="540" w:hanging="263"/>
        <w:spacing w:after="0" w:line="234" w:lineRule="auto"/>
        <w:tabs>
          <w:tab w:leader="none" w:pos="540" w:val="left"/>
        </w:tabs>
        <w:numPr>
          <w:ilvl w:val="0"/>
          <w:numId w:val="73"/>
        </w:numPr>
        <w:rPr>
          <w:rFonts w:ascii="Times New Roman" w:cs="Times New Roman" w:eastAsia="Times New Roman" w:hAnsi="Times New Roman"/>
          <w:sz w:val="17"/>
          <w:szCs w:val="17"/>
          <w:color w:val="345988"/>
        </w:rPr>
      </w:pPr>
      <w:r>
        <w:rPr>
          <w:rFonts w:ascii="Arial" w:cs="Arial" w:eastAsia="Arial" w:hAnsi="Arial"/>
          <w:sz w:val="18"/>
          <w:szCs w:val="18"/>
          <w:color w:val="auto"/>
        </w:rPr>
        <w:t>annual incentive awards, which include cash and equity bonuses</w:t>
      </w:r>
    </w:p>
    <w:p>
      <w:pPr>
        <w:ind w:left="540" w:hanging="263"/>
        <w:spacing w:after="0"/>
        <w:tabs>
          <w:tab w:leader="none" w:pos="540" w:val="left"/>
        </w:tabs>
        <w:numPr>
          <w:ilvl w:val="0"/>
          <w:numId w:val="73"/>
        </w:numPr>
        <w:rPr>
          <w:rFonts w:ascii="Times New Roman" w:cs="Times New Roman" w:eastAsia="Times New Roman" w:hAnsi="Times New Roman"/>
          <w:sz w:val="17"/>
          <w:szCs w:val="17"/>
          <w:color w:val="345988"/>
        </w:rPr>
      </w:pPr>
      <w:r>
        <w:rPr>
          <w:rFonts w:ascii="Arial" w:cs="Arial" w:eastAsia="Arial" w:hAnsi="Arial"/>
          <w:sz w:val="18"/>
          <w:szCs w:val="18"/>
          <w:color w:val="auto"/>
        </w:rPr>
        <w:t>long-term equity incentive awards, which include stock options and full-value equity awards</w:t>
      </w:r>
    </w:p>
    <w:p>
      <w:pPr>
        <w:spacing w:after="0" w:line="189" w:lineRule="exact"/>
        <w:rPr>
          <w:sz w:val="20"/>
          <w:szCs w:val="20"/>
          <w:color w:val="auto"/>
        </w:rPr>
      </w:pPr>
    </w:p>
    <w:p>
      <w:pPr>
        <w:jc w:val="both"/>
        <w:ind w:right="140"/>
        <w:spacing w:after="0" w:line="251" w:lineRule="auto"/>
        <w:rPr>
          <w:sz w:val="20"/>
          <w:szCs w:val="20"/>
          <w:color w:val="auto"/>
        </w:rPr>
      </w:pPr>
      <w:r>
        <w:rPr>
          <w:rFonts w:ascii="Arial" w:cs="Arial" w:eastAsia="Arial" w:hAnsi="Arial"/>
          <w:sz w:val="18"/>
          <w:szCs w:val="18"/>
          <w:color w:val="auto"/>
        </w:rPr>
        <w:t>Variable pay constitutes the vast majority of our executives’ compensation, which allows the Committee to reward superior performance, while the substantial long-term equity incentive portions of our compensation programs serve to align the interests of our named executive officers with our stockholders.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 w:type="dxa"/>
            <w:vAlign w:val="bottom"/>
            <w:shd w:val="clear" w:color="auto" w:fill="345988"/>
          </w:tcPr>
          <w:p>
            <w:pPr>
              <w:spacing w:after="0"/>
              <w:rPr>
                <w:sz w:val="17"/>
                <w:szCs w:val="17"/>
                <w:color w:val="auto"/>
              </w:rPr>
            </w:pPr>
          </w:p>
        </w:tc>
        <w:tc>
          <w:tcPr>
            <w:tcW w:w="1380" w:type="dxa"/>
            <w:vAlign w:val="bottom"/>
            <w:shd w:val="clear" w:color="auto" w:fill="345988"/>
          </w:tcPr>
          <w:p>
            <w:pPr>
              <w:spacing w:after="0"/>
              <w:rPr>
                <w:sz w:val="17"/>
                <w:szCs w:val="17"/>
                <w:color w:val="auto"/>
              </w:rPr>
            </w:pPr>
          </w:p>
        </w:tc>
        <w:tc>
          <w:tcPr>
            <w:tcW w:w="120" w:type="dxa"/>
            <w:vAlign w:val="bottom"/>
            <w:shd w:val="clear" w:color="auto" w:fill="345988"/>
          </w:tcPr>
          <w:p>
            <w:pPr>
              <w:spacing w:after="0"/>
              <w:rPr>
                <w:sz w:val="17"/>
                <w:szCs w:val="17"/>
                <w:color w:val="auto"/>
              </w:rPr>
            </w:pPr>
          </w:p>
        </w:tc>
        <w:tc>
          <w:tcPr>
            <w:tcW w:w="2160" w:type="dxa"/>
            <w:vAlign w:val="bottom"/>
            <w:shd w:val="clear" w:color="auto" w:fill="345988"/>
          </w:tcPr>
          <w:p>
            <w:pPr>
              <w:ind w:left="20"/>
              <w:spacing w:after="0"/>
              <w:rPr>
                <w:sz w:val="20"/>
                <w:szCs w:val="20"/>
                <w:color w:val="auto"/>
              </w:rPr>
            </w:pPr>
            <w:r>
              <w:rPr>
                <w:rFonts w:ascii="Arial" w:cs="Arial" w:eastAsia="Arial" w:hAnsi="Arial"/>
                <w:sz w:val="13"/>
                <w:szCs w:val="13"/>
                <w:b w:val="1"/>
                <w:bCs w:val="1"/>
                <w:color w:val="FFFFFF"/>
              </w:rPr>
              <w:t>Pay Element</w:t>
            </w:r>
          </w:p>
        </w:tc>
        <w:tc>
          <w:tcPr>
            <w:tcW w:w="7640" w:type="dxa"/>
            <w:vAlign w:val="bottom"/>
            <w:shd w:val="clear" w:color="auto" w:fill="345988"/>
          </w:tcPr>
          <w:p>
            <w:pPr>
              <w:ind w:left="140"/>
              <w:spacing w:after="0"/>
              <w:rPr>
                <w:sz w:val="20"/>
                <w:szCs w:val="20"/>
                <w:color w:val="auto"/>
              </w:rPr>
            </w:pPr>
            <w:r>
              <w:rPr>
                <w:rFonts w:ascii="Arial" w:cs="Arial" w:eastAsia="Arial" w:hAnsi="Arial"/>
                <w:sz w:val="13"/>
                <w:szCs w:val="13"/>
                <w:b w:val="1"/>
                <w:bCs w:val="1"/>
                <w:color w:val="FFFFFF"/>
              </w:rPr>
              <w:t>Key Characteristics</w:t>
            </w:r>
          </w:p>
        </w:tc>
        <w:tc>
          <w:tcPr>
            <w:tcW w:w="0" w:type="dxa"/>
            <w:vAlign w:val="bottom"/>
          </w:tcPr>
          <w:p>
            <w:pPr>
              <w:spacing w:after="0"/>
              <w:rPr>
                <w:sz w:val="1"/>
                <w:szCs w:val="1"/>
                <w:color w:val="auto"/>
              </w:rPr>
            </w:pPr>
          </w:p>
        </w:tc>
      </w:tr>
      <w:tr>
        <w:trPr>
          <w:trHeight w:val="224"/>
        </w:trPr>
        <w:tc>
          <w:tcPr>
            <w:tcW w:w="120" w:type="dxa"/>
            <w:vAlign w:val="bottom"/>
            <w:shd w:val="clear" w:color="auto" w:fill="8590A9"/>
          </w:tcPr>
          <w:p>
            <w:pPr>
              <w:spacing w:after="0"/>
              <w:rPr>
                <w:sz w:val="19"/>
                <w:szCs w:val="19"/>
                <w:color w:val="auto"/>
              </w:rPr>
            </w:pPr>
          </w:p>
        </w:tc>
        <w:tc>
          <w:tcPr>
            <w:tcW w:w="1380" w:type="dxa"/>
            <w:vAlign w:val="bottom"/>
            <w:shd w:val="clear" w:color="auto" w:fill="8590A9"/>
          </w:tcPr>
          <w:p>
            <w:pPr>
              <w:spacing w:after="0"/>
              <w:rPr>
                <w:sz w:val="19"/>
                <w:szCs w:val="19"/>
                <w:color w:val="auto"/>
              </w:rPr>
            </w:pPr>
          </w:p>
        </w:tc>
        <w:tc>
          <w:tcPr>
            <w:tcW w:w="120" w:type="dxa"/>
            <w:vAlign w:val="bottom"/>
            <w:shd w:val="clear" w:color="auto" w:fill="D0D3DB"/>
          </w:tcPr>
          <w:p>
            <w:pPr>
              <w:spacing w:after="0"/>
              <w:rPr>
                <w:sz w:val="19"/>
                <w:szCs w:val="19"/>
                <w:color w:val="auto"/>
              </w:rPr>
            </w:pPr>
          </w:p>
        </w:tc>
        <w:tc>
          <w:tcPr>
            <w:tcW w:w="2160" w:type="dxa"/>
            <w:vAlign w:val="bottom"/>
            <w:vMerge w:val="restart"/>
            <w:shd w:val="clear" w:color="auto" w:fill="D0D3DB"/>
          </w:tcPr>
          <w:p>
            <w:pPr>
              <w:ind w:left="20"/>
              <w:spacing w:after="0"/>
              <w:rPr>
                <w:sz w:val="20"/>
                <w:szCs w:val="20"/>
                <w:color w:val="auto"/>
              </w:rPr>
            </w:pPr>
            <w:r>
              <w:rPr>
                <w:rFonts w:ascii="Arial" w:cs="Arial" w:eastAsia="Arial" w:hAnsi="Arial"/>
                <w:sz w:val="18"/>
                <w:szCs w:val="18"/>
                <w:color w:val="auto"/>
              </w:rPr>
              <w:t>Base Salary</w:t>
            </w:r>
          </w:p>
        </w:tc>
        <w:tc>
          <w:tcPr>
            <w:tcW w:w="7640" w:type="dxa"/>
            <w:vAlign w:val="bottom"/>
          </w:tcPr>
          <w:p>
            <w:pPr>
              <w:ind w:left="16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Reflects the scope of each executive officer’s duties and responsibilities taking into account</w:t>
            </w:r>
          </w:p>
        </w:tc>
        <w:tc>
          <w:tcPr>
            <w:tcW w:w="0" w:type="dxa"/>
            <w:vAlign w:val="bottom"/>
          </w:tcPr>
          <w:p>
            <w:pPr>
              <w:spacing w:after="0"/>
              <w:rPr>
                <w:sz w:val="1"/>
                <w:szCs w:val="1"/>
                <w:color w:val="auto"/>
              </w:rPr>
            </w:pPr>
          </w:p>
        </w:tc>
      </w:tr>
      <w:tr>
        <w:trPr>
          <w:trHeight w:val="129"/>
        </w:trPr>
        <w:tc>
          <w:tcPr>
            <w:tcW w:w="120" w:type="dxa"/>
            <w:vAlign w:val="bottom"/>
            <w:shd w:val="clear" w:color="auto" w:fill="8590A9"/>
          </w:tcPr>
          <w:p>
            <w:pPr>
              <w:spacing w:after="0"/>
              <w:rPr>
                <w:sz w:val="11"/>
                <w:szCs w:val="11"/>
                <w:color w:val="auto"/>
              </w:rPr>
            </w:pPr>
          </w:p>
        </w:tc>
        <w:tc>
          <w:tcPr>
            <w:tcW w:w="1380" w:type="dxa"/>
            <w:vAlign w:val="bottom"/>
            <w:shd w:val="clear" w:color="auto" w:fill="8590A9"/>
          </w:tcPr>
          <w:p>
            <w:pPr>
              <w:spacing w:after="0"/>
              <w:rPr>
                <w:sz w:val="11"/>
                <w:szCs w:val="11"/>
                <w:color w:val="auto"/>
              </w:rPr>
            </w:pPr>
          </w:p>
        </w:tc>
        <w:tc>
          <w:tcPr>
            <w:tcW w:w="120" w:type="dxa"/>
            <w:vAlign w:val="bottom"/>
            <w:shd w:val="clear" w:color="auto" w:fill="D0D3DB"/>
          </w:tcPr>
          <w:p>
            <w:pPr>
              <w:spacing w:after="0"/>
              <w:rPr>
                <w:sz w:val="11"/>
                <w:szCs w:val="11"/>
                <w:color w:val="auto"/>
              </w:rPr>
            </w:pPr>
          </w:p>
        </w:tc>
        <w:tc>
          <w:tcPr>
            <w:tcW w:w="2160" w:type="dxa"/>
            <w:vAlign w:val="bottom"/>
            <w:vMerge w:val="continue"/>
            <w:shd w:val="clear" w:color="auto" w:fill="D0D3DB"/>
          </w:tcPr>
          <w:p>
            <w:pPr>
              <w:spacing w:after="0"/>
              <w:rPr>
                <w:sz w:val="11"/>
                <w:szCs w:val="11"/>
                <w:color w:val="auto"/>
              </w:rPr>
            </w:pPr>
          </w:p>
        </w:tc>
        <w:tc>
          <w:tcPr>
            <w:tcW w:w="7640" w:type="dxa"/>
            <w:vAlign w:val="bottom"/>
            <w:vMerge w:val="restart"/>
          </w:tcPr>
          <w:p>
            <w:pPr>
              <w:ind w:left="420"/>
              <w:spacing w:after="0"/>
              <w:rPr>
                <w:sz w:val="20"/>
                <w:szCs w:val="20"/>
                <w:color w:val="auto"/>
              </w:rPr>
            </w:pPr>
            <w:r>
              <w:rPr>
                <w:rFonts w:ascii="Arial" w:cs="Arial" w:eastAsia="Arial" w:hAnsi="Arial"/>
                <w:sz w:val="18"/>
                <w:szCs w:val="18"/>
                <w:color w:val="auto"/>
              </w:rPr>
              <w:t>the competitive market compensation paid by other companies for similar positions</w:t>
            </w:r>
          </w:p>
        </w:tc>
        <w:tc>
          <w:tcPr>
            <w:tcW w:w="0" w:type="dxa"/>
            <w:vAlign w:val="bottom"/>
          </w:tcPr>
          <w:p>
            <w:pPr>
              <w:spacing w:after="0"/>
              <w:rPr>
                <w:sz w:val="1"/>
                <w:szCs w:val="1"/>
                <w:color w:val="auto"/>
              </w:rPr>
            </w:pPr>
          </w:p>
        </w:tc>
      </w:tr>
      <w:tr>
        <w:trPr>
          <w:trHeight w:val="113"/>
        </w:trPr>
        <w:tc>
          <w:tcPr>
            <w:tcW w:w="120" w:type="dxa"/>
            <w:vAlign w:val="bottom"/>
            <w:tcBorders>
              <w:bottom w:val="single" w:sz="8" w:color="8590A9"/>
            </w:tcBorders>
            <w:shd w:val="clear" w:color="auto" w:fill="8590A9"/>
          </w:tcPr>
          <w:p>
            <w:pPr>
              <w:spacing w:after="0"/>
              <w:rPr>
                <w:sz w:val="9"/>
                <w:szCs w:val="9"/>
                <w:color w:val="auto"/>
              </w:rPr>
            </w:pPr>
          </w:p>
        </w:tc>
        <w:tc>
          <w:tcPr>
            <w:tcW w:w="1380" w:type="dxa"/>
            <w:vAlign w:val="bottom"/>
            <w:tcBorders>
              <w:bottom w:val="single" w:sz="8" w:color="8590A9"/>
            </w:tcBorders>
            <w:vMerge w:val="restart"/>
            <w:shd w:val="clear" w:color="auto" w:fill="8590A9"/>
          </w:tcPr>
          <w:p>
            <w:pPr>
              <w:jc w:val="center"/>
              <w:ind w:right="36"/>
              <w:spacing w:after="0"/>
              <w:rPr>
                <w:sz w:val="20"/>
                <w:szCs w:val="20"/>
                <w:color w:val="auto"/>
              </w:rPr>
            </w:pPr>
            <w:r>
              <w:rPr>
                <w:rFonts w:ascii="Arial" w:cs="Arial" w:eastAsia="Arial" w:hAnsi="Arial"/>
                <w:sz w:val="18"/>
                <w:szCs w:val="18"/>
                <w:b w:val="1"/>
                <w:bCs w:val="1"/>
                <w:color w:val="FFFFFF"/>
                <w:w w:val="97"/>
              </w:rPr>
              <w:t>Fixed</w:t>
            </w:r>
          </w:p>
        </w:tc>
        <w:tc>
          <w:tcPr>
            <w:tcW w:w="120" w:type="dxa"/>
            <w:vAlign w:val="bottom"/>
            <w:tcBorders>
              <w:bottom w:val="single" w:sz="8" w:color="8590A9"/>
            </w:tcBorders>
            <w:shd w:val="clear" w:color="auto" w:fill="D0D3DB"/>
          </w:tcPr>
          <w:p>
            <w:pPr>
              <w:spacing w:after="0"/>
              <w:rPr>
                <w:sz w:val="9"/>
                <w:szCs w:val="9"/>
                <w:color w:val="auto"/>
              </w:rPr>
            </w:pPr>
          </w:p>
        </w:tc>
        <w:tc>
          <w:tcPr>
            <w:tcW w:w="2160" w:type="dxa"/>
            <w:vAlign w:val="bottom"/>
            <w:tcBorders>
              <w:bottom w:val="single" w:sz="8" w:color="8590A9"/>
            </w:tcBorders>
            <w:shd w:val="clear" w:color="auto" w:fill="D0D3DB"/>
          </w:tcPr>
          <w:p>
            <w:pPr>
              <w:spacing w:after="0"/>
              <w:rPr>
                <w:sz w:val="9"/>
                <w:szCs w:val="9"/>
                <w:color w:val="auto"/>
              </w:rPr>
            </w:pPr>
          </w:p>
        </w:tc>
        <w:tc>
          <w:tcPr>
            <w:tcW w:w="7640" w:type="dxa"/>
            <w:vAlign w:val="bottom"/>
            <w:tcBorders>
              <w:bottom w:val="single" w:sz="8" w:color="8590A9"/>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20" w:type="dxa"/>
            <w:vAlign w:val="bottom"/>
            <w:shd w:val="clear" w:color="auto" w:fill="8590A9"/>
          </w:tcPr>
          <w:p>
            <w:pPr>
              <w:spacing w:after="0"/>
              <w:rPr>
                <w:sz w:val="19"/>
                <w:szCs w:val="19"/>
                <w:color w:val="auto"/>
              </w:rPr>
            </w:pPr>
          </w:p>
        </w:tc>
        <w:tc>
          <w:tcPr>
            <w:tcW w:w="1380" w:type="dxa"/>
            <w:vAlign w:val="bottom"/>
            <w:vMerge w:val="continue"/>
            <w:shd w:val="clear" w:color="auto" w:fill="8590A9"/>
          </w:tcPr>
          <w:p>
            <w:pPr>
              <w:spacing w:after="0"/>
              <w:rPr>
                <w:sz w:val="19"/>
                <w:szCs w:val="19"/>
                <w:color w:val="auto"/>
              </w:rPr>
            </w:pPr>
          </w:p>
        </w:tc>
        <w:tc>
          <w:tcPr>
            <w:tcW w:w="120" w:type="dxa"/>
            <w:vAlign w:val="bottom"/>
            <w:shd w:val="clear" w:color="auto" w:fill="D0D3DB"/>
          </w:tcPr>
          <w:p>
            <w:pPr>
              <w:spacing w:after="0"/>
              <w:rPr>
                <w:sz w:val="19"/>
                <w:szCs w:val="19"/>
                <w:color w:val="auto"/>
              </w:rPr>
            </w:pPr>
          </w:p>
        </w:tc>
        <w:tc>
          <w:tcPr>
            <w:tcW w:w="2160" w:type="dxa"/>
            <w:vAlign w:val="bottom"/>
            <w:vMerge w:val="restart"/>
            <w:shd w:val="clear" w:color="auto" w:fill="D0D3DB"/>
          </w:tcPr>
          <w:p>
            <w:pPr>
              <w:ind w:left="20"/>
              <w:spacing w:after="0"/>
              <w:rPr>
                <w:sz w:val="20"/>
                <w:szCs w:val="20"/>
                <w:color w:val="auto"/>
              </w:rPr>
            </w:pPr>
            <w:r>
              <w:rPr>
                <w:rFonts w:ascii="Arial" w:cs="Arial" w:eastAsia="Arial" w:hAnsi="Arial"/>
                <w:sz w:val="18"/>
                <w:szCs w:val="18"/>
                <w:color w:val="auto"/>
              </w:rPr>
              <w:t>Deferred Compensation</w:t>
            </w:r>
          </w:p>
        </w:tc>
        <w:tc>
          <w:tcPr>
            <w:tcW w:w="7640" w:type="dxa"/>
            <w:vAlign w:val="bottom"/>
          </w:tcPr>
          <w:p>
            <w:pPr>
              <w:ind w:left="16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Delivered as stock units to our top three named executive officers; subject to one year</w:t>
            </w:r>
          </w:p>
        </w:tc>
        <w:tc>
          <w:tcPr>
            <w:tcW w:w="0" w:type="dxa"/>
            <w:vAlign w:val="bottom"/>
          </w:tcPr>
          <w:p>
            <w:pPr>
              <w:spacing w:after="0"/>
              <w:rPr>
                <w:sz w:val="1"/>
                <w:szCs w:val="1"/>
                <w:color w:val="auto"/>
              </w:rPr>
            </w:pPr>
          </w:p>
        </w:tc>
      </w:tr>
      <w:tr>
        <w:trPr>
          <w:trHeight w:val="202"/>
        </w:trPr>
        <w:tc>
          <w:tcPr>
            <w:tcW w:w="120" w:type="dxa"/>
            <w:vAlign w:val="bottom"/>
            <w:shd w:val="clear" w:color="auto" w:fill="8590A9"/>
          </w:tcPr>
          <w:p>
            <w:pPr>
              <w:spacing w:after="0"/>
              <w:rPr>
                <w:sz w:val="17"/>
                <w:szCs w:val="17"/>
                <w:color w:val="auto"/>
              </w:rPr>
            </w:pPr>
          </w:p>
        </w:tc>
        <w:tc>
          <w:tcPr>
            <w:tcW w:w="1380" w:type="dxa"/>
            <w:vAlign w:val="bottom"/>
            <w:shd w:val="clear" w:color="auto" w:fill="8590A9"/>
          </w:tcPr>
          <w:p>
            <w:pPr>
              <w:spacing w:after="0"/>
              <w:rPr>
                <w:sz w:val="17"/>
                <w:szCs w:val="17"/>
                <w:color w:val="auto"/>
              </w:rPr>
            </w:pPr>
          </w:p>
        </w:tc>
        <w:tc>
          <w:tcPr>
            <w:tcW w:w="120" w:type="dxa"/>
            <w:vAlign w:val="bottom"/>
            <w:shd w:val="clear" w:color="auto" w:fill="D0D3DB"/>
          </w:tcPr>
          <w:p>
            <w:pPr>
              <w:spacing w:after="0"/>
              <w:rPr>
                <w:sz w:val="17"/>
                <w:szCs w:val="17"/>
                <w:color w:val="auto"/>
              </w:rPr>
            </w:pPr>
          </w:p>
        </w:tc>
        <w:tc>
          <w:tcPr>
            <w:tcW w:w="2160" w:type="dxa"/>
            <w:vAlign w:val="bottom"/>
            <w:vMerge w:val="continue"/>
            <w:shd w:val="clear" w:color="auto" w:fill="D0D3DB"/>
          </w:tcPr>
          <w:p>
            <w:pPr>
              <w:spacing w:after="0"/>
              <w:rPr>
                <w:sz w:val="17"/>
                <w:szCs w:val="17"/>
                <w:color w:val="auto"/>
              </w:rPr>
            </w:pPr>
          </w:p>
        </w:tc>
        <w:tc>
          <w:tcPr>
            <w:tcW w:w="7640" w:type="dxa"/>
            <w:vAlign w:val="bottom"/>
          </w:tcPr>
          <w:p>
            <w:pPr>
              <w:ind w:left="420"/>
              <w:spacing w:after="0" w:line="202" w:lineRule="exact"/>
              <w:rPr>
                <w:sz w:val="20"/>
                <w:szCs w:val="20"/>
                <w:color w:val="auto"/>
              </w:rPr>
            </w:pPr>
            <w:r>
              <w:rPr>
                <w:rFonts w:ascii="Arial" w:cs="Arial" w:eastAsia="Arial" w:hAnsi="Arial"/>
                <w:sz w:val="18"/>
                <w:szCs w:val="18"/>
                <w:color w:val="auto"/>
              </w:rPr>
              <w:t>vesting; delivered at the termination of employment; encourages retention of key</w:t>
            </w:r>
          </w:p>
        </w:tc>
        <w:tc>
          <w:tcPr>
            <w:tcW w:w="0" w:type="dxa"/>
            <w:vAlign w:val="bottom"/>
          </w:tcPr>
          <w:p>
            <w:pPr>
              <w:spacing w:after="0"/>
              <w:rPr>
                <w:sz w:val="1"/>
                <w:szCs w:val="1"/>
                <w:color w:val="auto"/>
              </w:rPr>
            </w:pPr>
          </w:p>
        </w:tc>
      </w:tr>
      <w:tr>
        <w:trPr>
          <w:trHeight w:val="242"/>
        </w:trPr>
        <w:tc>
          <w:tcPr>
            <w:tcW w:w="120" w:type="dxa"/>
            <w:vAlign w:val="bottom"/>
            <w:tcBorders>
              <w:bottom w:val="single" w:sz="8" w:color="808080"/>
            </w:tcBorders>
            <w:shd w:val="clear" w:color="auto" w:fill="8590A9"/>
          </w:tcPr>
          <w:p>
            <w:pPr>
              <w:spacing w:after="0"/>
              <w:rPr>
                <w:sz w:val="21"/>
                <w:szCs w:val="21"/>
                <w:color w:val="auto"/>
              </w:rPr>
            </w:pPr>
          </w:p>
        </w:tc>
        <w:tc>
          <w:tcPr>
            <w:tcW w:w="1380" w:type="dxa"/>
            <w:vAlign w:val="bottom"/>
            <w:tcBorders>
              <w:bottom w:val="single" w:sz="8" w:color="808080"/>
            </w:tcBorders>
            <w:shd w:val="clear" w:color="auto" w:fill="8590A9"/>
          </w:tcPr>
          <w:p>
            <w:pPr>
              <w:spacing w:after="0"/>
              <w:rPr>
                <w:sz w:val="21"/>
                <w:szCs w:val="21"/>
                <w:color w:val="auto"/>
              </w:rPr>
            </w:pPr>
          </w:p>
        </w:tc>
        <w:tc>
          <w:tcPr>
            <w:tcW w:w="120" w:type="dxa"/>
            <w:vAlign w:val="bottom"/>
            <w:tcBorders>
              <w:bottom w:val="single" w:sz="8" w:color="8590A9"/>
            </w:tcBorders>
            <w:shd w:val="clear" w:color="auto" w:fill="D0D3DB"/>
          </w:tcPr>
          <w:p>
            <w:pPr>
              <w:spacing w:after="0"/>
              <w:rPr>
                <w:sz w:val="21"/>
                <w:szCs w:val="21"/>
                <w:color w:val="auto"/>
              </w:rPr>
            </w:pPr>
          </w:p>
        </w:tc>
        <w:tc>
          <w:tcPr>
            <w:tcW w:w="2160" w:type="dxa"/>
            <w:vAlign w:val="bottom"/>
            <w:tcBorders>
              <w:bottom w:val="single" w:sz="8" w:color="8590A9"/>
            </w:tcBorders>
            <w:shd w:val="clear" w:color="auto" w:fill="D0D3DB"/>
          </w:tcPr>
          <w:p>
            <w:pPr>
              <w:spacing w:after="0"/>
              <w:rPr>
                <w:sz w:val="21"/>
                <w:szCs w:val="21"/>
                <w:color w:val="auto"/>
              </w:rPr>
            </w:pPr>
          </w:p>
        </w:tc>
        <w:tc>
          <w:tcPr>
            <w:tcW w:w="7640" w:type="dxa"/>
            <w:vAlign w:val="bottom"/>
            <w:tcBorders>
              <w:bottom w:val="single" w:sz="8" w:color="8590A9"/>
            </w:tcBorders>
          </w:tcPr>
          <w:p>
            <w:pPr>
              <w:ind w:left="420"/>
              <w:spacing w:after="0"/>
              <w:rPr>
                <w:sz w:val="20"/>
                <w:szCs w:val="20"/>
                <w:color w:val="auto"/>
              </w:rPr>
            </w:pPr>
            <w:r>
              <w:rPr>
                <w:rFonts w:ascii="Arial" w:cs="Arial" w:eastAsia="Arial" w:hAnsi="Arial"/>
                <w:sz w:val="18"/>
                <w:szCs w:val="18"/>
                <w:color w:val="auto"/>
              </w:rPr>
              <w:t>executives</w:t>
            </w:r>
          </w:p>
        </w:tc>
        <w:tc>
          <w:tcPr>
            <w:tcW w:w="0" w:type="dxa"/>
            <w:vAlign w:val="bottom"/>
          </w:tcPr>
          <w:p>
            <w:pPr>
              <w:spacing w:after="0"/>
              <w:rPr>
                <w:sz w:val="1"/>
                <w:szCs w:val="1"/>
                <w:color w:val="auto"/>
              </w:rPr>
            </w:pPr>
          </w:p>
        </w:tc>
      </w:tr>
      <w:tr>
        <w:trPr>
          <w:trHeight w:val="223"/>
        </w:trPr>
        <w:tc>
          <w:tcPr>
            <w:tcW w:w="120" w:type="dxa"/>
            <w:vAlign w:val="bottom"/>
            <w:shd w:val="clear" w:color="auto" w:fill="808080"/>
          </w:tcPr>
          <w:p>
            <w:pPr>
              <w:spacing w:after="0"/>
              <w:rPr>
                <w:sz w:val="19"/>
                <w:szCs w:val="19"/>
                <w:color w:val="auto"/>
              </w:rPr>
            </w:pPr>
          </w:p>
        </w:tc>
        <w:tc>
          <w:tcPr>
            <w:tcW w:w="1380" w:type="dxa"/>
            <w:vAlign w:val="bottom"/>
            <w:shd w:val="clear" w:color="auto" w:fill="808080"/>
          </w:tcPr>
          <w:p>
            <w:pPr>
              <w:spacing w:after="0"/>
              <w:rPr>
                <w:sz w:val="19"/>
                <w:szCs w:val="19"/>
                <w:color w:val="auto"/>
              </w:rPr>
            </w:pPr>
          </w:p>
        </w:tc>
        <w:tc>
          <w:tcPr>
            <w:tcW w:w="120" w:type="dxa"/>
            <w:vAlign w:val="bottom"/>
            <w:shd w:val="clear" w:color="auto" w:fill="D6D6D6"/>
          </w:tcPr>
          <w:p>
            <w:pPr>
              <w:spacing w:after="0"/>
              <w:rPr>
                <w:sz w:val="19"/>
                <w:szCs w:val="19"/>
                <w:color w:val="auto"/>
              </w:rPr>
            </w:pPr>
          </w:p>
        </w:tc>
        <w:tc>
          <w:tcPr>
            <w:tcW w:w="2160" w:type="dxa"/>
            <w:vAlign w:val="bottom"/>
            <w:vMerge w:val="restart"/>
            <w:shd w:val="clear" w:color="auto" w:fill="D6D6D6"/>
          </w:tcPr>
          <w:p>
            <w:pPr>
              <w:ind w:left="20"/>
              <w:spacing w:after="0"/>
              <w:rPr>
                <w:sz w:val="20"/>
                <w:szCs w:val="20"/>
                <w:color w:val="auto"/>
              </w:rPr>
            </w:pPr>
            <w:r>
              <w:rPr>
                <w:rFonts w:ascii="Arial" w:cs="Arial" w:eastAsia="Arial" w:hAnsi="Arial"/>
                <w:sz w:val="18"/>
                <w:szCs w:val="18"/>
                <w:color w:val="auto"/>
              </w:rPr>
              <w:t>Annual Cash Bonus</w:t>
            </w:r>
          </w:p>
        </w:tc>
        <w:tc>
          <w:tcPr>
            <w:tcW w:w="7640" w:type="dxa"/>
            <w:vAlign w:val="bottom"/>
          </w:tcPr>
          <w:p>
            <w:pPr>
              <w:ind w:left="16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100% formulaic payout for our top three named executives, based on specific performance</w:t>
            </w:r>
          </w:p>
        </w:tc>
        <w:tc>
          <w:tcPr>
            <w:tcW w:w="0" w:type="dxa"/>
            <w:vAlign w:val="bottom"/>
          </w:tcPr>
          <w:p>
            <w:pPr>
              <w:spacing w:after="0"/>
              <w:rPr>
                <w:sz w:val="1"/>
                <w:szCs w:val="1"/>
                <w:color w:val="auto"/>
              </w:rPr>
            </w:pPr>
          </w:p>
        </w:tc>
      </w:tr>
      <w:tr>
        <w:trPr>
          <w:trHeight w:val="129"/>
        </w:trPr>
        <w:tc>
          <w:tcPr>
            <w:tcW w:w="120" w:type="dxa"/>
            <w:vAlign w:val="bottom"/>
            <w:shd w:val="clear" w:color="auto" w:fill="808080"/>
          </w:tcPr>
          <w:p>
            <w:pPr>
              <w:spacing w:after="0"/>
              <w:rPr>
                <w:sz w:val="11"/>
                <w:szCs w:val="11"/>
                <w:color w:val="auto"/>
              </w:rPr>
            </w:pPr>
          </w:p>
        </w:tc>
        <w:tc>
          <w:tcPr>
            <w:tcW w:w="1380" w:type="dxa"/>
            <w:vAlign w:val="bottom"/>
            <w:vMerge w:val="restart"/>
            <w:shd w:val="clear" w:color="auto" w:fill="808080"/>
          </w:tcPr>
          <w:p>
            <w:pPr>
              <w:jc w:val="center"/>
              <w:ind w:right="16"/>
              <w:spacing w:after="0"/>
              <w:rPr>
                <w:sz w:val="20"/>
                <w:szCs w:val="20"/>
                <w:color w:val="auto"/>
              </w:rPr>
            </w:pPr>
            <w:r>
              <w:rPr>
                <w:rFonts w:ascii="Arial" w:cs="Arial" w:eastAsia="Arial" w:hAnsi="Arial"/>
                <w:sz w:val="18"/>
                <w:szCs w:val="18"/>
                <w:b w:val="1"/>
                <w:bCs w:val="1"/>
                <w:color w:val="FFFFFF"/>
                <w:w w:val="98"/>
              </w:rPr>
              <w:t>Annual</w:t>
            </w:r>
          </w:p>
        </w:tc>
        <w:tc>
          <w:tcPr>
            <w:tcW w:w="120" w:type="dxa"/>
            <w:vAlign w:val="bottom"/>
            <w:shd w:val="clear" w:color="auto" w:fill="D6D6D6"/>
          </w:tcPr>
          <w:p>
            <w:pPr>
              <w:spacing w:after="0"/>
              <w:rPr>
                <w:sz w:val="11"/>
                <w:szCs w:val="11"/>
                <w:color w:val="auto"/>
              </w:rPr>
            </w:pPr>
          </w:p>
        </w:tc>
        <w:tc>
          <w:tcPr>
            <w:tcW w:w="2160" w:type="dxa"/>
            <w:vAlign w:val="bottom"/>
            <w:vMerge w:val="continue"/>
            <w:shd w:val="clear" w:color="auto" w:fill="D6D6D6"/>
          </w:tcPr>
          <w:p>
            <w:pPr>
              <w:spacing w:after="0"/>
              <w:rPr>
                <w:sz w:val="11"/>
                <w:szCs w:val="11"/>
                <w:color w:val="auto"/>
              </w:rPr>
            </w:pPr>
          </w:p>
        </w:tc>
        <w:tc>
          <w:tcPr>
            <w:tcW w:w="7640" w:type="dxa"/>
            <w:vAlign w:val="bottom"/>
            <w:vMerge w:val="restart"/>
          </w:tcPr>
          <w:p>
            <w:pPr>
              <w:ind w:left="420"/>
              <w:spacing w:after="0"/>
              <w:rPr>
                <w:sz w:val="20"/>
                <w:szCs w:val="20"/>
                <w:color w:val="auto"/>
              </w:rPr>
            </w:pPr>
            <w:r>
              <w:rPr>
                <w:rFonts w:ascii="Arial" w:cs="Arial" w:eastAsia="Arial" w:hAnsi="Arial"/>
                <w:sz w:val="18"/>
                <w:szCs w:val="18"/>
                <w:color w:val="auto"/>
              </w:rPr>
              <w:t>criteria linked to our strategy</w:t>
            </w:r>
          </w:p>
        </w:tc>
        <w:tc>
          <w:tcPr>
            <w:tcW w:w="0" w:type="dxa"/>
            <w:vAlign w:val="bottom"/>
          </w:tcPr>
          <w:p>
            <w:pPr>
              <w:spacing w:after="0"/>
              <w:rPr>
                <w:sz w:val="1"/>
                <w:szCs w:val="1"/>
                <w:color w:val="auto"/>
              </w:rPr>
            </w:pPr>
          </w:p>
        </w:tc>
      </w:tr>
      <w:tr>
        <w:trPr>
          <w:trHeight w:val="113"/>
        </w:trPr>
        <w:tc>
          <w:tcPr>
            <w:tcW w:w="120" w:type="dxa"/>
            <w:vAlign w:val="bottom"/>
            <w:tcBorders>
              <w:bottom w:val="single" w:sz="8" w:color="808080"/>
            </w:tcBorders>
            <w:shd w:val="clear" w:color="auto" w:fill="808080"/>
          </w:tcPr>
          <w:p>
            <w:pPr>
              <w:spacing w:after="0"/>
              <w:rPr>
                <w:sz w:val="9"/>
                <w:szCs w:val="9"/>
                <w:color w:val="auto"/>
              </w:rPr>
            </w:pPr>
          </w:p>
        </w:tc>
        <w:tc>
          <w:tcPr>
            <w:tcW w:w="1380" w:type="dxa"/>
            <w:vAlign w:val="bottom"/>
            <w:tcBorders>
              <w:bottom w:val="single" w:sz="8" w:color="808080"/>
            </w:tcBorders>
            <w:vMerge w:val="continue"/>
            <w:shd w:val="clear" w:color="auto" w:fill="808080"/>
          </w:tcPr>
          <w:p>
            <w:pPr>
              <w:spacing w:after="0"/>
              <w:rPr>
                <w:sz w:val="9"/>
                <w:szCs w:val="9"/>
                <w:color w:val="auto"/>
              </w:rPr>
            </w:pPr>
          </w:p>
        </w:tc>
        <w:tc>
          <w:tcPr>
            <w:tcW w:w="120" w:type="dxa"/>
            <w:vAlign w:val="bottom"/>
            <w:tcBorders>
              <w:bottom w:val="single" w:sz="8" w:color="8590A9"/>
            </w:tcBorders>
            <w:shd w:val="clear" w:color="auto" w:fill="D6D6D6"/>
          </w:tcPr>
          <w:p>
            <w:pPr>
              <w:spacing w:after="0"/>
              <w:rPr>
                <w:sz w:val="9"/>
                <w:szCs w:val="9"/>
                <w:color w:val="auto"/>
              </w:rPr>
            </w:pPr>
          </w:p>
        </w:tc>
        <w:tc>
          <w:tcPr>
            <w:tcW w:w="2160" w:type="dxa"/>
            <w:vAlign w:val="bottom"/>
            <w:tcBorders>
              <w:bottom w:val="single" w:sz="8" w:color="8590A9"/>
            </w:tcBorders>
            <w:shd w:val="clear" w:color="auto" w:fill="D6D6D6"/>
          </w:tcPr>
          <w:p>
            <w:pPr>
              <w:spacing w:after="0"/>
              <w:rPr>
                <w:sz w:val="9"/>
                <w:szCs w:val="9"/>
                <w:color w:val="auto"/>
              </w:rPr>
            </w:pPr>
          </w:p>
        </w:tc>
        <w:tc>
          <w:tcPr>
            <w:tcW w:w="7640" w:type="dxa"/>
            <w:vAlign w:val="bottom"/>
            <w:tcBorders>
              <w:bottom w:val="single" w:sz="8" w:color="8590A9"/>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20" w:type="dxa"/>
            <w:vAlign w:val="bottom"/>
            <w:shd w:val="clear" w:color="auto" w:fill="808080"/>
          </w:tcPr>
          <w:p>
            <w:pPr>
              <w:spacing w:after="0"/>
              <w:rPr>
                <w:sz w:val="5"/>
                <w:szCs w:val="5"/>
                <w:color w:val="auto"/>
              </w:rPr>
            </w:pPr>
          </w:p>
        </w:tc>
        <w:tc>
          <w:tcPr>
            <w:tcW w:w="1380" w:type="dxa"/>
            <w:vAlign w:val="bottom"/>
            <w:vMerge w:val="continue"/>
            <w:shd w:val="clear" w:color="auto" w:fill="808080"/>
          </w:tcPr>
          <w:p>
            <w:pPr>
              <w:spacing w:after="0"/>
              <w:rPr>
                <w:sz w:val="5"/>
                <w:szCs w:val="5"/>
                <w:color w:val="auto"/>
              </w:rPr>
            </w:pPr>
          </w:p>
        </w:tc>
        <w:tc>
          <w:tcPr>
            <w:tcW w:w="120" w:type="dxa"/>
            <w:vAlign w:val="bottom"/>
            <w:shd w:val="clear" w:color="auto" w:fill="D6D6D6"/>
          </w:tcPr>
          <w:p>
            <w:pPr>
              <w:spacing w:after="0"/>
              <w:rPr>
                <w:sz w:val="5"/>
                <w:szCs w:val="5"/>
                <w:color w:val="auto"/>
              </w:rPr>
            </w:pPr>
          </w:p>
        </w:tc>
        <w:tc>
          <w:tcPr>
            <w:tcW w:w="2160" w:type="dxa"/>
            <w:vAlign w:val="bottom"/>
            <w:shd w:val="clear" w:color="auto" w:fill="D6D6D6"/>
          </w:tcPr>
          <w:p>
            <w:pPr>
              <w:spacing w:after="0"/>
              <w:rPr>
                <w:sz w:val="5"/>
                <w:szCs w:val="5"/>
                <w:color w:val="auto"/>
              </w:rPr>
            </w:pPr>
          </w:p>
        </w:tc>
        <w:tc>
          <w:tcPr>
            <w:tcW w:w="7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Equity award determined by the Committee, based on the short-term and long-term</w:t>
            </w:r>
          </w:p>
        </w:tc>
        <w:tc>
          <w:tcPr>
            <w:tcW w:w="0" w:type="dxa"/>
            <w:vAlign w:val="bottom"/>
          </w:tcPr>
          <w:p>
            <w:pPr>
              <w:spacing w:after="0"/>
              <w:rPr>
                <w:sz w:val="1"/>
                <w:szCs w:val="1"/>
                <w:color w:val="auto"/>
              </w:rPr>
            </w:pPr>
          </w:p>
        </w:tc>
      </w:tr>
      <w:tr>
        <w:trPr>
          <w:trHeight w:val="183"/>
        </w:trPr>
        <w:tc>
          <w:tcPr>
            <w:tcW w:w="120" w:type="dxa"/>
            <w:vAlign w:val="bottom"/>
            <w:shd w:val="clear" w:color="auto" w:fill="808080"/>
          </w:tcPr>
          <w:p>
            <w:pPr>
              <w:spacing w:after="0"/>
              <w:rPr>
                <w:sz w:val="15"/>
                <w:szCs w:val="15"/>
                <w:color w:val="auto"/>
              </w:rPr>
            </w:pPr>
          </w:p>
        </w:tc>
        <w:tc>
          <w:tcPr>
            <w:tcW w:w="1380" w:type="dxa"/>
            <w:vAlign w:val="bottom"/>
            <w:shd w:val="clear" w:color="auto" w:fill="808080"/>
          </w:tcPr>
          <w:p>
            <w:pPr>
              <w:jc w:val="center"/>
              <w:ind w:right="36"/>
              <w:spacing w:after="0" w:line="182" w:lineRule="exact"/>
              <w:rPr>
                <w:sz w:val="20"/>
                <w:szCs w:val="20"/>
                <w:color w:val="auto"/>
              </w:rPr>
            </w:pPr>
            <w:r>
              <w:rPr>
                <w:rFonts w:ascii="Arial" w:cs="Arial" w:eastAsia="Arial" w:hAnsi="Arial"/>
                <w:sz w:val="18"/>
                <w:szCs w:val="18"/>
                <w:b w:val="1"/>
                <w:bCs w:val="1"/>
                <w:color w:val="FFFFFF"/>
                <w:w w:val="97"/>
              </w:rPr>
              <w:t>Incentives</w:t>
            </w:r>
          </w:p>
        </w:tc>
        <w:tc>
          <w:tcPr>
            <w:tcW w:w="120" w:type="dxa"/>
            <w:vAlign w:val="bottom"/>
            <w:shd w:val="clear" w:color="auto" w:fill="D6D6D6"/>
          </w:tcPr>
          <w:p>
            <w:pPr>
              <w:spacing w:after="0"/>
              <w:rPr>
                <w:sz w:val="15"/>
                <w:szCs w:val="15"/>
                <w:color w:val="auto"/>
              </w:rPr>
            </w:pPr>
          </w:p>
        </w:tc>
        <w:tc>
          <w:tcPr>
            <w:tcW w:w="2160" w:type="dxa"/>
            <w:vAlign w:val="bottom"/>
            <w:vMerge w:val="restart"/>
            <w:shd w:val="clear" w:color="auto" w:fill="D6D6D6"/>
          </w:tcPr>
          <w:p>
            <w:pPr>
              <w:ind w:left="20"/>
              <w:spacing w:after="0"/>
              <w:rPr>
                <w:sz w:val="20"/>
                <w:szCs w:val="20"/>
                <w:color w:val="auto"/>
              </w:rPr>
            </w:pPr>
            <w:r>
              <w:rPr>
                <w:rFonts w:ascii="Arial" w:cs="Arial" w:eastAsia="Arial" w:hAnsi="Arial"/>
                <w:sz w:val="18"/>
                <w:szCs w:val="18"/>
                <w:color w:val="auto"/>
              </w:rPr>
              <w:t>Annual Equity Bonus</w:t>
            </w:r>
          </w:p>
        </w:tc>
        <w:tc>
          <w:tcPr>
            <w:tcW w:w="7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808080"/>
          </w:tcPr>
          <w:p>
            <w:pPr>
              <w:spacing w:after="0"/>
              <w:rPr>
                <w:sz w:val="15"/>
                <w:szCs w:val="15"/>
                <w:color w:val="auto"/>
              </w:rPr>
            </w:pPr>
          </w:p>
        </w:tc>
        <w:tc>
          <w:tcPr>
            <w:tcW w:w="1380" w:type="dxa"/>
            <w:vAlign w:val="bottom"/>
            <w:shd w:val="clear" w:color="auto" w:fill="808080"/>
          </w:tcPr>
          <w:p>
            <w:pPr>
              <w:spacing w:after="0"/>
              <w:rPr>
                <w:sz w:val="15"/>
                <w:szCs w:val="15"/>
                <w:color w:val="auto"/>
              </w:rPr>
            </w:pPr>
          </w:p>
        </w:tc>
        <w:tc>
          <w:tcPr>
            <w:tcW w:w="120" w:type="dxa"/>
            <w:vAlign w:val="bottom"/>
            <w:shd w:val="clear" w:color="auto" w:fill="D6D6D6"/>
          </w:tcPr>
          <w:p>
            <w:pPr>
              <w:spacing w:after="0"/>
              <w:rPr>
                <w:sz w:val="15"/>
                <w:szCs w:val="15"/>
                <w:color w:val="auto"/>
              </w:rPr>
            </w:pPr>
          </w:p>
        </w:tc>
        <w:tc>
          <w:tcPr>
            <w:tcW w:w="2160" w:type="dxa"/>
            <w:vAlign w:val="bottom"/>
            <w:vMerge w:val="continue"/>
            <w:shd w:val="clear" w:color="auto" w:fill="D6D6D6"/>
          </w:tcPr>
          <w:p>
            <w:pPr>
              <w:spacing w:after="0"/>
              <w:rPr>
                <w:sz w:val="15"/>
                <w:szCs w:val="15"/>
                <w:color w:val="auto"/>
              </w:rPr>
            </w:pPr>
          </w:p>
        </w:tc>
        <w:tc>
          <w:tcPr>
            <w:tcW w:w="7640" w:type="dxa"/>
            <w:vAlign w:val="bottom"/>
          </w:tcPr>
          <w:p>
            <w:pPr>
              <w:ind w:left="420"/>
              <w:spacing w:after="0" w:line="183" w:lineRule="exact"/>
              <w:rPr>
                <w:sz w:val="20"/>
                <w:szCs w:val="20"/>
                <w:color w:val="auto"/>
              </w:rPr>
            </w:pPr>
            <w:r>
              <w:rPr>
                <w:rFonts w:ascii="Arial" w:cs="Arial" w:eastAsia="Arial" w:hAnsi="Arial"/>
                <w:sz w:val="18"/>
                <w:szCs w:val="18"/>
                <w:color w:val="auto"/>
              </w:rPr>
              <w:t>performance of our Company and the executive; subject to a no-sell restriction until three</w:t>
            </w:r>
          </w:p>
        </w:tc>
        <w:tc>
          <w:tcPr>
            <w:tcW w:w="0" w:type="dxa"/>
            <w:vAlign w:val="bottom"/>
          </w:tcPr>
          <w:p>
            <w:pPr>
              <w:spacing w:after="0"/>
              <w:rPr>
                <w:sz w:val="1"/>
                <w:szCs w:val="1"/>
                <w:color w:val="auto"/>
              </w:rPr>
            </w:pPr>
          </w:p>
        </w:tc>
      </w:tr>
      <w:tr>
        <w:trPr>
          <w:trHeight w:val="242"/>
        </w:trPr>
        <w:tc>
          <w:tcPr>
            <w:tcW w:w="120" w:type="dxa"/>
            <w:vAlign w:val="bottom"/>
            <w:tcBorders>
              <w:bottom w:val="single" w:sz="8" w:color="8590A9"/>
            </w:tcBorders>
            <w:shd w:val="clear" w:color="auto" w:fill="808080"/>
          </w:tcPr>
          <w:p>
            <w:pPr>
              <w:spacing w:after="0"/>
              <w:rPr>
                <w:sz w:val="21"/>
                <w:szCs w:val="21"/>
                <w:color w:val="auto"/>
              </w:rPr>
            </w:pPr>
          </w:p>
        </w:tc>
        <w:tc>
          <w:tcPr>
            <w:tcW w:w="1380" w:type="dxa"/>
            <w:vAlign w:val="bottom"/>
            <w:tcBorders>
              <w:bottom w:val="single" w:sz="8" w:color="8590A9"/>
            </w:tcBorders>
            <w:shd w:val="clear" w:color="auto" w:fill="808080"/>
          </w:tcPr>
          <w:p>
            <w:pPr>
              <w:spacing w:after="0"/>
              <w:rPr>
                <w:sz w:val="21"/>
                <w:szCs w:val="21"/>
                <w:color w:val="auto"/>
              </w:rPr>
            </w:pPr>
          </w:p>
        </w:tc>
        <w:tc>
          <w:tcPr>
            <w:tcW w:w="120" w:type="dxa"/>
            <w:vAlign w:val="bottom"/>
            <w:tcBorders>
              <w:bottom w:val="single" w:sz="8" w:color="8590A9"/>
            </w:tcBorders>
            <w:shd w:val="clear" w:color="auto" w:fill="D6D6D6"/>
          </w:tcPr>
          <w:p>
            <w:pPr>
              <w:spacing w:after="0"/>
              <w:rPr>
                <w:sz w:val="21"/>
                <w:szCs w:val="21"/>
                <w:color w:val="auto"/>
              </w:rPr>
            </w:pPr>
          </w:p>
        </w:tc>
        <w:tc>
          <w:tcPr>
            <w:tcW w:w="2160" w:type="dxa"/>
            <w:vAlign w:val="bottom"/>
            <w:tcBorders>
              <w:bottom w:val="single" w:sz="8" w:color="8590A9"/>
            </w:tcBorders>
            <w:shd w:val="clear" w:color="auto" w:fill="D6D6D6"/>
          </w:tcPr>
          <w:p>
            <w:pPr>
              <w:spacing w:after="0"/>
              <w:rPr>
                <w:sz w:val="21"/>
                <w:szCs w:val="21"/>
                <w:color w:val="auto"/>
              </w:rPr>
            </w:pPr>
          </w:p>
        </w:tc>
        <w:tc>
          <w:tcPr>
            <w:tcW w:w="7640" w:type="dxa"/>
            <w:vAlign w:val="bottom"/>
            <w:tcBorders>
              <w:bottom w:val="single" w:sz="8" w:color="8590A9"/>
            </w:tcBorders>
          </w:tcPr>
          <w:p>
            <w:pPr>
              <w:ind w:left="420"/>
              <w:spacing w:after="0"/>
              <w:rPr>
                <w:sz w:val="20"/>
                <w:szCs w:val="20"/>
                <w:color w:val="auto"/>
              </w:rPr>
            </w:pPr>
            <w:r>
              <w:rPr>
                <w:rFonts w:ascii="Arial" w:cs="Arial" w:eastAsia="Arial" w:hAnsi="Arial"/>
                <w:sz w:val="18"/>
                <w:szCs w:val="18"/>
                <w:color w:val="auto"/>
              </w:rPr>
              <w:t>years after grant date</w:t>
            </w:r>
          </w:p>
        </w:tc>
        <w:tc>
          <w:tcPr>
            <w:tcW w:w="0" w:type="dxa"/>
            <w:vAlign w:val="bottom"/>
          </w:tcPr>
          <w:p>
            <w:pPr>
              <w:spacing w:after="0"/>
              <w:rPr>
                <w:sz w:val="1"/>
                <w:szCs w:val="1"/>
                <w:color w:val="auto"/>
              </w:rPr>
            </w:pPr>
          </w:p>
        </w:tc>
      </w:tr>
      <w:tr>
        <w:trPr>
          <w:trHeight w:val="223"/>
        </w:trPr>
        <w:tc>
          <w:tcPr>
            <w:tcW w:w="120" w:type="dxa"/>
            <w:vAlign w:val="bottom"/>
            <w:shd w:val="clear" w:color="auto" w:fill="8590A9"/>
          </w:tcPr>
          <w:p>
            <w:pPr>
              <w:spacing w:after="0"/>
              <w:rPr>
                <w:sz w:val="19"/>
                <w:szCs w:val="19"/>
                <w:color w:val="auto"/>
              </w:rPr>
            </w:pPr>
          </w:p>
        </w:tc>
        <w:tc>
          <w:tcPr>
            <w:tcW w:w="1380" w:type="dxa"/>
            <w:vAlign w:val="bottom"/>
            <w:shd w:val="clear" w:color="auto" w:fill="8590A9"/>
          </w:tcPr>
          <w:p>
            <w:pPr>
              <w:spacing w:after="0"/>
              <w:rPr>
                <w:sz w:val="19"/>
                <w:szCs w:val="19"/>
                <w:color w:val="auto"/>
              </w:rPr>
            </w:pPr>
          </w:p>
        </w:tc>
        <w:tc>
          <w:tcPr>
            <w:tcW w:w="120" w:type="dxa"/>
            <w:vAlign w:val="bottom"/>
            <w:shd w:val="clear" w:color="auto" w:fill="D0D3DB"/>
          </w:tcPr>
          <w:p>
            <w:pPr>
              <w:spacing w:after="0"/>
              <w:rPr>
                <w:sz w:val="19"/>
                <w:szCs w:val="19"/>
                <w:color w:val="auto"/>
              </w:rPr>
            </w:pPr>
          </w:p>
        </w:tc>
        <w:tc>
          <w:tcPr>
            <w:tcW w:w="2160" w:type="dxa"/>
            <w:vAlign w:val="bottom"/>
            <w:vMerge w:val="restart"/>
            <w:shd w:val="clear" w:color="auto" w:fill="D0D3DB"/>
          </w:tcPr>
          <w:p>
            <w:pPr>
              <w:ind w:left="20"/>
              <w:spacing w:after="0"/>
              <w:rPr>
                <w:sz w:val="20"/>
                <w:szCs w:val="20"/>
                <w:color w:val="auto"/>
              </w:rPr>
            </w:pPr>
            <w:r>
              <w:rPr>
                <w:rFonts w:ascii="Arial" w:cs="Arial" w:eastAsia="Arial" w:hAnsi="Arial"/>
                <w:sz w:val="18"/>
                <w:szCs w:val="18"/>
                <w:color w:val="auto"/>
              </w:rPr>
              <w:t>Contract Equity Awards</w:t>
            </w:r>
          </w:p>
        </w:tc>
        <w:tc>
          <w:tcPr>
            <w:tcW w:w="7640" w:type="dxa"/>
            <w:vAlign w:val="bottom"/>
          </w:tcPr>
          <w:p>
            <w:pPr>
              <w:ind w:left="16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Long-term equity incentives granted in connection with new or extended employment</w:t>
            </w:r>
          </w:p>
        </w:tc>
        <w:tc>
          <w:tcPr>
            <w:tcW w:w="0" w:type="dxa"/>
            <w:vAlign w:val="bottom"/>
          </w:tcPr>
          <w:p>
            <w:pPr>
              <w:spacing w:after="0"/>
              <w:rPr>
                <w:sz w:val="1"/>
                <w:szCs w:val="1"/>
                <w:color w:val="auto"/>
              </w:rPr>
            </w:pPr>
          </w:p>
        </w:tc>
      </w:tr>
      <w:tr>
        <w:trPr>
          <w:trHeight w:val="202"/>
        </w:trPr>
        <w:tc>
          <w:tcPr>
            <w:tcW w:w="120" w:type="dxa"/>
            <w:vAlign w:val="bottom"/>
            <w:shd w:val="clear" w:color="auto" w:fill="8590A9"/>
          </w:tcPr>
          <w:p>
            <w:pPr>
              <w:spacing w:after="0"/>
              <w:rPr>
                <w:sz w:val="17"/>
                <w:szCs w:val="17"/>
                <w:color w:val="auto"/>
              </w:rPr>
            </w:pPr>
          </w:p>
        </w:tc>
        <w:tc>
          <w:tcPr>
            <w:tcW w:w="1380" w:type="dxa"/>
            <w:vAlign w:val="bottom"/>
            <w:vMerge w:val="restart"/>
            <w:shd w:val="clear" w:color="auto" w:fill="8590A9"/>
          </w:tcPr>
          <w:p>
            <w:pPr>
              <w:jc w:val="center"/>
              <w:ind w:right="36"/>
              <w:spacing w:after="0"/>
              <w:rPr>
                <w:sz w:val="20"/>
                <w:szCs w:val="20"/>
                <w:color w:val="auto"/>
              </w:rPr>
            </w:pPr>
            <w:r>
              <w:rPr>
                <w:rFonts w:ascii="Arial" w:cs="Arial" w:eastAsia="Arial" w:hAnsi="Arial"/>
                <w:sz w:val="18"/>
                <w:szCs w:val="18"/>
                <w:b w:val="1"/>
                <w:bCs w:val="1"/>
                <w:color w:val="FFFFFF"/>
                <w:w w:val="95"/>
              </w:rPr>
              <w:t>Long-Term</w:t>
            </w:r>
          </w:p>
        </w:tc>
        <w:tc>
          <w:tcPr>
            <w:tcW w:w="120" w:type="dxa"/>
            <w:vAlign w:val="bottom"/>
            <w:shd w:val="clear" w:color="auto" w:fill="D0D3DB"/>
          </w:tcPr>
          <w:p>
            <w:pPr>
              <w:spacing w:after="0"/>
              <w:rPr>
                <w:sz w:val="17"/>
                <w:szCs w:val="17"/>
                <w:color w:val="auto"/>
              </w:rPr>
            </w:pPr>
          </w:p>
        </w:tc>
        <w:tc>
          <w:tcPr>
            <w:tcW w:w="2160" w:type="dxa"/>
            <w:vAlign w:val="bottom"/>
            <w:vMerge w:val="continue"/>
            <w:shd w:val="clear" w:color="auto" w:fill="D0D3DB"/>
          </w:tcPr>
          <w:p>
            <w:pPr>
              <w:spacing w:after="0"/>
              <w:rPr>
                <w:sz w:val="17"/>
                <w:szCs w:val="17"/>
                <w:color w:val="auto"/>
              </w:rPr>
            </w:pPr>
          </w:p>
        </w:tc>
        <w:tc>
          <w:tcPr>
            <w:tcW w:w="7640" w:type="dxa"/>
            <w:vAlign w:val="bottom"/>
          </w:tcPr>
          <w:p>
            <w:pPr>
              <w:ind w:left="420"/>
              <w:spacing w:after="0" w:line="202" w:lineRule="exact"/>
              <w:rPr>
                <w:sz w:val="20"/>
                <w:szCs w:val="20"/>
                <w:color w:val="auto"/>
              </w:rPr>
            </w:pPr>
            <w:r>
              <w:rPr>
                <w:rFonts w:ascii="Arial" w:cs="Arial" w:eastAsia="Arial" w:hAnsi="Arial"/>
                <w:sz w:val="18"/>
                <w:szCs w:val="18"/>
                <w:color w:val="auto"/>
              </w:rPr>
              <w:t>agreements; includes performance-based LTIP units, time-based LTIP units, and stock</w:t>
            </w:r>
          </w:p>
        </w:tc>
        <w:tc>
          <w:tcPr>
            <w:tcW w:w="0" w:type="dxa"/>
            <w:vAlign w:val="bottom"/>
          </w:tcPr>
          <w:p>
            <w:pPr>
              <w:spacing w:after="0"/>
              <w:rPr>
                <w:sz w:val="1"/>
                <w:szCs w:val="1"/>
                <w:color w:val="auto"/>
              </w:rPr>
            </w:pPr>
          </w:p>
        </w:tc>
      </w:tr>
      <w:tr>
        <w:trPr>
          <w:trHeight w:val="119"/>
        </w:trPr>
        <w:tc>
          <w:tcPr>
            <w:tcW w:w="120" w:type="dxa"/>
            <w:vAlign w:val="bottom"/>
            <w:shd w:val="clear" w:color="auto" w:fill="8590A9"/>
          </w:tcPr>
          <w:p>
            <w:pPr>
              <w:spacing w:after="0"/>
              <w:rPr>
                <w:sz w:val="10"/>
                <w:szCs w:val="10"/>
                <w:color w:val="auto"/>
              </w:rPr>
            </w:pPr>
          </w:p>
        </w:tc>
        <w:tc>
          <w:tcPr>
            <w:tcW w:w="1380" w:type="dxa"/>
            <w:vAlign w:val="bottom"/>
            <w:vMerge w:val="continue"/>
            <w:shd w:val="clear" w:color="auto" w:fill="8590A9"/>
          </w:tcPr>
          <w:p>
            <w:pPr>
              <w:spacing w:after="0"/>
              <w:rPr>
                <w:sz w:val="10"/>
                <w:szCs w:val="10"/>
                <w:color w:val="auto"/>
              </w:rPr>
            </w:pPr>
          </w:p>
        </w:tc>
        <w:tc>
          <w:tcPr>
            <w:tcW w:w="120" w:type="dxa"/>
            <w:vAlign w:val="bottom"/>
            <w:shd w:val="clear" w:color="auto" w:fill="D0D3DB"/>
          </w:tcPr>
          <w:p>
            <w:pPr>
              <w:spacing w:after="0"/>
              <w:rPr>
                <w:sz w:val="10"/>
                <w:szCs w:val="10"/>
                <w:color w:val="auto"/>
              </w:rPr>
            </w:pPr>
          </w:p>
        </w:tc>
        <w:tc>
          <w:tcPr>
            <w:tcW w:w="2160" w:type="dxa"/>
            <w:vAlign w:val="bottom"/>
            <w:shd w:val="clear" w:color="auto" w:fill="D0D3DB"/>
          </w:tcPr>
          <w:p>
            <w:pPr>
              <w:spacing w:after="0"/>
              <w:rPr>
                <w:sz w:val="10"/>
                <w:szCs w:val="10"/>
                <w:color w:val="auto"/>
              </w:rPr>
            </w:pPr>
          </w:p>
        </w:tc>
        <w:tc>
          <w:tcPr>
            <w:tcW w:w="7640" w:type="dxa"/>
            <w:vAlign w:val="bottom"/>
            <w:vMerge w:val="restart"/>
          </w:tcPr>
          <w:p>
            <w:pPr>
              <w:ind w:left="420"/>
              <w:spacing w:after="0"/>
              <w:rPr>
                <w:sz w:val="20"/>
                <w:szCs w:val="20"/>
                <w:color w:val="auto"/>
              </w:rPr>
            </w:pPr>
            <w:r>
              <w:rPr>
                <w:rFonts w:ascii="Arial" w:cs="Arial" w:eastAsia="Arial" w:hAnsi="Arial"/>
                <w:sz w:val="18"/>
                <w:szCs w:val="18"/>
                <w:color w:val="auto"/>
              </w:rPr>
              <w:t>options or Class O LTIP units</w:t>
            </w:r>
          </w:p>
        </w:tc>
        <w:tc>
          <w:tcPr>
            <w:tcW w:w="0" w:type="dxa"/>
            <w:vAlign w:val="bottom"/>
          </w:tcPr>
          <w:p>
            <w:pPr>
              <w:spacing w:after="0"/>
              <w:rPr>
                <w:sz w:val="1"/>
                <w:szCs w:val="1"/>
                <w:color w:val="auto"/>
              </w:rPr>
            </w:pPr>
          </w:p>
        </w:tc>
      </w:tr>
      <w:tr>
        <w:trPr>
          <w:trHeight w:val="122"/>
        </w:trPr>
        <w:tc>
          <w:tcPr>
            <w:tcW w:w="120" w:type="dxa"/>
            <w:vAlign w:val="bottom"/>
            <w:tcBorders>
              <w:bottom w:val="single" w:sz="8" w:color="8590A9"/>
            </w:tcBorders>
            <w:shd w:val="clear" w:color="auto" w:fill="8590A9"/>
          </w:tcPr>
          <w:p>
            <w:pPr>
              <w:spacing w:after="0"/>
              <w:rPr>
                <w:sz w:val="10"/>
                <w:szCs w:val="10"/>
                <w:color w:val="auto"/>
              </w:rPr>
            </w:pPr>
          </w:p>
        </w:tc>
        <w:tc>
          <w:tcPr>
            <w:tcW w:w="1380" w:type="dxa"/>
            <w:vAlign w:val="bottom"/>
            <w:tcBorders>
              <w:bottom w:val="single" w:sz="8" w:color="8590A9"/>
            </w:tcBorders>
            <w:vMerge w:val="restart"/>
            <w:shd w:val="clear" w:color="auto" w:fill="8590A9"/>
          </w:tcPr>
          <w:p>
            <w:pPr>
              <w:jc w:val="center"/>
              <w:ind w:right="36"/>
              <w:spacing w:after="0"/>
              <w:rPr>
                <w:sz w:val="20"/>
                <w:szCs w:val="20"/>
                <w:color w:val="auto"/>
              </w:rPr>
            </w:pPr>
            <w:r>
              <w:rPr>
                <w:rFonts w:ascii="Arial" w:cs="Arial" w:eastAsia="Arial" w:hAnsi="Arial"/>
                <w:sz w:val="18"/>
                <w:szCs w:val="18"/>
                <w:b w:val="1"/>
                <w:bCs w:val="1"/>
                <w:color w:val="FFFFFF"/>
                <w:w w:val="97"/>
              </w:rPr>
              <w:t>Incentives</w:t>
            </w:r>
          </w:p>
        </w:tc>
        <w:tc>
          <w:tcPr>
            <w:tcW w:w="120" w:type="dxa"/>
            <w:vAlign w:val="bottom"/>
            <w:tcBorders>
              <w:bottom w:val="single" w:sz="8" w:color="8590A9"/>
            </w:tcBorders>
            <w:shd w:val="clear" w:color="auto" w:fill="D0D3DB"/>
          </w:tcPr>
          <w:p>
            <w:pPr>
              <w:spacing w:after="0"/>
              <w:rPr>
                <w:sz w:val="10"/>
                <w:szCs w:val="10"/>
                <w:color w:val="auto"/>
              </w:rPr>
            </w:pPr>
          </w:p>
        </w:tc>
        <w:tc>
          <w:tcPr>
            <w:tcW w:w="2160" w:type="dxa"/>
            <w:vAlign w:val="bottom"/>
            <w:tcBorders>
              <w:bottom w:val="single" w:sz="8" w:color="8590A9"/>
            </w:tcBorders>
            <w:shd w:val="clear" w:color="auto" w:fill="D0D3DB"/>
          </w:tcPr>
          <w:p>
            <w:pPr>
              <w:spacing w:after="0"/>
              <w:rPr>
                <w:sz w:val="10"/>
                <w:szCs w:val="10"/>
                <w:color w:val="auto"/>
              </w:rPr>
            </w:pPr>
          </w:p>
        </w:tc>
        <w:tc>
          <w:tcPr>
            <w:tcW w:w="7640" w:type="dxa"/>
            <w:vAlign w:val="bottom"/>
            <w:tcBorders>
              <w:bottom w:val="single" w:sz="8" w:color="8590A9"/>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0" w:type="dxa"/>
            <w:vAlign w:val="bottom"/>
            <w:shd w:val="clear" w:color="auto" w:fill="8590A9"/>
          </w:tcPr>
          <w:p>
            <w:pPr>
              <w:spacing w:after="0"/>
              <w:rPr>
                <w:sz w:val="9"/>
                <w:szCs w:val="9"/>
                <w:color w:val="auto"/>
              </w:rPr>
            </w:pPr>
          </w:p>
        </w:tc>
        <w:tc>
          <w:tcPr>
            <w:tcW w:w="1380" w:type="dxa"/>
            <w:vAlign w:val="bottom"/>
            <w:vMerge w:val="continue"/>
            <w:shd w:val="clear" w:color="auto" w:fill="8590A9"/>
          </w:tcPr>
          <w:p>
            <w:pPr>
              <w:spacing w:after="0"/>
              <w:rPr>
                <w:sz w:val="9"/>
                <w:szCs w:val="9"/>
                <w:color w:val="auto"/>
              </w:rPr>
            </w:pPr>
          </w:p>
        </w:tc>
        <w:tc>
          <w:tcPr>
            <w:tcW w:w="120" w:type="dxa"/>
            <w:vAlign w:val="bottom"/>
            <w:shd w:val="clear" w:color="auto" w:fill="D0D3DB"/>
          </w:tcPr>
          <w:p>
            <w:pPr>
              <w:spacing w:after="0"/>
              <w:rPr>
                <w:sz w:val="9"/>
                <w:szCs w:val="9"/>
                <w:color w:val="auto"/>
              </w:rPr>
            </w:pPr>
          </w:p>
        </w:tc>
        <w:tc>
          <w:tcPr>
            <w:tcW w:w="2160" w:type="dxa"/>
            <w:vAlign w:val="bottom"/>
            <w:vMerge w:val="restart"/>
            <w:shd w:val="clear" w:color="auto" w:fill="D0D3DB"/>
          </w:tcPr>
          <w:p>
            <w:pPr>
              <w:ind w:left="20"/>
              <w:spacing w:after="0"/>
              <w:rPr>
                <w:sz w:val="20"/>
                <w:szCs w:val="20"/>
                <w:color w:val="auto"/>
              </w:rPr>
            </w:pPr>
            <w:r>
              <w:rPr>
                <w:rFonts w:ascii="Arial" w:cs="Arial" w:eastAsia="Arial" w:hAnsi="Arial"/>
                <w:sz w:val="18"/>
                <w:szCs w:val="18"/>
                <w:color w:val="auto"/>
              </w:rPr>
              <w:t>Outperformance Plan</w:t>
            </w:r>
          </w:p>
        </w:tc>
        <w:tc>
          <w:tcPr>
            <w:tcW w:w="7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Multi-year equity awards that are subject to challenging performance-based hurdles</w:t>
            </w:r>
          </w:p>
        </w:tc>
        <w:tc>
          <w:tcPr>
            <w:tcW w:w="0" w:type="dxa"/>
            <w:vAlign w:val="bottom"/>
          </w:tcPr>
          <w:p>
            <w:pPr>
              <w:spacing w:after="0"/>
              <w:rPr>
                <w:sz w:val="1"/>
                <w:szCs w:val="1"/>
                <w:color w:val="auto"/>
              </w:rPr>
            </w:pPr>
          </w:p>
        </w:tc>
      </w:tr>
      <w:tr>
        <w:trPr>
          <w:trHeight w:val="106"/>
        </w:trPr>
        <w:tc>
          <w:tcPr>
            <w:tcW w:w="120" w:type="dxa"/>
            <w:vAlign w:val="bottom"/>
            <w:shd w:val="clear" w:color="auto" w:fill="8590A9"/>
          </w:tcPr>
          <w:p>
            <w:pPr>
              <w:spacing w:after="0"/>
              <w:rPr>
                <w:sz w:val="9"/>
                <w:szCs w:val="9"/>
                <w:color w:val="auto"/>
              </w:rPr>
            </w:pPr>
          </w:p>
        </w:tc>
        <w:tc>
          <w:tcPr>
            <w:tcW w:w="1380" w:type="dxa"/>
            <w:vAlign w:val="bottom"/>
            <w:shd w:val="clear" w:color="auto" w:fill="8590A9"/>
          </w:tcPr>
          <w:p>
            <w:pPr>
              <w:spacing w:after="0"/>
              <w:rPr>
                <w:sz w:val="9"/>
                <w:szCs w:val="9"/>
                <w:color w:val="auto"/>
              </w:rPr>
            </w:pPr>
          </w:p>
        </w:tc>
        <w:tc>
          <w:tcPr>
            <w:tcW w:w="120" w:type="dxa"/>
            <w:vAlign w:val="bottom"/>
            <w:shd w:val="clear" w:color="auto" w:fill="D0D3DB"/>
          </w:tcPr>
          <w:p>
            <w:pPr>
              <w:spacing w:after="0"/>
              <w:rPr>
                <w:sz w:val="9"/>
                <w:szCs w:val="9"/>
                <w:color w:val="auto"/>
              </w:rPr>
            </w:pPr>
          </w:p>
        </w:tc>
        <w:tc>
          <w:tcPr>
            <w:tcW w:w="2160" w:type="dxa"/>
            <w:vAlign w:val="bottom"/>
            <w:vMerge w:val="continue"/>
            <w:shd w:val="clear" w:color="auto" w:fill="D0D3DB"/>
          </w:tcPr>
          <w:p>
            <w:pPr>
              <w:spacing w:after="0"/>
              <w:rPr>
                <w:sz w:val="9"/>
                <w:szCs w:val="9"/>
                <w:color w:val="auto"/>
              </w:rPr>
            </w:pPr>
          </w:p>
        </w:tc>
        <w:tc>
          <w:tcPr>
            <w:tcW w:w="7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120" w:type="dxa"/>
            <w:vAlign w:val="bottom"/>
            <w:shd w:val="clear" w:color="auto" w:fill="8590A9"/>
          </w:tcPr>
          <w:p>
            <w:pPr>
              <w:spacing w:after="0"/>
              <w:rPr>
                <w:sz w:val="21"/>
                <w:szCs w:val="21"/>
                <w:color w:val="auto"/>
              </w:rPr>
            </w:pPr>
          </w:p>
        </w:tc>
        <w:tc>
          <w:tcPr>
            <w:tcW w:w="1380" w:type="dxa"/>
            <w:vAlign w:val="bottom"/>
            <w:shd w:val="clear" w:color="auto" w:fill="8590A9"/>
          </w:tcPr>
          <w:p>
            <w:pPr>
              <w:spacing w:after="0"/>
              <w:rPr>
                <w:sz w:val="21"/>
                <w:szCs w:val="21"/>
                <w:color w:val="auto"/>
              </w:rPr>
            </w:pPr>
          </w:p>
        </w:tc>
        <w:tc>
          <w:tcPr>
            <w:tcW w:w="120" w:type="dxa"/>
            <w:vAlign w:val="bottom"/>
            <w:tcBorders>
              <w:bottom w:val="single" w:sz="8" w:color="8590A9"/>
            </w:tcBorders>
            <w:shd w:val="clear" w:color="auto" w:fill="D0D3DB"/>
          </w:tcPr>
          <w:p>
            <w:pPr>
              <w:spacing w:after="0"/>
              <w:rPr>
                <w:sz w:val="21"/>
                <w:szCs w:val="21"/>
                <w:color w:val="auto"/>
              </w:rPr>
            </w:pPr>
          </w:p>
        </w:tc>
        <w:tc>
          <w:tcPr>
            <w:tcW w:w="2160" w:type="dxa"/>
            <w:vAlign w:val="bottom"/>
            <w:tcBorders>
              <w:bottom w:val="single" w:sz="8" w:color="8590A9"/>
            </w:tcBorders>
            <w:shd w:val="clear" w:color="auto" w:fill="D0D3DB"/>
          </w:tcPr>
          <w:p>
            <w:pPr>
              <w:ind w:left="20"/>
              <w:spacing w:after="0"/>
              <w:rPr>
                <w:sz w:val="20"/>
                <w:szCs w:val="20"/>
                <w:color w:val="auto"/>
              </w:rPr>
            </w:pPr>
            <w:r>
              <w:rPr>
                <w:rFonts w:ascii="Arial" w:cs="Arial" w:eastAsia="Arial" w:hAnsi="Arial"/>
                <w:sz w:val="18"/>
                <w:szCs w:val="18"/>
                <w:color w:val="auto"/>
              </w:rPr>
              <w:t>(OPP) Awards</w:t>
            </w:r>
          </w:p>
        </w:tc>
        <w:tc>
          <w:tcPr>
            <w:tcW w:w="7640" w:type="dxa"/>
            <w:vAlign w:val="bottom"/>
            <w:tcBorders>
              <w:bottom w:val="single" w:sz="8" w:color="8590A9"/>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6"/>
        </w:trPr>
        <w:tc>
          <w:tcPr>
            <w:tcW w:w="1620" w:type="dxa"/>
            <w:vAlign w:val="bottom"/>
            <w:gridSpan w:val="3"/>
          </w:tcPr>
          <w:p>
            <w:pPr>
              <w:spacing w:after="0"/>
              <w:rPr>
                <w:sz w:val="20"/>
                <w:szCs w:val="20"/>
                <w:color w:val="auto"/>
              </w:rPr>
            </w:pPr>
            <w:r>
              <w:rPr>
                <w:rFonts w:ascii="Arial" w:cs="Arial" w:eastAsia="Arial" w:hAnsi="Arial"/>
                <w:sz w:val="13"/>
                <w:szCs w:val="13"/>
                <w:b w:val="1"/>
                <w:bCs w:val="1"/>
                <w:color w:val="435F8C"/>
              </w:rPr>
              <w:t>Majority of Pay is at Risk</w:t>
            </w:r>
          </w:p>
        </w:tc>
        <w:tc>
          <w:tcPr>
            <w:tcW w:w="21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3"/>
          </w:tcPr>
          <w:p>
            <w:pPr>
              <w:spacing w:after="0"/>
              <w:rPr>
                <w:sz w:val="16"/>
                <w:szCs w:val="16"/>
                <w:color w:val="auto"/>
              </w:rPr>
            </w:pP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8F9CAF"/>
          </w:tcPr>
          <w:p>
            <w:pPr>
              <w:spacing w:after="0"/>
              <w:rPr>
                <w:sz w:val="21"/>
                <w:szCs w:val="21"/>
                <w:color w:val="auto"/>
              </w:rPr>
            </w:pPr>
          </w:p>
        </w:tc>
        <w:tc>
          <w:tcPr>
            <w:tcW w:w="3660" w:type="dxa"/>
            <w:vAlign w:val="bottom"/>
            <w:gridSpan w:val="3"/>
            <w:shd w:val="clear" w:color="auto" w:fill="8F9CAF"/>
          </w:tcPr>
          <w:p>
            <w:pPr>
              <w:spacing w:after="0"/>
              <w:rPr>
                <w:sz w:val="20"/>
                <w:szCs w:val="20"/>
                <w:color w:val="auto"/>
              </w:rPr>
            </w:pPr>
            <w:r>
              <w:rPr>
                <w:rFonts w:ascii="Arial" w:cs="Arial" w:eastAsia="Arial" w:hAnsi="Arial"/>
                <w:sz w:val="13"/>
                <w:szCs w:val="13"/>
                <w:b w:val="1"/>
                <w:bCs w:val="1"/>
                <w:color w:val="345988"/>
              </w:rPr>
              <w:t>2017 CEO Compensation Mix</w:t>
            </w:r>
          </w:p>
        </w:tc>
        <w:tc>
          <w:tcPr>
            <w:tcW w:w="7640" w:type="dxa"/>
            <w:vAlign w:val="bottom"/>
            <w:shd w:val="clear" w:color="auto" w:fill="8F9CAF"/>
          </w:tcPr>
          <w:p>
            <w:pPr>
              <w:ind w:left="2060"/>
              <w:spacing w:after="0"/>
              <w:rPr>
                <w:sz w:val="20"/>
                <w:szCs w:val="20"/>
                <w:color w:val="auto"/>
              </w:rPr>
            </w:pPr>
            <w:r>
              <w:rPr>
                <w:rFonts w:ascii="Arial" w:cs="Arial" w:eastAsia="Arial" w:hAnsi="Arial"/>
                <w:sz w:val="13"/>
                <w:szCs w:val="13"/>
                <w:b w:val="1"/>
                <w:bCs w:val="1"/>
                <w:color w:val="345988"/>
              </w:rPr>
              <w:t>2017 Other NEO Compensation Mix</w:t>
            </w:r>
          </w:p>
        </w:tc>
        <w:tc>
          <w:tcPr>
            <w:tcW w:w="0" w:type="dxa"/>
            <w:vAlign w:val="bottom"/>
          </w:tcPr>
          <w:p>
            <w:pPr>
              <w:spacing w:after="0"/>
              <w:rPr>
                <w:sz w:val="1"/>
                <w:szCs w:val="1"/>
                <w:color w:val="auto"/>
              </w:rPr>
            </w:pPr>
          </w:p>
        </w:tc>
      </w:tr>
      <w:tr>
        <w:trPr>
          <w:trHeight w:val="2506"/>
        </w:trPr>
        <w:tc>
          <w:tcPr>
            <w:tcW w:w="120" w:type="dxa"/>
            <w:vAlign w:val="bottom"/>
            <w:shd w:val="clear" w:color="auto" w:fill="8F9CAF"/>
          </w:tcPr>
          <w:p>
            <w:pPr>
              <w:spacing w:after="0"/>
              <w:rPr>
                <w:sz w:val="24"/>
                <w:szCs w:val="24"/>
                <w:color w:val="auto"/>
              </w:rPr>
            </w:pPr>
          </w:p>
        </w:tc>
        <w:tc>
          <w:tcPr>
            <w:tcW w:w="1380" w:type="dxa"/>
            <w:vAlign w:val="bottom"/>
            <w:shd w:val="clear" w:color="auto" w:fill="8F9CAF"/>
          </w:tcPr>
          <w:p>
            <w:pPr>
              <w:spacing w:after="0"/>
              <w:rPr>
                <w:sz w:val="24"/>
                <w:szCs w:val="24"/>
                <w:color w:val="auto"/>
              </w:rPr>
            </w:pPr>
          </w:p>
        </w:tc>
        <w:tc>
          <w:tcPr>
            <w:tcW w:w="120" w:type="dxa"/>
            <w:vAlign w:val="bottom"/>
            <w:shd w:val="clear" w:color="auto" w:fill="8F9CAF"/>
          </w:tcPr>
          <w:p>
            <w:pPr>
              <w:spacing w:after="0"/>
              <w:rPr>
                <w:sz w:val="24"/>
                <w:szCs w:val="24"/>
                <w:color w:val="auto"/>
              </w:rPr>
            </w:pPr>
          </w:p>
        </w:tc>
        <w:tc>
          <w:tcPr>
            <w:tcW w:w="2160" w:type="dxa"/>
            <w:vAlign w:val="bottom"/>
            <w:shd w:val="clear" w:color="auto" w:fill="8F9CAF"/>
          </w:tcPr>
          <w:p>
            <w:pPr>
              <w:spacing w:after="0"/>
              <w:rPr>
                <w:sz w:val="24"/>
                <w:szCs w:val="24"/>
                <w:color w:val="auto"/>
              </w:rPr>
            </w:pPr>
          </w:p>
        </w:tc>
        <w:tc>
          <w:tcPr>
            <w:tcW w:w="7640" w:type="dxa"/>
            <w:vAlign w:val="bottom"/>
            <w:shd w:val="clear" w:color="auto" w:fill="8F9CA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-1590675</wp:posOffset>
            </wp:positionV>
            <wp:extent cx="7101205" cy="15913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1205" cy="159131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gridSpan w:val="4"/>
          </w:tcPr>
          <w:p>
            <w:pPr>
              <w:spacing w:after="0"/>
              <w:rPr>
                <w:sz w:val="20"/>
                <w:szCs w:val="20"/>
                <w:color w:val="auto"/>
              </w:rPr>
            </w:pPr>
            <w:r>
              <w:rPr>
                <w:rFonts w:ascii="Arial" w:cs="Arial" w:eastAsia="Arial" w:hAnsi="Arial"/>
                <w:sz w:val="13"/>
                <w:szCs w:val="13"/>
                <w:b w:val="1"/>
                <w:bCs w:val="1"/>
                <w:color w:val="435F8C"/>
              </w:rPr>
              <w:t>Majority of 2017 CEO Compensation is Deferred and Paid in Equity</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3520" w:type="dxa"/>
            <w:vAlign w:val="bottom"/>
            <w:gridSpan w:val="3"/>
          </w:tcPr>
          <w:p>
            <w:pPr>
              <w:spacing w:after="0"/>
              <w:rPr>
                <w:sz w:val="20"/>
                <w:szCs w:val="20"/>
                <w:color w:val="auto"/>
              </w:rPr>
            </w:pPr>
            <w:r>
              <w:rPr>
                <w:rFonts w:ascii="Arial" w:cs="Arial" w:eastAsia="Arial" w:hAnsi="Arial"/>
                <w:sz w:val="13"/>
                <w:szCs w:val="13"/>
                <w:b w:val="1"/>
                <w:bCs w:val="1"/>
                <w:color w:val="auto"/>
              </w:rPr>
              <w:t>Compensation Realized</w:t>
            </w:r>
          </w:p>
        </w:tc>
        <w:tc>
          <w:tcPr>
            <w:tcW w:w="1480" w:type="dxa"/>
            <w:vAlign w:val="bottom"/>
          </w:tcPr>
          <w:p>
            <w:pPr>
              <w:spacing w:after="0"/>
              <w:rPr>
                <w:sz w:val="24"/>
                <w:szCs w:val="24"/>
                <w:color w:val="auto"/>
              </w:rPr>
            </w:pPr>
          </w:p>
        </w:tc>
        <w:tc>
          <w:tcPr>
            <w:tcW w:w="494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Deferred Compensation / Paid in Equity</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520" w:type="dxa"/>
            <w:vAlign w:val="bottom"/>
            <w:gridSpan w:val="3"/>
          </w:tcPr>
          <w:p>
            <w:pPr>
              <w:spacing w:after="0"/>
              <w:rPr>
                <w:sz w:val="20"/>
                <w:szCs w:val="20"/>
                <w:color w:val="auto"/>
              </w:rPr>
            </w:pPr>
            <w:r>
              <w:rPr>
                <w:rFonts w:ascii="Arial" w:cs="Arial" w:eastAsia="Arial" w:hAnsi="Arial"/>
                <w:sz w:val="13"/>
                <w:szCs w:val="13"/>
                <w:b w:val="1"/>
                <w:bCs w:val="1"/>
                <w:color w:val="auto"/>
              </w:rPr>
              <w:t>Immediately / Paid in Cash</w:t>
            </w:r>
          </w:p>
        </w:tc>
        <w:tc>
          <w:tcPr>
            <w:tcW w:w="1480" w:type="dxa"/>
            <w:vAlign w:val="bottom"/>
          </w:tcPr>
          <w:p>
            <w:pPr>
              <w:spacing w:after="0"/>
              <w:rPr>
                <w:sz w:val="17"/>
                <w:szCs w:val="17"/>
                <w:color w:val="auto"/>
              </w:rPr>
            </w:pPr>
          </w:p>
        </w:tc>
        <w:tc>
          <w:tcPr>
            <w:tcW w:w="4940" w:type="dxa"/>
            <w:vAlign w:val="bottom"/>
            <w:gridSpan w:val="4"/>
            <w:vMerge w:val="continue"/>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0" w:type="dxa"/>
            <w:vAlign w:val="bottom"/>
            <w:tcBorders>
              <w:top w:val="single" w:sz="8" w:color="345988"/>
            </w:tcBorders>
          </w:tcPr>
          <w:p>
            <w:pPr>
              <w:ind w:left="20"/>
              <w:spacing w:after="0"/>
              <w:rPr>
                <w:sz w:val="20"/>
                <w:szCs w:val="20"/>
                <w:color w:val="auto"/>
              </w:rPr>
            </w:pPr>
            <w:r>
              <w:rPr>
                <w:rFonts w:ascii="Times New Roman" w:cs="Times New Roman" w:eastAsia="Times New Roman" w:hAnsi="Times New Roman"/>
                <w:sz w:val="17"/>
                <w:szCs w:val="17"/>
                <w:color w:val="345988"/>
              </w:rPr>
              <w:t>●</w:t>
            </w:r>
          </w:p>
        </w:tc>
        <w:tc>
          <w:tcPr>
            <w:tcW w:w="3160" w:type="dxa"/>
            <w:vAlign w:val="bottom"/>
            <w:tcBorders>
              <w:top w:val="single" w:sz="8" w:color="345988"/>
            </w:tcBorders>
          </w:tcPr>
          <w:p>
            <w:pPr>
              <w:ind w:left="80"/>
              <w:spacing w:after="0" w:line="197" w:lineRule="exact"/>
              <w:rPr>
                <w:sz w:val="20"/>
                <w:szCs w:val="20"/>
                <w:color w:val="auto"/>
              </w:rPr>
            </w:pPr>
            <w:r>
              <w:rPr>
                <w:rFonts w:ascii="Arial" w:cs="Arial" w:eastAsia="Arial" w:hAnsi="Arial"/>
                <w:sz w:val="18"/>
                <w:szCs w:val="18"/>
                <w:color w:val="auto"/>
              </w:rPr>
              <w:t>Base Salary</w:t>
            </w:r>
          </w:p>
        </w:tc>
        <w:tc>
          <w:tcPr>
            <w:tcW w:w="180" w:type="dxa"/>
            <w:vAlign w:val="bottom"/>
          </w:tcPr>
          <w:p>
            <w:pPr>
              <w:spacing w:after="0"/>
              <w:rPr>
                <w:sz w:val="17"/>
                <w:szCs w:val="17"/>
                <w:color w:val="auto"/>
              </w:rPr>
            </w:pPr>
          </w:p>
        </w:tc>
        <w:tc>
          <w:tcPr>
            <w:tcW w:w="1480" w:type="dxa"/>
            <w:vAlign w:val="bottom"/>
            <w:tcBorders>
              <w:top w:val="single" w:sz="8" w:color="345988"/>
            </w:tcBorders>
            <w:vMerge w:val="restart"/>
          </w:tcPr>
          <w:p>
            <w:pPr>
              <w:jc w:val="right"/>
              <w:spacing w:after="0"/>
              <w:rPr>
                <w:sz w:val="20"/>
                <w:szCs w:val="20"/>
                <w:color w:val="auto"/>
              </w:rPr>
            </w:pPr>
            <w:r>
              <w:rPr>
                <w:rFonts w:ascii="Arial" w:cs="Arial" w:eastAsia="Arial" w:hAnsi="Arial"/>
                <w:sz w:val="43"/>
                <w:szCs w:val="43"/>
                <w:b w:val="1"/>
                <w:bCs w:val="1"/>
                <w:color w:val="345988"/>
              </w:rPr>
              <w:t>17.6%</w:t>
            </w:r>
          </w:p>
        </w:tc>
        <w:tc>
          <w:tcPr>
            <w:tcW w:w="160" w:type="dxa"/>
            <w:vAlign w:val="bottom"/>
          </w:tcPr>
          <w:p>
            <w:pPr>
              <w:spacing w:after="0"/>
              <w:rPr>
                <w:sz w:val="17"/>
                <w:szCs w:val="17"/>
                <w:color w:val="auto"/>
              </w:rPr>
            </w:pPr>
          </w:p>
        </w:tc>
        <w:tc>
          <w:tcPr>
            <w:tcW w:w="180" w:type="dxa"/>
            <w:vAlign w:val="bottom"/>
            <w:tcBorders>
              <w:top w:val="single" w:sz="8" w:color="345988"/>
            </w:tcBorders>
          </w:tcPr>
          <w:p>
            <w:pPr>
              <w:spacing w:after="0"/>
              <w:rPr>
                <w:sz w:val="20"/>
                <w:szCs w:val="20"/>
                <w:color w:val="auto"/>
              </w:rPr>
            </w:pPr>
            <w:r>
              <w:rPr>
                <w:rFonts w:ascii="Times New Roman" w:cs="Times New Roman" w:eastAsia="Times New Roman" w:hAnsi="Times New Roman"/>
                <w:sz w:val="17"/>
                <w:szCs w:val="17"/>
                <w:color w:val="345988"/>
              </w:rPr>
              <w:t>●</w:t>
            </w:r>
          </w:p>
        </w:tc>
        <w:tc>
          <w:tcPr>
            <w:tcW w:w="4440" w:type="dxa"/>
            <w:vAlign w:val="bottom"/>
            <w:tcBorders>
              <w:top w:val="single" w:sz="8" w:color="345988"/>
            </w:tcBorders>
          </w:tcPr>
          <w:p>
            <w:pPr>
              <w:ind w:left="60"/>
              <w:spacing w:after="0" w:line="197" w:lineRule="exact"/>
              <w:rPr>
                <w:sz w:val="20"/>
                <w:szCs w:val="20"/>
                <w:color w:val="auto"/>
              </w:rPr>
            </w:pPr>
            <w:r>
              <w:rPr>
                <w:rFonts w:ascii="Arial" w:cs="Arial" w:eastAsia="Arial" w:hAnsi="Arial"/>
                <w:sz w:val="18"/>
                <w:szCs w:val="18"/>
                <w:color w:val="auto"/>
              </w:rPr>
              <w:t>Deferred Compensation Contributions</w:t>
            </w:r>
          </w:p>
        </w:tc>
        <w:tc>
          <w:tcPr>
            <w:tcW w:w="160" w:type="dxa"/>
            <w:vAlign w:val="bottom"/>
          </w:tcPr>
          <w:p>
            <w:pPr>
              <w:spacing w:after="0"/>
              <w:rPr>
                <w:sz w:val="17"/>
                <w:szCs w:val="17"/>
                <w:color w:val="auto"/>
              </w:rPr>
            </w:pPr>
          </w:p>
        </w:tc>
        <w:tc>
          <w:tcPr>
            <w:tcW w:w="1480" w:type="dxa"/>
            <w:vAlign w:val="bottom"/>
            <w:tcBorders>
              <w:top w:val="single" w:sz="8" w:color="345988"/>
            </w:tcBorders>
            <w:vMerge w:val="restart"/>
          </w:tcPr>
          <w:p>
            <w:pPr>
              <w:jc w:val="right"/>
              <w:spacing w:after="0"/>
              <w:rPr>
                <w:sz w:val="20"/>
                <w:szCs w:val="20"/>
                <w:color w:val="auto"/>
              </w:rPr>
            </w:pPr>
            <w:r>
              <w:rPr>
                <w:rFonts w:ascii="Arial" w:cs="Arial" w:eastAsia="Arial" w:hAnsi="Arial"/>
                <w:sz w:val="43"/>
                <w:szCs w:val="43"/>
                <w:b w:val="1"/>
                <w:bCs w:val="1"/>
                <w:color w:val="345988"/>
              </w:rPr>
              <w:t>82.4%</w:t>
            </w:r>
          </w:p>
        </w:tc>
        <w:tc>
          <w:tcPr>
            <w:tcW w:w="0" w:type="dxa"/>
            <w:vAlign w:val="bottom"/>
          </w:tcPr>
          <w:p>
            <w:pPr>
              <w:spacing w:after="0"/>
              <w:rPr>
                <w:sz w:val="1"/>
                <w:szCs w:val="1"/>
                <w:color w:val="auto"/>
              </w:rPr>
            </w:pPr>
          </w:p>
        </w:tc>
      </w:tr>
      <w:tr>
        <w:trPr>
          <w:trHeight w:val="216"/>
        </w:trPr>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345988"/>
              </w:rPr>
              <w:t>●</w:t>
            </w:r>
          </w:p>
        </w:tc>
        <w:tc>
          <w:tcPr>
            <w:tcW w:w="3340" w:type="dxa"/>
            <w:vAlign w:val="bottom"/>
            <w:gridSpan w:val="2"/>
          </w:tcPr>
          <w:p>
            <w:pPr>
              <w:ind w:left="80"/>
              <w:spacing w:after="0"/>
              <w:rPr>
                <w:sz w:val="20"/>
                <w:szCs w:val="20"/>
                <w:color w:val="auto"/>
              </w:rPr>
            </w:pPr>
            <w:r>
              <w:rPr>
                <w:rFonts w:ascii="Arial" w:cs="Arial" w:eastAsia="Arial" w:hAnsi="Arial"/>
                <w:sz w:val="18"/>
                <w:szCs w:val="18"/>
                <w:color w:val="auto"/>
              </w:rPr>
              <w:t>Cash Bonus</w:t>
            </w:r>
          </w:p>
        </w:tc>
        <w:tc>
          <w:tcPr>
            <w:tcW w:w="1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345988"/>
              </w:rPr>
              <w:t>●</w:t>
            </w:r>
          </w:p>
        </w:tc>
        <w:tc>
          <w:tcPr>
            <w:tcW w:w="4600" w:type="dxa"/>
            <w:vAlign w:val="bottom"/>
            <w:gridSpan w:val="2"/>
          </w:tcPr>
          <w:p>
            <w:pPr>
              <w:ind w:left="60"/>
              <w:spacing w:after="0"/>
              <w:rPr>
                <w:sz w:val="20"/>
                <w:szCs w:val="20"/>
                <w:color w:val="auto"/>
              </w:rPr>
            </w:pPr>
            <w:r>
              <w:rPr>
                <w:rFonts w:ascii="Arial" w:cs="Arial" w:eastAsia="Arial" w:hAnsi="Arial"/>
                <w:sz w:val="18"/>
                <w:szCs w:val="18"/>
                <w:color w:val="auto"/>
              </w:rPr>
              <w:t>Equity Bonus</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345988"/>
              </w:rPr>
              <w:t>●</w:t>
            </w:r>
          </w:p>
        </w:tc>
        <w:tc>
          <w:tcPr>
            <w:tcW w:w="4600" w:type="dxa"/>
            <w:vAlign w:val="bottom"/>
            <w:gridSpan w:val="2"/>
          </w:tcPr>
          <w:p>
            <w:pPr>
              <w:ind w:left="60"/>
              <w:spacing w:after="0"/>
              <w:rPr>
                <w:sz w:val="20"/>
                <w:szCs w:val="20"/>
                <w:color w:val="auto"/>
              </w:rPr>
            </w:pPr>
            <w:r>
              <w:rPr>
                <w:rFonts w:ascii="Arial" w:cs="Arial" w:eastAsia="Arial" w:hAnsi="Arial"/>
                <w:sz w:val="18"/>
                <w:szCs w:val="18"/>
                <w:color w:val="auto"/>
              </w:rPr>
              <w:t>Employment Agreement Equity Awards</w:t>
            </w: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5160"/>
        <w:spacing w:after="0"/>
        <w:rPr>
          <w:sz w:val="20"/>
          <w:szCs w:val="20"/>
          <w:color w:val="auto"/>
        </w:rPr>
      </w:pPr>
      <w:r>
        <w:rPr>
          <w:rFonts w:ascii="Times New Roman" w:cs="Times New Roman" w:eastAsia="Times New Roman" w:hAnsi="Times New Roman"/>
          <w:sz w:val="17"/>
          <w:szCs w:val="17"/>
          <w:color w:val="345988"/>
        </w:rPr>
        <w:t xml:space="preserve">●  </w:t>
      </w:r>
      <w:r>
        <w:rPr>
          <w:rFonts w:ascii="Arial" w:cs="Arial" w:eastAsia="Arial" w:hAnsi="Arial"/>
          <w:sz w:val="17"/>
          <w:szCs w:val="17"/>
          <w:color w:val="000000"/>
        </w:rPr>
        <w:t>2014 OPP Remaining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Other NEOs have similar weightings of cash and equity compensation.</w:t>
      </w:r>
    </w:p>
    <w:p>
      <w:pPr>
        <w:spacing w:after="0" w:line="211"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Pay Outcome for CEO</w:t>
      </w:r>
    </w:p>
    <w:p>
      <w:pPr>
        <w:spacing w:after="0" w:line="21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Reflecting continued competitiveness in our industry, our CEO’s total annual direct compensation as determined by the Board decreased modestly year over year. The following table reflects total annual direct compensation, and differs slightly from Summary Compensation Table figures because of timing differences, mainly related to the annual equity bonus.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gridSpan w:val="2"/>
          </w:tcPr>
          <w:p>
            <w:pPr>
              <w:spacing w:after="0"/>
              <w:rPr>
                <w:sz w:val="20"/>
                <w:szCs w:val="20"/>
                <w:color w:val="auto"/>
              </w:rPr>
            </w:pPr>
            <w:r>
              <w:rPr>
                <w:rFonts w:ascii="Arial" w:cs="Arial" w:eastAsia="Arial" w:hAnsi="Arial"/>
                <w:sz w:val="13"/>
                <w:szCs w:val="13"/>
                <w:b w:val="1"/>
                <w:bCs w:val="1"/>
                <w:color w:val="auto"/>
              </w:rPr>
              <w:t>Element of Compensation</w:t>
            </w:r>
          </w:p>
        </w:tc>
        <w:tc>
          <w:tcPr>
            <w:tcW w:w="2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2016</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2017</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345988"/>
              </w:rPr>
              <w:t>% Change</w:t>
            </w:r>
          </w:p>
        </w:tc>
      </w:tr>
      <w:tr>
        <w:trPr>
          <w:trHeight w:val="38"/>
        </w:trPr>
        <w:tc>
          <w:tcPr>
            <w:tcW w:w="8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40"/>
        </w:trPr>
        <w:tc>
          <w:tcPr>
            <w:tcW w:w="790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auto"/>
              </w:rPr>
              <w:t>Base Salary</w:t>
            </w:r>
          </w:p>
        </w:tc>
        <w:tc>
          <w:tcPr>
            <w:tcW w:w="160" w:type="dxa"/>
            <w:vAlign w:val="bottom"/>
          </w:tcPr>
          <w:p>
            <w:pPr>
              <w:spacing w:after="0"/>
              <w:rPr>
                <w:sz w:val="20"/>
                <w:szCs w:val="20"/>
                <w:color w:val="auto"/>
              </w:rPr>
            </w:pPr>
          </w:p>
        </w:tc>
        <w:tc>
          <w:tcPr>
            <w:tcW w:w="200" w:type="dxa"/>
            <w:vAlign w:val="bottom"/>
            <w:tcBorders>
              <w:top w:val="single" w:sz="8" w:color="345988"/>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1,350,000</w:t>
            </w:r>
          </w:p>
        </w:tc>
        <w:tc>
          <w:tcPr>
            <w:tcW w:w="160" w:type="dxa"/>
            <w:vAlign w:val="bottom"/>
          </w:tcPr>
          <w:p>
            <w:pPr>
              <w:spacing w:after="0"/>
              <w:rPr>
                <w:sz w:val="20"/>
                <w:szCs w:val="20"/>
                <w:color w:val="auto"/>
              </w:rPr>
            </w:pPr>
          </w:p>
        </w:tc>
        <w:tc>
          <w:tcPr>
            <w:tcW w:w="200" w:type="dxa"/>
            <w:vAlign w:val="bottom"/>
            <w:tcBorders>
              <w:top w:val="single" w:sz="8" w:color="345988"/>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1,350,000</w:t>
            </w:r>
          </w:p>
        </w:tc>
        <w:tc>
          <w:tcPr>
            <w:tcW w:w="160" w:type="dxa"/>
            <w:vAlign w:val="bottom"/>
          </w:tcPr>
          <w:p>
            <w:pPr>
              <w:spacing w:after="0"/>
              <w:rPr>
                <w:sz w:val="20"/>
                <w:szCs w:val="20"/>
                <w:color w:val="auto"/>
              </w:rPr>
            </w:pPr>
          </w:p>
        </w:tc>
        <w:tc>
          <w:tcPr>
            <w:tcW w:w="6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9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9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Annual Cash Bonus</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2,473,125</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1,937,250</w:t>
            </w:r>
          </w:p>
        </w:tc>
        <w:tc>
          <w:tcPr>
            <w:tcW w:w="16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-21.7%</w:t>
            </w:r>
          </w:p>
        </w:tc>
      </w:tr>
      <w:tr>
        <w:trPr>
          <w:trHeight w:val="306"/>
        </w:trPr>
        <w:tc>
          <w:tcPr>
            <w:tcW w:w="8060" w:type="dxa"/>
            <w:vAlign w:val="bottom"/>
            <w:gridSpan w:val="2"/>
          </w:tcPr>
          <w:p>
            <w:pPr>
              <w:spacing w:after="0" w:line="306" w:lineRule="exact"/>
              <w:rPr>
                <w:sz w:val="20"/>
                <w:szCs w:val="20"/>
                <w:color w:val="auto"/>
              </w:rPr>
            </w:pPr>
            <w:r>
              <w:rPr>
                <w:rFonts w:ascii="Arial" w:cs="Arial" w:eastAsia="Arial" w:hAnsi="Arial"/>
                <w:sz w:val="18"/>
                <w:szCs w:val="18"/>
                <w:color w:val="auto"/>
              </w:rPr>
              <w:t>Annual Equity Bonus</w:t>
            </w:r>
            <w:r>
              <w:rPr>
                <w:rFonts w:ascii="Arial" w:cs="Arial" w:eastAsia="Arial" w:hAnsi="Arial"/>
                <w:sz w:val="29"/>
                <w:szCs w:val="29"/>
                <w:color w:val="auto"/>
                <w:vertAlign w:val="superscript"/>
              </w:rPr>
              <w:t>(1)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4,276,875</w:t>
            </w:r>
          </w:p>
        </w:tc>
        <w:tc>
          <w:tcPr>
            <w:tcW w:w="16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4,512,750</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3"/>
        </w:trPr>
        <w:tc>
          <w:tcPr>
            <w:tcW w:w="790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color w:val="auto"/>
              </w:rPr>
              <w:t>Performance-based LTIP Units Granted under Employment Agreement</w:t>
            </w:r>
          </w:p>
        </w:tc>
        <w:tc>
          <w:tcPr>
            <w:tcW w:w="160" w:type="dxa"/>
            <w:vAlign w:val="bottom"/>
          </w:tcPr>
          <w:p>
            <w:pPr>
              <w:spacing w:after="0"/>
              <w:rPr>
                <w:sz w:val="20"/>
                <w:szCs w:val="20"/>
                <w:color w:val="auto"/>
              </w:rPr>
            </w:pPr>
          </w:p>
        </w:tc>
        <w:tc>
          <w:tcPr>
            <w:tcW w:w="200" w:type="dxa"/>
            <w:vAlign w:val="bottom"/>
            <w:tcBorders>
              <w:top w:val="single" w:sz="8" w:color="8590A9"/>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7,238,379</w:t>
            </w:r>
          </w:p>
        </w:tc>
        <w:tc>
          <w:tcPr>
            <w:tcW w:w="160" w:type="dxa"/>
            <w:vAlign w:val="bottom"/>
          </w:tcPr>
          <w:p>
            <w:pPr>
              <w:spacing w:after="0"/>
              <w:rPr>
                <w:sz w:val="20"/>
                <w:szCs w:val="20"/>
                <w:color w:val="auto"/>
              </w:rPr>
            </w:pPr>
          </w:p>
        </w:tc>
        <w:tc>
          <w:tcPr>
            <w:tcW w:w="200" w:type="dxa"/>
            <w:vAlign w:val="bottom"/>
            <w:tcBorders>
              <w:top w:val="single" w:sz="8" w:color="8590A9"/>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6,873,737</w:t>
            </w:r>
          </w:p>
        </w:tc>
        <w:tc>
          <w:tcPr>
            <w:tcW w:w="160" w:type="dxa"/>
            <w:vAlign w:val="bottom"/>
          </w:tcPr>
          <w:p>
            <w:pPr>
              <w:spacing w:after="0"/>
              <w:rPr>
                <w:sz w:val="20"/>
                <w:szCs w:val="20"/>
                <w:color w:val="auto"/>
              </w:rPr>
            </w:pPr>
          </w:p>
        </w:tc>
        <w:tc>
          <w:tcPr>
            <w:tcW w:w="66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-5.0%</w:t>
            </w:r>
          </w:p>
        </w:tc>
      </w:tr>
      <w:tr>
        <w:trPr>
          <w:trHeight w:val="246"/>
        </w:trPr>
        <w:tc>
          <w:tcPr>
            <w:tcW w:w="7900" w:type="dxa"/>
            <w:vAlign w:val="bottom"/>
            <w:tcBorders>
              <w:bottom w:val="single" w:sz="8" w:color="345988"/>
            </w:tcBorders>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1"/>
                <w:szCs w:val="21"/>
                <w:color w:val="auto"/>
              </w:rPr>
            </w:pPr>
          </w:p>
        </w:tc>
        <w:tc>
          <w:tcPr>
            <w:tcW w:w="200" w:type="dxa"/>
            <w:vAlign w:val="bottom"/>
            <w:tcBorders>
              <w:bottom w:val="single" w:sz="8" w:color="345988"/>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16,088,379</w:t>
            </w:r>
          </w:p>
        </w:tc>
        <w:tc>
          <w:tcPr>
            <w:tcW w:w="160" w:type="dxa"/>
            <w:vAlign w:val="bottom"/>
          </w:tcPr>
          <w:p>
            <w:pPr>
              <w:spacing w:after="0"/>
              <w:rPr>
                <w:sz w:val="21"/>
                <w:szCs w:val="21"/>
                <w:color w:val="auto"/>
              </w:rPr>
            </w:pPr>
          </w:p>
        </w:tc>
        <w:tc>
          <w:tcPr>
            <w:tcW w:w="200" w:type="dxa"/>
            <w:vAlign w:val="bottom"/>
            <w:tcBorders>
              <w:bottom w:val="single" w:sz="8" w:color="345988"/>
            </w:tcBorders>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15,423,737</w:t>
            </w:r>
          </w:p>
        </w:tc>
        <w:tc>
          <w:tcPr>
            <w:tcW w:w="160" w:type="dxa"/>
            <w:vAlign w:val="bottom"/>
          </w:tcPr>
          <w:p>
            <w:pPr>
              <w:spacing w:after="0"/>
              <w:rPr>
                <w:sz w:val="21"/>
                <w:szCs w:val="21"/>
                <w:color w:val="auto"/>
              </w:rPr>
            </w:pPr>
          </w:p>
        </w:tc>
        <w:tc>
          <w:tcPr>
            <w:tcW w:w="6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-4.1%</w:t>
            </w:r>
          </w:p>
        </w:tc>
      </w:tr>
    </w:tbl>
    <w:p>
      <w:pPr>
        <w:spacing w:after="0" w:line="91" w:lineRule="exact"/>
        <w:rPr>
          <w:sz w:val="20"/>
          <w:szCs w:val="20"/>
          <w:color w:val="auto"/>
        </w:rPr>
      </w:pPr>
    </w:p>
    <w:p>
      <w:pPr>
        <w:ind w:left="360" w:right="40" w:hanging="352"/>
        <w:spacing w:after="0" w:line="286" w:lineRule="auto"/>
        <w:tabs>
          <w:tab w:leader="none" w:pos="3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Annual equity bonuses are paid in the year following the year of performance, and because they are made in equity are shown in the Summary Compensation Table for the year of grant. In the table above, they are shown for the year they were earned.</w:t>
      </w:r>
    </w:p>
    <w:p>
      <w:pPr>
        <w:spacing w:after="0" w:line="154"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In addition, though awards granted under the 2014 Outperformance Plan have been disclosed in the Summary Compensation Table under the 2015 and 2017 fiscal years, none of those awards were earned and they are not included in the table above. Grants of Class O LTIP units, which are intended to be similar to stock options from an economic perspective, are also excluded from the table above as they only have value to the extent of appreciation in the value of our assets on a per share basis following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Our Executive Compensation Philosophy</w:t>
      </w:r>
    </w:p>
    <w:p>
      <w:pPr>
        <w:spacing w:after="0" w:line="21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We adopted an executive compensation philosophy that rewards the achievement of annual and long-term goals of both the Company and individual executives. Our executive compensation programs are designed to achieve the following objectives:</w:t>
      </w:r>
    </w:p>
    <w:p>
      <w:pPr>
        <w:spacing w:after="0" w:line="158" w:lineRule="exact"/>
        <w:rPr>
          <w:sz w:val="20"/>
          <w:szCs w:val="20"/>
          <w:color w:val="auto"/>
        </w:rPr>
      </w:pPr>
    </w:p>
    <w:p>
      <w:pPr>
        <w:ind w:left="540" w:hanging="263"/>
        <w:spacing w:after="0"/>
        <w:tabs>
          <w:tab w:leader="none" w:pos="540" w:val="left"/>
        </w:tabs>
        <w:numPr>
          <w:ilvl w:val="0"/>
          <w:numId w:val="75"/>
        </w:numPr>
        <w:rPr>
          <w:rFonts w:ascii="Arial" w:cs="Arial" w:eastAsia="Arial" w:hAnsi="Arial"/>
          <w:sz w:val="17"/>
          <w:szCs w:val="17"/>
          <w:color w:val="345988"/>
        </w:rPr>
      </w:pPr>
      <w:r>
        <w:rPr>
          <w:rFonts w:ascii="Arial" w:cs="Arial" w:eastAsia="Arial" w:hAnsi="Arial"/>
          <w:sz w:val="18"/>
          <w:szCs w:val="18"/>
          <w:color w:val="auto"/>
        </w:rPr>
        <w:t>To provide performance-based incentives that create a strong alignment of management and stockholder interests</w:t>
      </w:r>
    </w:p>
    <w:p>
      <w:pPr>
        <w:spacing w:after="0" w:line="17" w:lineRule="exact"/>
        <w:rPr>
          <w:rFonts w:ascii="Arial" w:cs="Arial" w:eastAsia="Arial" w:hAnsi="Arial"/>
          <w:sz w:val="17"/>
          <w:szCs w:val="17"/>
          <w:color w:val="345988"/>
        </w:rPr>
      </w:pPr>
    </w:p>
    <w:p>
      <w:pPr>
        <w:ind w:left="540" w:hanging="263"/>
        <w:spacing w:after="0" w:line="234" w:lineRule="auto"/>
        <w:tabs>
          <w:tab w:leader="none" w:pos="540" w:val="left"/>
        </w:tabs>
        <w:numPr>
          <w:ilvl w:val="0"/>
          <w:numId w:val="75"/>
        </w:numPr>
        <w:rPr>
          <w:rFonts w:ascii="Arial" w:cs="Arial" w:eastAsia="Arial" w:hAnsi="Arial"/>
          <w:sz w:val="17"/>
          <w:szCs w:val="17"/>
          <w:color w:val="345988"/>
        </w:rPr>
      </w:pPr>
      <w:r>
        <w:rPr>
          <w:rFonts w:ascii="Arial" w:cs="Arial" w:eastAsia="Arial" w:hAnsi="Arial"/>
          <w:sz w:val="18"/>
          <w:szCs w:val="18"/>
          <w:color w:val="auto"/>
        </w:rPr>
        <w:t>To attract and retain top talent in a market that is highly competitive for New York City commercial real estate management</w:t>
      </w:r>
    </w:p>
    <w:p>
      <w:pPr>
        <w:ind w:left="540" w:hanging="263"/>
        <w:spacing w:after="0" w:line="234" w:lineRule="auto"/>
        <w:tabs>
          <w:tab w:leader="none" w:pos="540" w:val="left"/>
        </w:tabs>
        <w:numPr>
          <w:ilvl w:val="0"/>
          <w:numId w:val="75"/>
        </w:numPr>
        <w:rPr>
          <w:rFonts w:ascii="Arial" w:cs="Arial" w:eastAsia="Arial" w:hAnsi="Arial"/>
          <w:sz w:val="17"/>
          <w:szCs w:val="17"/>
          <w:color w:val="345988"/>
        </w:rPr>
      </w:pPr>
      <w:r>
        <w:rPr>
          <w:rFonts w:ascii="Arial" w:cs="Arial" w:eastAsia="Arial" w:hAnsi="Arial"/>
          <w:sz w:val="18"/>
          <w:szCs w:val="18"/>
          <w:color w:val="auto"/>
        </w:rPr>
        <w:t>To motivate our executives to achieve, and reward them for achieving, superior performance</w:t>
      </w:r>
    </w:p>
    <w:p>
      <w:pPr>
        <w:ind w:left="540" w:right="120" w:hanging="263"/>
        <w:spacing w:after="0" w:line="234" w:lineRule="auto"/>
        <w:tabs>
          <w:tab w:leader="none" w:pos="540" w:val="left"/>
        </w:tabs>
        <w:numPr>
          <w:ilvl w:val="0"/>
          <w:numId w:val="75"/>
        </w:numPr>
        <w:rPr>
          <w:rFonts w:ascii="Arial" w:cs="Arial" w:eastAsia="Arial" w:hAnsi="Arial"/>
          <w:sz w:val="17"/>
          <w:szCs w:val="17"/>
          <w:color w:val="345988"/>
        </w:rPr>
      </w:pPr>
      <w:r>
        <w:rPr>
          <w:rFonts w:ascii="Arial" w:cs="Arial" w:eastAsia="Arial" w:hAnsi="Arial"/>
          <w:sz w:val="18"/>
          <w:szCs w:val="18"/>
          <w:color w:val="auto"/>
        </w:rPr>
        <w:t>To achieve an appropriate balance between risk and reward in our compensation programs that does not create incentives for unnecessary or excessive risk taking</w:t>
      </w:r>
    </w:p>
    <w:p>
      <w:pPr>
        <w:ind w:left="540" w:hanging="263"/>
        <w:spacing w:after="0"/>
        <w:tabs>
          <w:tab w:leader="none" w:pos="540" w:val="left"/>
        </w:tabs>
        <w:numPr>
          <w:ilvl w:val="0"/>
          <w:numId w:val="75"/>
        </w:numPr>
        <w:rPr>
          <w:rFonts w:ascii="Arial" w:cs="Arial" w:eastAsia="Arial" w:hAnsi="Arial"/>
          <w:sz w:val="17"/>
          <w:szCs w:val="17"/>
          <w:color w:val="345988"/>
        </w:rPr>
      </w:pPr>
      <w:r>
        <w:rPr>
          <w:rFonts w:ascii="Arial" w:cs="Arial" w:eastAsia="Arial" w:hAnsi="Arial"/>
          <w:sz w:val="18"/>
          <w:szCs w:val="18"/>
          <w:color w:val="auto"/>
        </w:rPr>
        <w:t>To foster the dedication required to succeed against our competitors, while maintaining low overall general and administrative expense</w:t>
      </w:r>
    </w:p>
    <w:p>
      <w:pPr>
        <w:spacing w:after="0" w:line="189"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In order to reach these goals, the Committee, in consultation with our Chief Executive Officer and the Committee’s independent compensation consultant, adopted executive compensation practices that promote a pay-for-performance philosophy. Our primary business objective, of maximizing TSR through growth in FFO while seeking appreciation in the value of our investment properties, demands a long-term focus. Therefore, on both a current and historical basis, our executive compensation programs are based heavily on the achievement of both annual and multi-year performance measures.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Competitive Market for Talent</w:t>
      </w:r>
    </w:p>
    <w:p>
      <w:pPr>
        <w:spacing w:after="0" w:line="21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In the market for talent and compensation, SLG is most comparable to other real estate companies, as well as other complex financial services-related industries. We evaluate our compensation in the same way: as a “fee, expense or load.” To that end, we evaluate our compensation as a function of our total assets and revenue – fundamental performance metrics that industry analysts use to measure efficiency and the effectiveness of management teams.</w:t>
      </w:r>
    </w:p>
    <w:p>
      <w:pPr>
        <w:spacing w:after="0" w:line="179" w:lineRule="exact"/>
        <w:rPr>
          <w:sz w:val="20"/>
          <w:szCs w:val="20"/>
          <w:color w:val="auto"/>
        </w:rPr>
      </w:pPr>
    </w:p>
    <w:p>
      <w:pPr>
        <w:ind w:left="300" w:hanging="292"/>
        <w:spacing w:after="0"/>
        <w:tabs>
          <w:tab w:leader="none" w:pos="300" w:val="left"/>
        </w:tabs>
        <w:numPr>
          <w:ilvl w:val="0"/>
          <w:numId w:val="76"/>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8980"/>
        <w:spacing w:after="0"/>
        <w:rPr>
          <w:sz w:val="20"/>
          <w:szCs w:val="20"/>
          <w:color w:val="auto"/>
        </w:rPr>
      </w:pPr>
      <w:r>
        <w:rPr>
          <w:rFonts w:ascii="Arial" w:cs="Arial" w:eastAsia="Arial" w:hAnsi="Arial"/>
          <w:sz w:val="16"/>
          <w:szCs w:val="16"/>
          <w:u w:val="single" w:color="auto"/>
          <w:color w:val="345988"/>
        </w:rPr>
        <w:t>EXECUTIVE COMPENSATION</w:t>
      </w:r>
    </w:p>
    <w:p>
      <w:pPr>
        <w:spacing w:after="0" w:line="232" w:lineRule="exact"/>
        <w:rPr>
          <w:sz w:val="20"/>
          <w:szCs w:val="20"/>
          <w:color w:val="auto"/>
        </w:rPr>
      </w:pPr>
    </w:p>
    <w:p>
      <w:pPr>
        <w:ind w:right="600"/>
        <w:spacing w:after="0" w:line="280" w:lineRule="auto"/>
        <w:rPr>
          <w:sz w:val="20"/>
          <w:szCs w:val="20"/>
          <w:color w:val="auto"/>
        </w:rPr>
      </w:pPr>
      <w:r>
        <w:rPr>
          <w:rFonts w:ascii="Arial" w:cs="Arial" w:eastAsia="Arial" w:hAnsi="Arial"/>
          <w:sz w:val="18"/>
          <w:szCs w:val="18"/>
          <w:b w:val="1"/>
          <w:bCs w:val="1"/>
          <w:color w:val="auto"/>
        </w:rPr>
        <w:t>We compensate management at a low cost to shareholders relative to peers, while continuing to execute best-in-class operational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2160905</wp:posOffset>
            </wp:positionH>
            <wp:positionV relativeFrom="paragraph">
              <wp:posOffset>100330</wp:posOffset>
            </wp:positionV>
            <wp:extent cx="2943225" cy="13862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43225" cy="138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right="260" w:hanging="352"/>
        <w:spacing w:after="0" w:line="262" w:lineRule="auto"/>
        <w:tabs>
          <w:tab w:leader="none" w:pos="3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Companies used for comparison in G&amp;A expense analysis are: Alexandria Real Estate Equities, Inc., Boston Properties, Inc., Brandywine Realty Trust, Douglas Emmett, Inc., Empire State Realty Trust, Inc., Kilroy Realty Corporation, Mack-Cali Realty Corporation, Paramount Group, Inc. and Vornado Realty Trust. Office peer data obtained from Weekly Sector Scorecard, Office, dated 4/6/2018 published by Stifel, Nicolaus &amp; Company, Incorporated.</w:t>
      </w:r>
    </w:p>
    <w:p>
      <w:pPr>
        <w:spacing w:after="0" w:line="168"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As a REIT focused specifically on office space in Manhattan– a high cost and complex market – we compete with companies, both public and private, for a small number of talented executives. Among the top 15 New York City real estate companies – in terms of Manhattan office-space ownership – only six of those companies, including SL Green, are public. Many of our competitors are private companies and are not required to publicly disclose their compensation arrangements.</w:t>
      </w:r>
    </w:p>
    <w:p>
      <w:pPr>
        <w:spacing w:after="0" w:line="179" w:lineRule="exact"/>
        <w:rPr>
          <w:sz w:val="20"/>
          <w:szCs w:val="20"/>
          <w:color w:val="auto"/>
        </w:rPr>
      </w:pPr>
    </w:p>
    <w:p>
      <w:pPr>
        <w:jc w:val="both"/>
        <w:ind w:right="420"/>
        <w:spacing w:after="0" w:line="251" w:lineRule="auto"/>
        <w:rPr>
          <w:sz w:val="20"/>
          <w:szCs w:val="20"/>
          <w:color w:val="auto"/>
        </w:rPr>
      </w:pPr>
      <w:r>
        <w:rPr>
          <w:rFonts w:ascii="Arial" w:cs="Arial" w:eastAsia="Arial" w:hAnsi="Arial"/>
          <w:sz w:val="18"/>
          <w:szCs w:val="18"/>
          <w:color w:val="auto"/>
        </w:rPr>
        <w:t>Given the unique nature of our company – manifested by three primary characteristics: Active and Engaged Business Strategy, Operations on Multiple Platforms, and NYC-Focused Business Model – the Compensation Committee is continuously evaluating our executive compensation program to ensure that it aligns with our current business priorities and external market factors.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Compensation Practices</w:t>
      </w:r>
    </w:p>
    <w:p>
      <w:pPr>
        <w:spacing w:after="0" w:line="21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 The following are key features of our executive compensation programs, which reflect the changes we have adopted following our extensive stockholder outreach in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1379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13792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345988"/>
        </w:rPr>
        <w:t>WHAT WE DO</w:t>
      </w:r>
    </w:p>
    <w:p>
      <w:pPr>
        <w:spacing w:after="0" w:line="52" w:lineRule="exact"/>
        <w:rPr>
          <w:sz w:val="20"/>
          <w:szCs w:val="20"/>
          <w:color w:val="auto"/>
        </w:rPr>
      </w:pPr>
    </w:p>
    <w:p>
      <w:pPr>
        <w:ind w:left="440" w:hanging="297"/>
        <w:spacing w:after="0"/>
        <w:tabs>
          <w:tab w:leader="none" w:pos="440" w:val="left"/>
        </w:tabs>
        <w:numPr>
          <w:ilvl w:val="0"/>
          <w:numId w:val="78"/>
        </w:numPr>
        <w:rPr>
          <w:rFonts w:ascii="MS PGothic" w:cs="MS PGothic" w:eastAsia="MS PGothic" w:hAnsi="MS PGothic"/>
          <w:sz w:val="18"/>
          <w:szCs w:val="18"/>
          <w:color w:val="345988"/>
        </w:rPr>
      </w:pPr>
      <w:r>
        <w:rPr>
          <w:rFonts w:ascii="Arial" w:cs="Arial" w:eastAsia="Arial" w:hAnsi="Arial"/>
          <w:sz w:val="18"/>
          <w:szCs w:val="18"/>
          <w:color w:val="auto"/>
        </w:rPr>
        <w:t>Pay for performance and create alignment with stockholders</w:t>
      </w:r>
    </w:p>
    <w:p>
      <w:pPr>
        <w:spacing w:after="0" w:line="45" w:lineRule="exact"/>
        <w:rPr>
          <w:rFonts w:ascii="MS PGothic" w:cs="MS PGothic" w:eastAsia="MS PGothic" w:hAnsi="MS PGothic"/>
          <w:sz w:val="18"/>
          <w:szCs w:val="18"/>
          <w:color w:val="345988"/>
        </w:rPr>
      </w:pPr>
    </w:p>
    <w:p>
      <w:pPr>
        <w:ind w:left="440" w:hanging="297"/>
        <w:spacing w:after="0"/>
        <w:tabs>
          <w:tab w:leader="none" w:pos="440" w:val="left"/>
        </w:tabs>
        <w:numPr>
          <w:ilvl w:val="0"/>
          <w:numId w:val="78"/>
        </w:numPr>
        <w:rPr>
          <w:rFonts w:ascii="MS PGothic" w:cs="MS PGothic" w:eastAsia="MS PGothic" w:hAnsi="MS PGothic"/>
          <w:sz w:val="18"/>
          <w:szCs w:val="18"/>
          <w:color w:val="345988"/>
        </w:rPr>
      </w:pPr>
      <w:r>
        <w:rPr>
          <w:rFonts w:ascii="Arial" w:cs="Arial" w:eastAsia="Arial" w:hAnsi="Arial"/>
          <w:sz w:val="18"/>
          <w:szCs w:val="18"/>
          <w:color w:val="auto"/>
        </w:rPr>
        <w:t>Include robust hurdles in our incentive plans</w:t>
      </w:r>
    </w:p>
    <w:p>
      <w:pPr>
        <w:spacing w:after="0" w:line="35" w:lineRule="exact"/>
        <w:rPr>
          <w:rFonts w:ascii="MS PGothic" w:cs="MS PGothic" w:eastAsia="MS PGothic" w:hAnsi="MS PGothic"/>
          <w:sz w:val="18"/>
          <w:szCs w:val="18"/>
          <w:color w:val="345988"/>
        </w:rPr>
      </w:pPr>
    </w:p>
    <w:p>
      <w:pPr>
        <w:ind w:left="440" w:hanging="297"/>
        <w:spacing w:after="0"/>
        <w:tabs>
          <w:tab w:leader="none" w:pos="440" w:val="left"/>
        </w:tabs>
        <w:numPr>
          <w:ilvl w:val="0"/>
          <w:numId w:val="78"/>
        </w:numPr>
        <w:rPr>
          <w:rFonts w:ascii="MS PGothic" w:cs="MS PGothic" w:eastAsia="MS PGothic" w:hAnsi="MS PGothic"/>
          <w:sz w:val="18"/>
          <w:szCs w:val="18"/>
          <w:color w:val="345988"/>
        </w:rPr>
      </w:pPr>
      <w:r>
        <w:rPr>
          <w:rFonts w:ascii="Arial" w:cs="Arial" w:eastAsia="Arial" w:hAnsi="Arial"/>
          <w:sz w:val="18"/>
          <w:szCs w:val="18"/>
          <w:color w:val="auto"/>
        </w:rPr>
        <w:t>Pay a majority of total compensation for our CEO and named executive officers in equity</w:t>
      </w:r>
    </w:p>
    <w:p>
      <w:pPr>
        <w:spacing w:after="0" w:line="35" w:lineRule="exact"/>
        <w:rPr>
          <w:rFonts w:ascii="MS PGothic" w:cs="MS PGothic" w:eastAsia="MS PGothic" w:hAnsi="MS PGothic"/>
          <w:sz w:val="18"/>
          <w:szCs w:val="18"/>
          <w:color w:val="345988"/>
        </w:rPr>
      </w:pPr>
    </w:p>
    <w:p>
      <w:pPr>
        <w:ind w:left="440" w:hanging="297"/>
        <w:spacing w:after="0"/>
        <w:tabs>
          <w:tab w:leader="none" w:pos="440" w:val="left"/>
        </w:tabs>
        <w:numPr>
          <w:ilvl w:val="0"/>
          <w:numId w:val="78"/>
        </w:numPr>
        <w:rPr>
          <w:rFonts w:ascii="MS PGothic" w:cs="MS PGothic" w:eastAsia="MS PGothic" w:hAnsi="MS PGothic"/>
          <w:sz w:val="18"/>
          <w:szCs w:val="18"/>
          <w:color w:val="345988"/>
        </w:rPr>
      </w:pPr>
      <w:r>
        <w:rPr>
          <w:rFonts w:ascii="Arial" w:cs="Arial" w:eastAsia="Arial" w:hAnsi="Arial"/>
          <w:sz w:val="18"/>
          <w:szCs w:val="18"/>
          <w:color w:val="auto"/>
        </w:rPr>
        <w:t>Follow robust stock ownership guidelines for our directors and named executive officers</w:t>
      </w:r>
    </w:p>
    <w:p>
      <w:pPr>
        <w:spacing w:after="0" w:line="35" w:lineRule="exact"/>
        <w:rPr>
          <w:rFonts w:ascii="MS PGothic" w:cs="MS PGothic" w:eastAsia="MS PGothic" w:hAnsi="MS PGothic"/>
          <w:sz w:val="18"/>
          <w:szCs w:val="18"/>
          <w:color w:val="345988"/>
        </w:rPr>
      </w:pPr>
    </w:p>
    <w:p>
      <w:pPr>
        <w:ind w:left="440" w:hanging="297"/>
        <w:spacing w:after="0"/>
        <w:tabs>
          <w:tab w:leader="none" w:pos="440" w:val="left"/>
        </w:tabs>
        <w:numPr>
          <w:ilvl w:val="0"/>
          <w:numId w:val="78"/>
        </w:numPr>
        <w:rPr>
          <w:rFonts w:ascii="MS PGothic" w:cs="MS PGothic" w:eastAsia="MS PGothic" w:hAnsi="MS PGothic"/>
          <w:sz w:val="18"/>
          <w:szCs w:val="18"/>
          <w:color w:val="345988"/>
        </w:rPr>
      </w:pPr>
      <w:r>
        <w:rPr>
          <w:rFonts w:ascii="Arial" w:cs="Arial" w:eastAsia="Arial" w:hAnsi="Arial"/>
          <w:sz w:val="18"/>
          <w:szCs w:val="18"/>
          <w:color w:val="auto"/>
        </w:rPr>
        <w:t>Impose a clawback policy with respect to incentive payments</w:t>
      </w:r>
    </w:p>
    <w:p>
      <w:pPr>
        <w:spacing w:after="0" w:line="35" w:lineRule="exact"/>
        <w:rPr>
          <w:rFonts w:ascii="MS PGothic" w:cs="MS PGothic" w:eastAsia="MS PGothic" w:hAnsi="MS PGothic"/>
          <w:sz w:val="18"/>
          <w:szCs w:val="18"/>
          <w:color w:val="345988"/>
        </w:rPr>
      </w:pPr>
    </w:p>
    <w:p>
      <w:pPr>
        <w:ind w:left="440" w:hanging="297"/>
        <w:spacing w:after="0"/>
        <w:tabs>
          <w:tab w:leader="none" w:pos="440" w:val="left"/>
        </w:tabs>
        <w:numPr>
          <w:ilvl w:val="0"/>
          <w:numId w:val="78"/>
        </w:numPr>
        <w:rPr>
          <w:rFonts w:ascii="MS PGothic" w:cs="MS PGothic" w:eastAsia="MS PGothic" w:hAnsi="MS PGothic"/>
          <w:sz w:val="18"/>
          <w:szCs w:val="18"/>
          <w:color w:val="345988"/>
        </w:rPr>
      </w:pPr>
      <w:r>
        <w:rPr>
          <w:rFonts w:ascii="Arial" w:cs="Arial" w:eastAsia="Arial" w:hAnsi="Arial"/>
          <w:sz w:val="18"/>
          <w:szCs w:val="18"/>
          <w:color w:val="auto"/>
        </w:rPr>
        <w:t>Require a double trigger for cash severance and accelerated vesting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9842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98425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345988"/>
        </w:rPr>
        <w:t>WHAT WE DON’T DO</w:t>
      </w:r>
    </w:p>
    <w:p>
      <w:pPr>
        <w:spacing w:after="0" w:line="52" w:lineRule="exact"/>
        <w:rPr>
          <w:sz w:val="20"/>
          <w:szCs w:val="20"/>
          <w:color w:val="auto"/>
        </w:rPr>
      </w:pPr>
    </w:p>
    <w:p>
      <w:pPr>
        <w:ind w:left="440" w:hanging="297"/>
        <w:spacing w:after="0"/>
        <w:tabs>
          <w:tab w:leader="none" w:pos="440" w:val="left"/>
        </w:tabs>
        <w:numPr>
          <w:ilvl w:val="0"/>
          <w:numId w:val="79"/>
        </w:numPr>
        <w:rPr>
          <w:rFonts w:ascii="MS PGothic" w:cs="MS PGothic" w:eastAsia="MS PGothic" w:hAnsi="MS PGothic"/>
          <w:sz w:val="18"/>
          <w:szCs w:val="18"/>
          <w:color w:val="959595"/>
        </w:rPr>
      </w:pPr>
      <w:r>
        <w:rPr>
          <w:rFonts w:ascii="Arial" w:cs="Arial" w:eastAsia="Arial" w:hAnsi="Arial"/>
          <w:sz w:val="18"/>
          <w:szCs w:val="18"/>
          <w:color w:val="auto"/>
        </w:rPr>
        <w:t>No dividends or distributions paid on unearned equity awards subject to performance-based vesting</w:t>
      </w:r>
    </w:p>
    <w:p>
      <w:pPr>
        <w:spacing w:after="0" w:line="45" w:lineRule="exact"/>
        <w:rPr>
          <w:rFonts w:ascii="MS PGothic" w:cs="MS PGothic" w:eastAsia="MS PGothic" w:hAnsi="MS PGothic"/>
          <w:sz w:val="18"/>
          <w:szCs w:val="18"/>
          <w:color w:val="959595"/>
        </w:rPr>
      </w:pPr>
    </w:p>
    <w:p>
      <w:pPr>
        <w:ind w:left="440" w:hanging="297"/>
        <w:spacing w:after="0"/>
        <w:tabs>
          <w:tab w:leader="none" w:pos="440" w:val="left"/>
        </w:tabs>
        <w:numPr>
          <w:ilvl w:val="0"/>
          <w:numId w:val="79"/>
        </w:numPr>
        <w:rPr>
          <w:rFonts w:ascii="MS PGothic" w:cs="MS PGothic" w:eastAsia="MS PGothic" w:hAnsi="MS PGothic"/>
          <w:sz w:val="18"/>
          <w:szCs w:val="18"/>
          <w:color w:val="959595"/>
        </w:rPr>
      </w:pPr>
      <w:r>
        <w:rPr>
          <w:rFonts w:ascii="Arial" w:cs="Arial" w:eastAsia="Arial" w:hAnsi="Arial"/>
          <w:sz w:val="18"/>
          <w:szCs w:val="18"/>
          <w:color w:val="auto"/>
        </w:rPr>
        <w:t>No excise tax gross-up provisions</w:t>
      </w:r>
    </w:p>
    <w:p>
      <w:pPr>
        <w:spacing w:after="0" w:line="35" w:lineRule="exact"/>
        <w:rPr>
          <w:rFonts w:ascii="MS PGothic" w:cs="MS PGothic" w:eastAsia="MS PGothic" w:hAnsi="MS PGothic"/>
          <w:sz w:val="18"/>
          <w:szCs w:val="18"/>
          <w:color w:val="959595"/>
        </w:rPr>
      </w:pPr>
    </w:p>
    <w:p>
      <w:pPr>
        <w:ind w:left="440" w:hanging="297"/>
        <w:spacing w:after="0"/>
        <w:tabs>
          <w:tab w:leader="none" w:pos="440" w:val="left"/>
        </w:tabs>
        <w:numPr>
          <w:ilvl w:val="0"/>
          <w:numId w:val="79"/>
        </w:numPr>
        <w:rPr>
          <w:rFonts w:ascii="MS PGothic" w:cs="MS PGothic" w:eastAsia="MS PGothic" w:hAnsi="MS PGothic"/>
          <w:sz w:val="18"/>
          <w:szCs w:val="18"/>
          <w:color w:val="959595"/>
        </w:rPr>
      </w:pPr>
      <w:r>
        <w:rPr>
          <w:rFonts w:ascii="Arial" w:cs="Arial" w:eastAsia="Arial" w:hAnsi="Arial"/>
          <w:sz w:val="18"/>
          <w:szCs w:val="18"/>
          <w:color w:val="auto"/>
        </w:rPr>
        <w:t>No repricing of stock options</w:t>
      </w:r>
    </w:p>
    <w:p>
      <w:pPr>
        <w:spacing w:after="0" w:line="35" w:lineRule="exact"/>
        <w:rPr>
          <w:rFonts w:ascii="MS PGothic" w:cs="MS PGothic" w:eastAsia="MS PGothic" w:hAnsi="MS PGothic"/>
          <w:sz w:val="18"/>
          <w:szCs w:val="18"/>
          <w:color w:val="959595"/>
        </w:rPr>
      </w:pPr>
    </w:p>
    <w:p>
      <w:pPr>
        <w:ind w:left="440" w:hanging="297"/>
        <w:spacing w:after="0"/>
        <w:tabs>
          <w:tab w:leader="none" w:pos="440" w:val="left"/>
        </w:tabs>
        <w:numPr>
          <w:ilvl w:val="0"/>
          <w:numId w:val="79"/>
        </w:numPr>
        <w:rPr>
          <w:rFonts w:ascii="MS PGothic" w:cs="MS PGothic" w:eastAsia="MS PGothic" w:hAnsi="MS PGothic"/>
          <w:sz w:val="18"/>
          <w:szCs w:val="18"/>
          <w:color w:val="959595"/>
        </w:rPr>
      </w:pPr>
      <w:r>
        <w:rPr>
          <w:rFonts w:ascii="Arial" w:cs="Arial" w:eastAsia="Arial" w:hAnsi="Arial"/>
          <w:sz w:val="18"/>
          <w:szCs w:val="18"/>
          <w:color w:val="auto"/>
        </w:rPr>
        <w:t>No single trigger cash severance or accelerated vesting in connection with a change in control</w:t>
      </w:r>
    </w:p>
    <w:p>
      <w:pPr>
        <w:spacing w:after="0" w:line="35" w:lineRule="exact"/>
        <w:rPr>
          <w:rFonts w:ascii="MS PGothic" w:cs="MS PGothic" w:eastAsia="MS PGothic" w:hAnsi="MS PGothic"/>
          <w:sz w:val="18"/>
          <w:szCs w:val="18"/>
          <w:color w:val="959595"/>
        </w:rPr>
      </w:pPr>
    </w:p>
    <w:p>
      <w:pPr>
        <w:ind w:left="440" w:hanging="297"/>
        <w:spacing w:after="0"/>
        <w:tabs>
          <w:tab w:leader="none" w:pos="440" w:val="left"/>
        </w:tabs>
        <w:numPr>
          <w:ilvl w:val="0"/>
          <w:numId w:val="79"/>
        </w:numPr>
        <w:rPr>
          <w:rFonts w:ascii="MS PGothic" w:cs="MS PGothic" w:eastAsia="MS PGothic" w:hAnsi="MS PGothic"/>
          <w:sz w:val="18"/>
          <w:szCs w:val="18"/>
          <w:color w:val="959595"/>
        </w:rPr>
      </w:pPr>
      <w:r>
        <w:rPr>
          <w:rFonts w:ascii="Arial" w:cs="Arial" w:eastAsia="Arial" w:hAnsi="Arial"/>
          <w:sz w:val="18"/>
          <w:szCs w:val="18"/>
          <w:color w:val="auto"/>
        </w:rPr>
        <w:t>Don’t allow directors or officers to hedge our securities</w:t>
      </w:r>
    </w:p>
    <w:p>
      <w:pPr>
        <w:spacing w:after="0" w:line="295" w:lineRule="exact"/>
        <w:rPr>
          <w:sz w:val="20"/>
          <w:szCs w:val="20"/>
          <w:color w:val="auto"/>
        </w:rPr>
      </w:pPr>
    </w:p>
    <w:p>
      <w:pPr>
        <w:ind w:left="9400"/>
        <w:spacing w:after="0"/>
        <w:rPr>
          <w:sz w:val="20"/>
          <w:szCs w:val="20"/>
          <w:color w:val="auto"/>
        </w:rPr>
      </w:pPr>
      <w:r>
        <w:rPr>
          <w:rFonts w:ascii="Arial" w:cs="Arial" w:eastAsia="Arial" w:hAnsi="Arial"/>
          <w:sz w:val="16"/>
          <w:szCs w:val="16"/>
          <w:color w:val="1A1A1A"/>
        </w:rPr>
        <w:t xml:space="preserve">2018 Proxy Statement </w:t>
      </w:r>
      <w:r>
        <w:rPr>
          <w:rFonts w:ascii="Arial" w:cs="Arial" w:eastAsia="Arial" w:hAnsi="Arial"/>
          <w:sz w:val="16"/>
          <w:szCs w:val="16"/>
          <w:color w:val="345988"/>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2017 Pay Outcomes</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Annual Base Salary and Deferred Compensation</w:t>
      </w:r>
    </w:p>
    <w:p>
      <w:pPr>
        <w:spacing w:after="0" w:line="21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Base salaries are established at levels intended to reflect the scope of each executive’s duties and responsibilities and further take into account the competitive market compensation paid by other companies for similar positions. Since such salaries are not based on performance, they are intentionally structured to be a relatively low percentage of total compensation.</w:t>
      </w:r>
    </w:p>
    <w:p>
      <w:pPr>
        <w:spacing w:after="0" w:line="172"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following sets forth the annual base salaries for our named executive officers for 2016 and 2017, which reflect amounts agreed to in each executive’s employment agreement. We did not make any adjustments in annual base salaries for 2017, other than for Mr. DiLiberto.</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vMerge w:val="restart"/>
          </w:tcPr>
          <w:p>
            <w:pPr>
              <w:spacing w:after="0"/>
              <w:rPr>
                <w:sz w:val="20"/>
                <w:szCs w:val="20"/>
                <w:color w:val="auto"/>
              </w:rPr>
            </w:pPr>
            <w:r>
              <w:rPr>
                <w:rFonts w:ascii="Arial" w:cs="Arial" w:eastAsia="Arial" w:hAnsi="Arial"/>
                <w:sz w:val="13"/>
                <w:szCs w:val="13"/>
                <w:b w:val="1"/>
                <w:bCs w:val="1"/>
                <w:color w:val="1A1A1A"/>
              </w:rPr>
              <w:t>Executive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45988"/>
              </w:rPr>
              <w:t>2016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2017</w:t>
            </w: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345988"/>
              </w:rPr>
              <w:t>% Change</w:t>
            </w:r>
          </w:p>
        </w:tc>
        <w:tc>
          <w:tcPr>
            <w:tcW w:w="0" w:type="dxa"/>
            <w:vAlign w:val="bottom"/>
          </w:tcPr>
          <w:p>
            <w:pPr>
              <w:spacing w:after="0"/>
              <w:rPr>
                <w:sz w:val="1"/>
                <w:szCs w:val="1"/>
                <w:color w:val="auto"/>
              </w:rPr>
            </w:pPr>
          </w:p>
        </w:tc>
      </w:tr>
      <w:tr>
        <w:trPr>
          <w:trHeight w:val="201"/>
        </w:trPr>
        <w:tc>
          <w:tcPr>
            <w:tcW w:w="8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345988"/>
              </w:rPr>
              <w:t>Base Salary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345988"/>
              </w:rPr>
              <w:t>Base Salary</w:t>
            </w:r>
          </w:p>
        </w:tc>
        <w:tc>
          <w:tcPr>
            <w:tcW w:w="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20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1A1A1A"/>
              </w:rPr>
              <w:t>Marc Holliday</w:t>
            </w:r>
          </w:p>
        </w:tc>
        <w:tc>
          <w:tcPr>
            <w:tcW w:w="160" w:type="dxa"/>
            <w:vAlign w:val="bottom"/>
          </w:tcPr>
          <w:p>
            <w:pPr>
              <w:spacing w:after="0"/>
              <w:rPr>
                <w:sz w:val="20"/>
                <w:szCs w:val="20"/>
                <w:color w:val="auto"/>
              </w:rPr>
            </w:pPr>
          </w:p>
        </w:tc>
        <w:tc>
          <w:tcPr>
            <w:tcW w:w="1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1,350,000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1,350,000</w:t>
            </w:r>
          </w:p>
        </w:tc>
        <w:tc>
          <w:tcPr>
            <w:tcW w:w="160" w:type="dxa"/>
            <w:vAlign w:val="bottom"/>
          </w:tcPr>
          <w:p>
            <w:pPr>
              <w:spacing w:after="0"/>
              <w:rPr>
                <w:sz w:val="20"/>
                <w:szCs w:val="20"/>
                <w:color w:val="auto"/>
              </w:rPr>
            </w:pPr>
          </w:p>
        </w:tc>
        <w:tc>
          <w:tcPr>
            <w:tcW w:w="6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00" w:type="dxa"/>
            <w:vAlign w:val="bottom"/>
            <w:tcBorders>
              <w:bottom w:val="single" w:sz="8" w:color="8590A9"/>
            </w:tcBorders>
          </w:tcPr>
          <w:p>
            <w:pPr>
              <w:spacing w:after="0"/>
              <w:rPr>
                <w:sz w:val="20"/>
                <w:szCs w:val="20"/>
                <w:color w:val="auto"/>
              </w:rPr>
            </w:pPr>
            <w:r>
              <w:rPr>
                <w:rFonts w:ascii="Arial" w:cs="Arial" w:eastAsia="Arial" w:hAnsi="Arial"/>
                <w:sz w:val="18"/>
                <w:szCs w:val="18"/>
                <w:color w:val="1A1A1A"/>
              </w:rPr>
              <w:t>Stephen L. Green</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00" w:type="dxa"/>
            <w:vAlign w:val="bottom"/>
            <w:tcBorders>
              <w:bottom w:val="single" w:sz="8" w:color="8590A9"/>
            </w:tcBorders>
          </w:tcPr>
          <w:p>
            <w:pPr>
              <w:spacing w:after="0"/>
              <w:rPr>
                <w:sz w:val="20"/>
                <w:szCs w:val="20"/>
                <w:color w:val="auto"/>
              </w:rPr>
            </w:pPr>
            <w:r>
              <w:rPr>
                <w:rFonts w:ascii="Arial" w:cs="Arial" w:eastAsia="Arial" w:hAnsi="Arial"/>
                <w:sz w:val="18"/>
                <w:szCs w:val="18"/>
                <w:color w:val="1A1A1A"/>
              </w:rPr>
              <w:t>Andrew Mathias</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800,000</w:t>
            </w:r>
          </w:p>
        </w:tc>
        <w:tc>
          <w:tcPr>
            <w:tcW w:w="16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00" w:type="dxa"/>
            <w:vAlign w:val="bottom"/>
            <w:tcBorders>
              <w:bottom w:val="single" w:sz="8" w:color="8590A9"/>
            </w:tcBorders>
          </w:tcPr>
          <w:p>
            <w:pPr>
              <w:spacing w:after="0"/>
              <w:rPr>
                <w:sz w:val="20"/>
                <w:szCs w:val="20"/>
                <w:color w:val="auto"/>
              </w:rPr>
            </w:pPr>
            <w:r>
              <w:rPr>
                <w:rFonts w:ascii="Arial" w:cs="Arial" w:eastAsia="Arial" w:hAnsi="Arial"/>
                <w:sz w:val="18"/>
                <w:szCs w:val="18"/>
                <w:color w:val="1A1A1A"/>
              </w:rPr>
              <w:t>Matthew J. DiLiberto</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2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Andrew S. Levine</w:t>
            </w:r>
          </w:p>
        </w:tc>
        <w:tc>
          <w:tcPr>
            <w:tcW w:w="160" w:type="dxa"/>
            <w:vAlign w:val="bottom"/>
          </w:tcPr>
          <w:p>
            <w:pPr>
              <w:spacing w:after="0"/>
              <w:rPr>
                <w:sz w:val="21"/>
                <w:szCs w:val="21"/>
                <w:color w:val="auto"/>
              </w:rPr>
            </w:pPr>
          </w:p>
        </w:tc>
        <w:tc>
          <w:tcPr>
            <w:tcW w:w="1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550,000</w:t>
            </w:r>
          </w:p>
        </w:tc>
        <w:tc>
          <w:tcPr>
            <w:tcW w:w="160" w:type="dxa"/>
            <w:vAlign w:val="bottom"/>
          </w:tcPr>
          <w:p>
            <w:pPr>
              <w:spacing w:after="0"/>
              <w:rPr>
                <w:sz w:val="21"/>
                <w:szCs w:val="21"/>
                <w:color w:val="auto"/>
              </w:rPr>
            </w:pPr>
          </w:p>
        </w:tc>
        <w:tc>
          <w:tcPr>
            <w:tcW w:w="6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base salary, each of Messrs. Holliday, Green and Mathias also received a contribution of deferred notional stock units that are subject to vesting based on continued employment during a one-year period following the contribution and are only paid upon termination of employment or a change in control.</w:t>
      </w:r>
    </w:p>
    <w:p>
      <w:pPr>
        <w:spacing w:after="0" w:line="172"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This deferred compensation is viewed by the Committee as an award designed to encourage retention because the value of this deferred compensation is tied to the value of our common stock, and these executives will not receive this deferred compensation until the termination of their employment or a change in control. This deferred compensation program further establishes alignment of management and stockholder interests and helps ensure that the executives remain focused on long-term stockholder value creation. Similar to annual base salary, it is granted in fixed amounts each year.</w:t>
      </w:r>
    </w:p>
    <w:p>
      <w:pPr>
        <w:spacing w:after="0" w:line="183" w:lineRule="exact"/>
        <w:rPr>
          <w:sz w:val="20"/>
          <w:szCs w:val="20"/>
          <w:color w:val="auto"/>
        </w:rPr>
      </w:pPr>
    </w:p>
    <w:p>
      <w:pPr>
        <w:jc w:val="both"/>
        <w:ind w:right="60"/>
        <w:spacing w:after="0" w:line="251" w:lineRule="auto"/>
        <w:rPr>
          <w:sz w:val="20"/>
          <w:szCs w:val="20"/>
          <w:color w:val="auto"/>
        </w:rPr>
      </w:pPr>
      <w:r>
        <w:rPr>
          <w:rFonts w:ascii="Arial" w:cs="Arial" w:eastAsia="Arial" w:hAnsi="Arial"/>
          <w:sz w:val="18"/>
          <w:szCs w:val="18"/>
          <w:color w:val="auto"/>
        </w:rPr>
        <w:t>The amount of deferred compensation that each of Messrs. Holliday, Green and Mathias received for 2017 was equal to the base amount provided for under the executive’s employment agreement and associated deferred compensation agreement that was in effect for 2017. The following table sets forth the deferred compensation grants made to our executives in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Deferred</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345988"/>
              </w:rPr>
              <w:t>Notional</w:t>
            </w:r>
          </w:p>
        </w:tc>
        <w:tc>
          <w:tcPr>
            <w:tcW w:w="0" w:type="dxa"/>
            <w:vAlign w:val="bottom"/>
          </w:tcPr>
          <w:p>
            <w:pPr>
              <w:spacing w:after="0"/>
              <w:rPr>
                <w:sz w:val="1"/>
                <w:szCs w:val="1"/>
                <w:color w:val="auto"/>
              </w:rPr>
            </w:pPr>
          </w:p>
        </w:tc>
      </w:tr>
      <w:tr>
        <w:trPr>
          <w:trHeight w:val="148"/>
        </w:trPr>
        <w:tc>
          <w:tcPr>
            <w:tcW w:w="9420" w:type="dxa"/>
            <w:vAlign w:val="bottom"/>
            <w:vMerge w:val="restart"/>
          </w:tcPr>
          <w:p>
            <w:pPr>
              <w:spacing w:after="0"/>
              <w:rPr>
                <w:sz w:val="20"/>
                <w:szCs w:val="20"/>
                <w:color w:val="auto"/>
              </w:rPr>
            </w:pPr>
            <w:r>
              <w:rPr>
                <w:rFonts w:ascii="Arial" w:cs="Arial" w:eastAsia="Arial" w:hAnsi="Arial"/>
                <w:sz w:val="13"/>
                <w:szCs w:val="13"/>
                <w:b w:val="1"/>
                <w:bCs w:val="1"/>
                <w:color w:val="1A1A1A"/>
              </w:rPr>
              <w:t>Executive</w:t>
            </w:r>
          </w:p>
        </w:tc>
        <w:tc>
          <w:tcPr>
            <w:tcW w:w="160" w:type="dxa"/>
            <w:vAlign w:val="bottom"/>
          </w:tcPr>
          <w:p>
            <w:pPr>
              <w:spacing w:after="0"/>
              <w:rPr>
                <w:sz w:val="12"/>
                <w:szCs w:val="12"/>
                <w:color w:val="auto"/>
              </w:rPr>
            </w:pPr>
          </w:p>
        </w:tc>
        <w:tc>
          <w:tcPr>
            <w:tcW w:w="1160" w:type="dxa"/>
            <w:vAlign w:val="bottom"/>
            <w:gridSpan w:val="3"/>
          </w:tcPr>
          <w:p>
            <w:pPr>
              <w:jc w:val="right"/>
              <w:ind w:right="160"/>
              <w:spacing w:after="0" w:line="148" w:lineRule="exact"/>
              <w:rPr>
                <w:sz w:val="20"/>
                <w:szCs w:val="20"/>
                <w:color w:val="auto"/>
              </w:rPr>
            </w:pPr>
            <w:r>
              <w:rPr>
                <w:rFonts w:ascii="Arial" w:cs="Arial" w:eastAsia="Arial" w:hAnsi="Arial"/>
                <w:sz w:val="13"/>
                <w:szCs w:val="13"/>
                <w:b w:val="1"/>
                <w:bCs w:val="1"/>
                <w:color w:val="345988"/>
              </w:rPr>
              <w:t>Compensation</w:t>
            </w:r>
          </w:p>
        </w:tc>
        <w:tc>
          <w:tcPr>
            <w:tcW w:w="680" w:type="dxa"/>
            <w:vAlign w:val="bottom"/>
          </w:tcPr>
          <w:p>
            <w:pPr>
              <w:jc w:val="right"/>
              <w:spacing w:after="0" w:line="148" w:lineRule="exact"/>
              <w:rPr>
                <w:sz w:val="20"/>
                <w:szCs w:val="20"/>
                <w:color w:val="auto"/>
              </w:rPr>
            </w:pPr>
            <w:r>
              <w:rPr>
                <w:rFonts w:ascii="Arial" w:cs="Arial" w:eastAsia="Arial" w:hAnsi="Arial"/>
                <w:sz w:val="13"/>
                <w:szCs w:val="13"/>
                <w:b w:val="1"/>
                <w:bCs w:val="1"/>
                <w:color w:val="345988"/>
              </w:rPr>
              <w:t>Stock</w:t>
            </w:r>
          </w:p>
        </w:tc>
        <w:tc>
          <w:tcPr>
            <w:tcW w:w="0" w:type="dxa"/>
            <w:vAlign w:val="bottom"/>
          </w:tcPr>
          <w:p>
            <w:pPr>
              <w:spacing w:after="0"/>
              <w:rPr>
                <w:sz w:val="1"/>
                <w:szCs w:val="1"/>
                <w:color w:val="auto"/>
              </w:rPr>
            </w:pPr>
          </w:p>
        </w:tc>
      </w:tr>
      <w:tr>
        <w:trPr>
          <w:trHeight w:val="209"/>
        </w:trPr>
        <w:tc>
          <w:tcPr>
            <w:tcW w:w="94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Amount</w:t>
            </w:r>
          </w:p>
        </w:tc>
        <w:tc>
          <w:tcPr>
            <w:tcW w:w="680" w:type="dxa"/>
            <w:vAlign w:val="bottom"/>
          </w:tcPr>
          <w:p>
            <w:pPr>
              <w:jc w:val="right"/>
              <w:spacing w:after="0" w:line="202" w:lineRule="exact"/>
              <w:rPr>
                <w:sz w:val="20"/>
                <w:szCs w:val="20"/>
                <w:color w:val="auto"/>
              </w:rPr>
            </w:pPr>
            <w:r>
              <w:rPr>
                <w:rFonts w:ascii="Arial" w:cs="Arial" w:eastAsia="Arial" w:hAnsi="Arial"/>
                <w:sz w:val="13"/>
                <w:szCs w:val="13"/>
                <w:b w:val="1"/>
                <w:bCs w:val="1"/>
                <w:color w:val="345988"/>
              </w:rPr>
              <w:t>Units</w:t>
            </w:r>
            <w:r>
              <w:rPr>
                <w:rFonts w:ascii="Arial" w:cs="Arial" w:eastAsia="Arial" w:hAnsi="Arial"/>
                <w:sz w:val="22"/>
                <w:szCs w:val="22"/>
                <w:b w:val="1"/>
                <w:bCs w:val="1"/>
                <w:color w:val="345988"/>
                <w:vertAlign w:val="superscript"/>
              </w:rPr>
              <w:t>(1)</w:t>
            </w:r>
          </w:p>
        </w:tc>
        <w:tc>
          <w:tcPr>
            <w:tcW w:w="0" w:type="dxa"/>
            <w:vAlign w:val="bottom"/>
          </w:tcPr>
          <w:p>
            <w:pPr>
              <w:spacing w:after="0"/>
              <w:rPr>
                <w:sz w:val="1"/>
                <w:szCs w:val="1"/>
                <w:color w:val="auto"/>
              </w:rPr>
            </w:pPr>
          </w:p>
        </w:tc>
      </w:tr>
      <w:tr>
        <w:trPr>
          <w:trHeight w:val="240"/>
        </w:trPr>
        <w:tc>
          <w:tcPr>
            <w:tcW w:w="942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1A1A1A"/>
              </w:rPr>
              <w:t>Marc Holliday</w:t>
            </w:r>
          </w:p>
        </w:tc>
        <w:tc>
          <w:tcPr>
            <w:tcW w:w="160" w:type="dxa"/>
            <w:vAlign w:val="bottom"/>
          </w:tcPr>
          <w:p>
            <w:pPr>
              <w:spacing w:after="0"/>
              <w:rPr>
                <w:sz w:val="20"/>
                <w:szCs w:val="20"/>
                <w:color w:val="auto"/>
              </w:rPr>
            </w:pPr>
          </w:p>
        </w:tc>
        <w:tc>
          <w:tcPr>
            <w:tcW w:w="220" w:type="dxa"/>
            <w:vAlign w:val="bottom"/>
            <w:tcBorders>
              <w:top w:val="single" w:sz="8" w:color="345988"/>
              <w:bottom w:val="single" w:sz="8" w:color="8590A9"/>
            </w:tcBorders>
          </w:tcPr>
          <w:p>
            <w:pPr>
              <w:jc w:val="right"/>
              <w:ind w:right="3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20"/>
                <w:szCs w:val="20"/>
                <w:color w:val="auto"/>
              </w:rPr>
            </w:pPr>
          </w:p>
        </w:tc>
        <w:tc>
          <w:tcPr>
            <w:tcW w:w="6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36"/>
        </w:trPr>
        <w:tc>
          <w:tcPr>
            <w:tcW w:w="9420" w:type="dxa"/>
            <w:vAlign w:val="bottom"/>
            <w:tcBorders>
              <w:bottom w:val="single" w:sz="8" w:color="8590A9"/>
            </w:tcBorders>
          </w:tcPr>
          <w:p>
            <w:pPr>
              <w:spacing w:after="0"/>
              <w:rPr>
                <w:sz w:val="20"/>
                <w:szCs w:val="20"/>
                <w:color w:val="auto"/>
              </w:rPr>
            </w:pPr>
            <w:r>
              <w:rPr>
                <w:rFonts w:ascii="Arial" w:cs="Arial" w:eastAsia="Arial" w:hAnsi="Arial"/>
                <w:sz w:val="18"/>
                <w:szCs w:val="18"/>
                <w:color w:val="1A1A1A"/>
              </w:rPr>
              <w:t>Stephen L. Green</w:t>
            </w:r>
          </w:p>
        </w:tc>
        <w:tc>
          <w:tcPr>
            <w:tcW w:w="160" w:type="dxa"/>
            <w:vAlign w:val="bottom"/>
          </w:tcPr>
          <w:p>
            <w:pPr>
              <w:spacing w:after="0"/>
              <w:rPr>
                <w:sz w:val="20"/>
                <w:szCs w:val="20"/>
                <w:color w:val="auto"/>
              </w:rPr>
            </w:pPr>
          </w:p>
        </w:tc>
        <w:tc>
          <w:tcPr>
            <w:tcW w:w="220" w:type="dxa"/>
            <w:vAlign w:val="bottom"/>
            <w:tcBorders>
              <w:bottom w:val="single" w:sz="8" w:color="8590A9"/>
            </w:tcBorders>
          </w:tcPr>
          <w:p>
            <w:pPr>
              <w:jc w:val="right"/>
              <w:ind w:right="3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20"/>
                <w:szCs w:val="20"/>
                <w:color w:val="auto"/>
              </w:rPr>
            </w:pPr>
          </w:p>
        </w:tc>
        <w:tc>
          <w:tcPr>
            <w:tcW w:w="6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46"/>
        </w:trPr>
        <w:tc>
          <w:tcPr>
            <w:tcW w:w="942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Andrew Mathias</w:t>
            </w:r>
          </w:p>
        </w:tc>
        <w:tc>
          <w:tcPr>
            <w:tcW w:w="160" w:type="dxa"/>
            <w:vAlign w:val="bottom"/>
          </w:tcPr>
          <w:p>
            <w:pPr>
              <w:spacing w:after="0"/>
              <w:rPr>
                <w:sz w:val="21"/>
                <w:szCs w:val="21"/>
                <w:color w:val="auto"/>
              </w:rPr>
            </w:pPr>
          </w:p>
        </w:tc>
        <w:tc>
          <w:tcPr>
            <w:tcW w:w="220" w:type="dxa"/>
            <w:vAlign w:val="bottom"/>
            <w:tcBorders>
              <w:bottom w:val="single" w:sz="8" w:color="345988"/>
            </w:tcBorders>
          </w:tcPr>
          <w:p>
            <w:pPr>
              <w:jc w:val="right"/>
              <w:ind w:right="3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550,000</w:t>
            </w:r>
          </w:p>
        </w:tc>
        <w:tc>
          <w:tcPr>
            <w:tcW w:w="160" w:type="dxa"/>
            <w:vAlign w:val="bottom"/>
          </w:tcPr>
          <w:p>
            <w:pPr>
              <w:spacing w:after="0"/>
              <w:rPr>
                <w:sz w:val="21"/>
                <w:szCs w:val="21"/>
                <w:color w:val="auto"/>
              </w:rPr>
            </w:pPr>
          </w:p>
        </w:tc>
        <w:tc>
          <w:tcPr>
            <w:tcW w:w="6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60" w:hanging="352"/>
        <w:spacing w:after="0"/>
        <w:tabs>
          <w:tab w:leader="none" w:pos="3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Deferred compensation contributions were converted into notional stock units based on the market price of our common stock on the date of the contribution.</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Annual Incentive Awards</w:t>
      </w:r>
    </w:p>
    <w:p>
      <w:pPr>
        <w:spacing w:after="0" w:line="21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pay annual incentive awards in the form of annual cash and equity bonuses to reward our named executive officers for achieving key corporate financial and operational objectives and individual goals. Based in part on the feedback we received in connection with our outreach efforts relating to executive compensation, the Committee decided to revise the structure of our annual incentive award program for our Chief Executive Officer, Executive Chairman and President. In 2017, the entire amount of the annual cash bonuses paid to our top three named executive officers was determined pursuant to this annual cash bonus program, which is described in more detail below.</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Annual Cash Bonus Program (Top Three Named Executive Officers)</w:t>
      </w:r>
    </w:p>
    <w:p>
      <w:pPr>
        <w:spacing w:after="0" w:line="214"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As noted above, the annual cash bonuses paid to our top three named executive officers for 2017 were determined pursuant to our annual cash bonus program. Under this program, the Committee established specific threshold, target and maximum cash bonus amounts that each of our top three named executive officers could earn for 2017 and established specific performance criteria that were to be used in a formulaic manner to determine 100% of each of these executives’ cash bonuses. For 2017, each of Messrs. Holliday, Green and Mathias were eligible to earn the following percentages of his base salary (with linear interpolation used to determine the percentage earned for performance that falls between threshold, target and/or maximum):</w:t>
      </w:r>
    </w:p>
    <w:p>
      <w:pPr>
        <w:spacing w:after="0" w:line="181" w:lineRule="exact"/>
        <w:rPr>
          <w:sz w:val="20"/>
          <w:szCs w:val="20"/>
          <w:color w:val="auto"/>
        </w:rPr>
      </w:pPr>
    </w:p>
    <w:p>
      <w:pPr>
        <w:ind w:left="300" w:hanging="292"/>
        <w:spacing w:after="0"/>
        <w:tabs>
          <w:tab w:leader="none" w:pos="300" w:val="left"/>
        </w:tabs>
        <w:numPr>
          <w:ilvl w:val="0"/>
          <w:numId w:val="81"/>
        </w:numPr>
        <w:rPr>
          <w:rFonts w:ascii="Arial" w:cs="Arial" w:eastAsia="Arial" w:hAnsi="Arial"/>
          <w:sz w:val="18"/>
          <w:szCs w:val="18"/>
          <w:color w:val="345988"/>
        </w:rPr>
      </w:pPr>
      <w:r>
        <w:rPr>
          <w:rFonts w:ascii="Arial" w:cs="Arial" w:eastAsia="Arial" w:hAnsi="Arial"/>
          <w:sz w:val="18"/>
          <w:szCs w:val="18"/>
          <w:color w:val="1A1A1A"/>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340" w:type="dxa"/>
            <w:vAlign w:val="bottom"/>
            <w:gridSpan w:val="2"/>
          </w:tcPr>
          <w:p>
            <w:pPr>
              <w:spacing w:after="0"/>
              <w:rPr>
                <w:sz w:val="20"/>
                <w:szCs w:val="20"/>
                <w:color w:val="auto"/>
              </w:rPr>
            </w:pPr>
            <w:r>
              <w:rPr>
                <w:rFonts w:ascii="Arial" w:cs="Arial" w:eastAsia="Arial" w:hAnsi="Arial"/>
                <w:sz w:val="13"/>
                <w:szCs w:val="13"/>
                <w:b w:val="1"/>
                <w:bCs w:val="1"/>
                <w:color w:val="1A1A1A"/>
              </w:rPr>
              <w:t>Executive</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Threshold</w:t>
            </w:r>
          </w:p>
        </w:tc>
        <w:tc>
          <w:tcPr>
            <w:tcW w:w="620" w:type="dxa"/>
            <w:vAlign w:val="bottom"/>
            <w:gridSpan w:val="2"/>
          </w:tcPr>
          <w:p>
            <w:pPr>
              <w:ind w:left="40"/>
              <w:spacing w:after="0"/>
              <w:rPr>
                <w:sz w:val="20"/>
                <w:szCs w:val="20"/>
                <w:color w:val="auto"/>
              </w:rPr>
            </w:pPr>
            <w:r>
              <w:rPr>
                <w:rFonts w:ascii="Arial" w:cs="Arial" w:eastAsia="Arial" w:hAnsi="Arial"/>
                <w:sz w:val="13"/>
                <w:szCs w:val="13"/>
                <w:b w:val="1"/>
                <w:bCs w:val="1"/>
                <w:color w:val="345988"/>
              </w:rPr>
              <w:t>Target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345988"/>
              </w:rPr>
              <w:t>Maximum</w:t>
            </w:r>
          </w:p>
        </w:tc>
      </w:tr>
      <w:tr>
        <w:trPr>
          <w:trHeight w:val="240"/>
        </w:trPr>
        <w:tc>
          <w:tcPr>
            <w:tcW w:w="920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1A1A1A"/>
              </w:rPr>
              <w:t>Marc Holliday</w:t>
            </w:r>
          </w:p>
        </w:tc>
        <w:tc>
          <w:tcPr>
            <w:tcW w:w="140" w:type="dxa"/>
            <w:vAlign w:val="bottom"/>
          </w:tcPr>
          <w:p>
            <w:pPr>
              <w:spacing w:after="0"/>
              <w:rPr>
                <w:sz w:val="20"/>
                <w:szCs w:val="20"/>
                <w:color w:val="auto"/>
              </w:rPr>
            </w:pPr>
          </w:p>
        </w:tc>
        <w:tc>
          <w:tcPr>
            <w:tcW w:w="6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460" w:type="dxa"/>
            <w:vAlign w:val="bottom"/>
            <w:tcBorders>
              <w:top w:val="single" w:sz="8" w:color="345988"/>
              <w:bottom w:val="single" w:sz="8" w:color="8590A9"/>
            </w:tcBorders>
          </w:tcPr>
          <w:p>
            <w:pPr>
              <w:ind w:left="20"/>
              <w:spacing w:after="0"/>
              <w:rPr>
                <w:sz w:val="20"/>
                <w:szCs w:val="20"/>
                <w:color w:val="auto"/>
              </w:rPr>
            </w:pPr>
            <w:r>
              <w:rPr>
                <w:rFonts w:ascii="Arial" w:cs="Arial" w:eastAsia="Arial" w:hAnsi="Arial"/>
                <w:sz w:val="18"/>
                <w:szCs w:val="18"/>
                <w:color w:val="auto"/>
                <w:w w:val="91"/>
              </w:rPr>
              <w:t>200%</w:t>
            </w:r>
          </w:p>
        </w:tc>
        <w:tc>
          <w:tcPr>
            <w:tcW w:w="160" w:type="dxa"/>
            <w:vAlign w:val="bottom"/>
          </w:tcPr>
          <w:p>
            <w:pPr>
              <w:spacing w:after="0"/>
              <w:rPr>
                <w:sz w:val="20"/>
                <w:szCs w:val="20"/>
                <w:color w:val="auto"/>
              </w:rPr>
            </w:pPr>
          </w:p>
        </w:tc>
        <w:tc>
          <w:tcPr>
            <w:tcW w:w="6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300%</w:t>
            </w:r>
          </w:p>
        </w:tc>
      </w:tr>
      <w:tr>
        <w:trPr>
          <w:trHeight w:val="236"/>
        </w:trPr>
        <w:tc>
          <w:tcPr>
            <w:tcW w:w="9200" w:type="dxa"/>
            <w:vAlign w:val="bottom"/>
            <w:tcBorders>
              <w:bottom w:val="single" w:sz="8" w:color="8590A9"/>
            </w:tcBorders>
          </w:tcPr>
          <w:p>
            <w:pPr>
              <w:spacing w:after="0"/>
              <w:rPr>
                <w:sz w:val="20"/>
                <w:szCs w:val="20"/>
                <w:color w:val="auto"/>
              </w:rPr>
            </w:pPr>
            <w:r>
              <w:rPr>
                <w:rFonts w:ascii="Arial" w:cs="Arial" w:eastAsia="Arial" w:hAnsi="Arial"/>
                <w:sz w:val="18"/>
                <w:szCs w:val="18"/>
                <w:color w:val="1A1A1A"/>
              </w:rPr>
              <w:t>Stephen L. Green</w:t>
            </w:r>
          </w:p>
        </w:tc>
        <w:tc>
          <w:tcPr>
            <w:tcW w:w="14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460" w:type="dxa"/>
            <w:vAlign w:val="bottom"/>
            <w:tcBorders>
              <w:bottom w:val="single" w:sz="8" w:color="8590A9"/>
            </w:tcBorders>
          </w:tcPr>
          <w:p>
            <w:pPr>
              <w:ind w:left="20"/>
              <w:spacing w:after="0"/>
              <w:rPr>
                <w:sz w:val="20"/>
                <w:szCs w:val="20"/>
                <w:color w:val="auto"/>
              </w:rPr>
            </w:pPr>
            <w:r>
              <w:rPr>
                <w:rFonts w:ascii="Arial" w:cs="Arial" w:eastAsia="Arial" w:hAnsi="Arial"/>
                <w:sz w:val="18"/>
                <w:szCs w:val="18"/>
                <w:color w:val="auto"/>
                <w:w w:val="91"/>
              </w:rPr>
              <w:t>175%</w:t>
            </w:r>
          </w:p>
        </w:tc>
        <w:tc>
          <w:tcPr>
            <w:tcW w:w="160" w:type="dxa"/>
            <w:vAlign w:val="bottom"/>
          </w:tcPr>
          <w:p>
            <w:pPr>
              <w:spacing w:after="0"/>
              <w:rPr>
                <w:sz w:val="20"/>
                <w:szCs w:val="20"/>
                <w:color w:val="auto"/>
              </w:rPr>
            </w:pPr>
          </w:p>
        </w:tc>
        <w:tc>
          <w:tcPr>
            <w:tcW w:w="6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250%</w:t>
            </w:r>
          </w:p>
        </w:tc>
      </w:tr>
      <w:tr>
        <w:trPr>
          <w:trHeight w:val="246"/>
        </w:trPr>
        <w:tc>
          <w:tcPr>
            <w:tcW w:w="92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Andrew Mathias</w:t>
            </w:r>
          </w:p>
        </w:tc>
        <w:tc>
          <w:tcPr>
            <w:tcW w:w="140" w:type="dxa"/>
            <w:vAlign w:val="bottom"/>
          </w:tcPr>
          <w:p>
            <w:pPr>
              <w:spacing w:after="0"/>
              <w:rPr>
                <w:sz w:val="21"/>
                <w:szCs w:val="21"/>
                <w:color w:val="auto"/>
              </w:rPr>
            </w:pPr>
          </w:p>
        </w:tc>
        <w:tc>
          <w:tcPr>
            <w:tcW w:w="6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1"/>
                <w:szCs w:val="21"/>
                <w:color w:val="auto"/>
              </w:rPr>
            </w:pPr>
          </w:p>
        </w:tc>
        <w:tc>
          <w:tcPr>
            <w:tcW w:w="460" w:type="dxa"/>
            <w:vAlign w:val="bottom"/>
            <w:tcBorders>
              <w:bottom w:val="single" w:sz="8" w:color="345988"/>
            </w:tcBorders>
          </w:tcPr>
          <w:p>
            <w:pPr>
              <w:ind w:left="20"/>
              <w:spacing w:after="0"/>
              <w:rPr>
                <w:sz w:val="20"/>
                <w:szCs w:val="20"/>
                <w:color w:val="auto"/>
              </w:rPr>
            </w:pPr>
            <w:r>
              <w:rPr>
                <w:rFonts w:ascii="Arial" w:cs="Arial" w:eastAsia="Arial" w:hAnsi="Arial"/>
                <w:sz w:val="18"/>
                <w:szCs w:val="18"/>
                <w:color w:val="auto"/>
                <w:w w:val="91"/>
              </w:rPr>
              <w:t>175%</w:t>
            </w:r>
          </w:p>
        </w:tc>
        <w:tc>
          <w:tcPr>
            <w:tcW w:w="160" w:type="dxa"/>
            <w:vAlign w:val="bottom"/>
          </w:tcPr>
          <w:p>
            <w:pPr>
              <w:spacing w:after="0"/>
              <w:rPr>
                <w:sz w:val="21"/>
                <w:szCs w:val="21"/>
                <w:color w:val="auto"/>
              </w:rPr>
            </w:pPr>
          </w:p>
        </w:tc>
        <w:tc>
          <w:tcPr>
            <w:tcW w:w="64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250%</w:t>
            </w:r>
          </w:p>
        </w:tc>
      </w:tr>
    </w:tbl>
    <w:p>
      <w:pPr>
        <w:spacing w:after="0" w:line="197"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One hundred percent of each executive’s annual cash bonus was determined in a formulaic manner based on the level of our achievement of a number of performance criteria as compared to the level established in advance by the Committee. The following sets forth the specific performance criteria selected for 2017, the relative weighting of each, the threshold, target and maximum performance levels established by the Committee in advance for each, and our actual 2017 results for each.</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These performance criteria were chosen by the Committee because they are key drivers of stockholder value creation:</w:t>
      </w:r>
    </w:p>
    <w:p>
      <w:pPr>
        <w:spacing w:after="0" w:line="209" w:lineRule="exact"/>
        <w:rPr>
          <w:sz w:val="20"/>
          <w:szCs w:val="20"/>
          <w:color w:val="auto"/>
        </w:rPr>
      </w:pPr>
    </w:p>
    <w:p>
      <w:pPr>
        <w:ind w:left="540" w:hanging="263"/>
        <w:spacing w:after="0"/>
        <w:tabs>
          <w:tab w:leader="none" w:pos="540" w:val="left"/>
        </w:tabs>
        <w:numPr>
          <w:ilvl w:val="0"/>
          <w:numId w:val="82"/>
        </w:numPr>
        <w:rPr>
          <w:rFonts w:ascii="Arial" w:cs="Arial" w:eastAsia="Arial" w:hAnsi="Arial"/>
          <w:sz w:val="17"/>
          <w:szCs w:val="17"/>
          <w:color w:val="345988"/>
        </w:rPr>
      </w:pPr>
      <w:r>
        <w:rPr>
          <w:rFonts w:ascii="Arial" w:cs="Arial" w:eastAsia="Arial" w:hAnsi="Arial"/>
          <w:sz w:val="18"/>
          <w:szCs w:val="18"/>
          <w:b w:val="1"/>
          <w:bCs w:val="1"/>
          <w:color w:val="auto"/>
        </w:rPr>
        <w:t xml:space="preserve">FFO per share: </w:t>
      </w:r>
      <w:r>
        <w:rPr>
          <w:rFonts w:ascii="Arial" w:cs="Arial" w:eastAsia="Arial" w:hAnsi="Arial"/>
          <w:sz w:val="18"/>
          <w:szCs w:val="18"/>
          <w:color w:val="auto"/>
        </w:rPr>
        <w:t>is a key metric that demonstrates our focus on increasing SL Green’s profitability per unit of shareholder ownership</w:t>
      </w:r>
    </w:p>
    <w:p>
      <w:pPr>
        <w:spacing w:after="0" w:line="98" w:lineRule="exact"/>
        <w:rPr>
          <w:rFonts w:ascii="Arial" w:cs="Arial" w:eastAsia="Arial" w:hAnsi="Arial"/>
          <w:sz w:val="17"/>
          <w:szCs w:val="17"/>
          <w:color w:val="345988"/>
        </w:rPr>
      </w:pPr>
    </w:p>
    <w:p>
      <w:pPr>
        <w:ind w:left="540" w:right="660" w:hanging="263"/>
        <w:spacing w:after="0" w:line="277" w:lineRule="auto"/>
        <w:tabs>
          <w:tab w:leader="none" w:pos="540" w:val="left"/>
        </w:tabs>
        <w:numPr>
          <w:ilvl w:val="0"/>
          <w:numId w:val="82"/>
        </w:numPr>
        <w:rPr>
          <w:rFonts w:ascii="Arial" w:cs="Arial" w:eastAsia="Arial" w:hAnsi="Arial"/>
          <w:sz w:val="17"/>
          <w:szCs w:val="17"/>
          <w:color w:val="345988"/>
        </w:rPr>
      </w:pPr>
      <w:r>
        <w:rPr>
          <w:rFonts w:ascii="Arial" w:cs="Arial" w:eastAsia="Arial" w:hAnsi="Arial"/>
          <w:sz w:val="18"/>
          <w:szCs w:val="18"/>
          <w:b w:val="1"/>
          <w:bCs w:val="1"/>
          <w:color w:val="auto"/>
        </w:rPr>
        <w:t xml:space="preserve">Same-store cash NOI growth: </w:t>
      </w:r>
      <w:r>
        <w:rPr>
          <w:rFonts w:ascii="Arial" w:cs="Arial" w:eastAsia="Arial" w:hAnsi="Arial"/>
          <w:sz w:val="18"/>
          <w:szCs w:val="18"/>
          <w:color w:val="auto"/>
        </w:rPr>
        <w:t>is a key metric that demonstrates our ability to facilitate meaningful improvement in the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our real estate portfolio over time</w:t>
      </w:r>
    </w:p>
    <w:p>
      <w:pPr>
        <w:spacing w:after="0" w:line="34" w:lineRule="exact"/>
        <w:rPr>
          <w:rFonts w:ascii="Arial" w:cs="Arial" w:eastAsia="Arial" w:hAnsi="Arial"/>
          <w:sz w:val="17"/>
          <w:szCs w:val="17"/>
          <w:color w:val="345988"/>
        </w:rPr>
      </w:pPr>
    </w:p>
    <w:p>
      <w:pPr>
        <w:ind w:left="540" w:hanging="263"/>
        <w:spacing w:after="0"/>
        <w:tabs>
          <w:tab w:leader="none" w:pos="540" w:val="left"/>
        </w:tabs>
        <w:numPr>
          <w:ilvl w:val="0"/>
          <w:numId w:val="82"/>
        </w:numPr>
        <w:rPr>
          <w:rFonts w:ascii="Arial" w:cs="Arial" w:eastAsia="Arial" w:hAnsi="Arial"/>
          <w:sz w:val="17"/>
          <w:szCs w:val="17"/>
          <w:color w:val="345988"/>
        </w:rPr>
      </w:pPr>
      <w:r>
        <w:rPr>
          <w:rFonts w:ascii="Arial" w:cs="Arial" w:eastAsia="Arial" w:hAnsi="Arial"/>
          <w:sz w:val="18"/>
          <w:szCs w:val="18"/>
          <w:b w:val="1"/>
          <w:bCs w:val="1"/>
          <w:color w:val="auto"/>
        </w:rPr>
        <w:t xml:space="preserve">Dividend growth: </w:t>
      </w:r>
      <w:r>
        <w:rPr>
          <w:rFonts w:ascii="Arial" w:cs="Arial" w:eastAsia="Arial" w:hAnsi="Arial"/>
          <w:sz w:val="18"/>
          <w:szCs w:val="18"/>
          <w:color w:val="auto"/>
        </w:rPr>
        <w:t>is a key metric that demonstrates SL Green’s focus on being responsible stewards of shareholder capital</w:t>
      </w:r>
    </w:p>
    <w:p>
      <w:pPr>
        <w:spacing w:after="0" w:line="102" w:lineRule="exact"/>
        <w:rPr>
          <w:rFonts w:ascii="Arial" w:cs="Arial" w:eastAsia="Arial" w:hAnsi="Arial"/>
          <w:sz w:val="17"/>
          <w:szCs w:val="17"/>
          <w:color w:val="345988"/>
        </w:rPr>
      </w:pPr>
    </w:p>
    <w:p>
      <w:pPr>
        <w:ind w:left="540" w:right="20" w:hanging="263"/>
        <w:spacing w:after="0" w:line="277" w:lineRule="auto"/>
        <w:tabs>
          <w:tab w:leader="none" w:pos="540" w:val="left"/>
        </w:tabs>
        <w:numPr>
          <w:ilvl w:val="0"/>
          <w:numId w:val="82"/>
        </w:numPr>
        <w:rPr>
          <w:rFonts w:ascii="Arial" w:cs="Arial" w:eastAsia="Arial" w:hAnsi="Arial"/>
          <w:sz w:val="17"/>
          <w:szCs w:val="17"/>
          <w:color w:val="345988"/>
        </w:rPr>
      </w:pPr>
      <w:r>
        <w:rPr>
          <w:rFonts w:ascii="Arial" w:cs="Arial" w:eastAsia="Arial" w:hAnsi="Arial"/>
          <w:sz w:val="18"/>
          <w:szCs w:val="18"/>
          <w:b w:val="1"/>
          <w:bCs w:val="1"/>
          <w:color w:val="auto"/>
        </w:rPr>
        <w:t xml:space="preserve">Relative TSR: </w:t>
      </w:r>
      <w:r>
        <w:rPr>
          <w:rFonts w:ascii="Arial" w:cs="Arial" w:eastAsia="Arial" w:hAnsi="Arial"/>
          <w:sz w:val="18"/>
          <w:szCs w:val="18"/>
          <w:color w:val="auto"/>
        </w:rPr>
        <w:t>is a key metric that demonstrates our commitment to fostering alignment between management and shareholders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creation of shareholder value</w:t>
      </w:r>
    </w:p>
    <w:p>
      <w:pPr>
        <w:spacing w:after="0" w:line="38" w:lineRule="exact"/>
        <w:rPr>
          <w:rFonts w:ascii="Arial" w:cs="Arial" w:eastAsia="Arial" w:hAnsi="Arial"/>
          <w:sz w:val="17"/>
          <w:szCs w:val="17"/>
          <w:color w:val="345988"/>
        </w:rPr>
      </w:pPr>
    </w:p>
    <w:p>
      <w:pPr>
        <w:ind w:left="540" w:right="200" w:hanging="263"/>
        <w:spacing w:after="0" w:line="270" w:lineRule="auto"/>
        <w:tabs>
          <w:tab w:leader="none" w:pos="540" w:val="left"/>
        </w:tabs>
        <w:numPr>
          <w:ilvl w:val="0"/>
          <w:numId w:val="82"/>
        </w:numPr>
        <w:rPr>
          <w:rFonts w:ascii="Arial" w:cs="Arial" w:eastAsia="Arial" w:hAnsi="Arial"/>
          <w:sz w:val="17"/>
          <w:szCs w:val="17"/>
          <w:color w:val="345988"/>
        </w:rPr>
      </w:pPr>
      <w:r>
        <w:rPr>
          <w:rFonts w:ascii="Arial" w:cs="Arial" w:eastAsia="Arial" w:hAnsi="Arial"/>
          <w:sz w:val="18"/>
          <w:szCs w:val="18"/>
          <w:b w:val="1"/>
          <w:bCs w:val="1"/>
          <w:color w:val="auto"/>
        </w:rPr>
        <w:t xml:space="preserve">Absolute TSR: </w:t>
      </w:r>
      <w:r>
        <w:rPr>
          <w:rFonts w:ascii="Arial" w:cs="Arial" w:eastAsia="Arial" w:hAnsi="Arial"/>
          <w:sz w:val="18"/>
          <w:szCs w:val="18"/>
          <w:color w:val="auto"/>
        </w:rPr>
        <w:t>is a key metric that demonstrates our commitment to fostering alignment between management and shareholders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creation of shareholder value</w:t>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color w:val="1A1A1A"/>
        </w:rPr>
        <w:t>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45091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1A1A1A"/>
        </w:rPr>
        <w:t>FFO per share</w:t>
      </w:r>
      <w:r>
        <w:rPr>
          <w:rFonts w:ascii="Arial" w:cs="Arial" w:eastAsia="Arial" w:hAnsi="Arial"/>
          <w:sz w:val="29"/>
          <w:szCs w:val="29"/>
          <w:color w:val="1A1A1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45091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1A1A1A"/>
        </w:rPr>
        <w:t>Same-store cash NOI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5091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1A1A1A"/>
        </w:rPr>
        <w:t>Dividend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5091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1A1A1A"/>
        </w:rPr>
        <w:t>Relative TSR for 2017</w:t>
      </w:r>
      <w:r>
        <w:rPr>
          <w:rFonts w:ascii="Arial" w:cs="Arial" w:eastAsia="Arial" w:hAnsi="Arial"/>
          <w:sz w:val="29"/>
          <w:szCs w:val="29"/>
          <w:color w:val="1A1A1A"/>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45091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1A1A1A"/>
        </w:rPr>
        <w:t>Absolute TSR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50913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17" w:lineRule="exact"/>
        <w:rPr>
          <w:sz w:val="20"/>
          <w:szCs w:val="20"/>
          <w:color w:val="auto"/>
        </w:rPr>
      </w:pPr>
    </w:p>
    <w:p>
      <w:pPr>
        <w:ind w:left="360" w:hanging="352"/>
        <w:spacing w:after="0"/>
        <w:tabs>
          <w:tab w:leader="none" w:pos="360" w:val="left"/>
        </w:tabs>
        <w:numPr>
          <w:ilvl w:val="0"/>
          <w:numId w:val="83"/>
        </w:numPr>
        <w:rPr>
          <w:rFonts w:ascii="Arial" w:cs="Arial" w:eastAsia="Arial" w:hAnsi="Arial"/>
          <w:sz w:val="13"/>
          <w:szCs w:val="13"/>
          <w:color w:val="auto"/>
        </w:rPr>
      </w:pPr>
      <w:r>
        <w:rPr>
          <w:rFonts w:ascii="Arial" w:cs="Arial" w:eastAsia="Arial" w:hAnsi="Arial"/>
          <w:sz w:val="13"/>
          <w:szCs w:val="13"/>
          <w:color w:val="auto"/>
        </w:rPr>
        <w:t>Refer to Appendix A for a reconciliation of Normalized FFO</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2017</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345988"/>
              </w:rPr>
              <w:t>2017 Actual</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Weighting</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345988"/>
              </w:rPr>
              <w:t>Threshold</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345988"/>
              </w:rPr>
              <w:t>Target</w:t>
            </w:r>
          </w:p>
        </w:tc>
        <w:tc>
          <w:tcPr>
            <w:tcW w:w="160" w:type="dxa"/>
            <w:vAlign w:val="bottom"/>
            <w:vMerge w:val="restart"/>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345988"/>
              </w:rPr>
              <w:t>Maximum</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60" w:type="dxa"/>
            <w:vAlign w:val="bottom"/>
            <w:tcBorders>
              <w:bottom w:val="single" w:sz="8" w:color="345988"/>
            </w:tcBorders>
          </w:tcPr>
          <w:p>
            <w:pPr>
              <w:jc w:val="right"/>
              <w:spacing w:after="0"/>
              <w:rPr>
                <w:sz w:val="20"/>
                <w:szCs w:val="20"/>
                <w:color w:val="auto"/>
              </w:rPr>
            </w:pPr>
            <w:r>
              <w:rPr>
                <w:rFonts w:ascii="Arial" w:cs="Arial" w:eastAsia="Arial" w:hAnsi="Arial"/>
                <w:sz w:val="13"/>
                <w:szCs w:val="13"/>
                <w:b w:val="1"/>
                <w:bCs w:val="1"/>
                <w:color w:val="345988"/>
              </w:rPr>
              <w:t>Levels</w:t>
            </w:r>
          </w:p>
        </w:tc>
        <w:tc>
          <w:tcPr>
            <w:tcW w:w="160" w:type="dxa"/>
            <w:vAlign w:val="bottom"/>
          </w:tcPr>
          <w:p>
            <w:pPr>
              <w:spacing w:after="0"/>
              <w:rPr>
                <w:sz w:val="17"/>
                <w:szCs w:val="17"/>
                <w:color w:val="auto"/>
              </w:rPr>
            </w:pPr>
          </w:p>
        </w:tc>
        <w:tc>
          <w:tcPr>
            <w:tcW w:w="660" w:type="dxa"/>
            <w:vAlign w:val="bottom"/>
            <w:tcBorders>
              <w:bottom w:val="single" w:sz="8" w:color="345988"/>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345988"/>
            </w:tcBorders>
          </w:tcPr>
          <w:p>
            <w:pPr>
              <w:spacing w:after="0"/>
              <w:rPr>
                <w:sz w:val="17"/>
                <w:szCs w:val="17"/>
                <w:color w:val="auto"/>
              </w:rPr>
            </w:pPr>
          </w:p>
        </w:tc>
        <w:tc>
          <w:tcPr>
            <w:tcW w:w="480" w:type="dxa"/>
            <w:vAlign w:val="bottom"/>
            <w:tcBorders>
              <w:bottom w:val="single" w:sz="8" w:color="345988"/>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60" w:type="dxa"/>
            <w:vAlign w:val="bottom"/>
            <w:tcBorders>
              <w:bottom w:val="single" w:sz="8" w:color="345988"/>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345988"/>
            </w:tcBorders>
            <w:gridSpan w:val="2"/>
          </w:tcPr>
          <w:p>
            <w:pPr>
              <w:jc w:val="right"/>
              <w:spacing w:after="0"/>
              <w:rPr>
                <w:sz w:val="20"/>
                <w:szCs w:val="20"/>
                <w:color w:val="auto"/>
              </w:rPr>
            </w:pPr>
            <w:r>
              <w:rPr>
                <w:rFonts w:ascii="Arial" w:cs="Arial" w:eastAsia="Arial" w:hAnsi="Arial"/>
                <w:sz w:val="13"/>
                <w:szCs w:val="13"/>
                <w:b w:val="1"/>
                <w:bCs w:val="1"/>
                <w:color w:val="345988"/>
              </w:rPr>
              <w:t>Performance</w:t>
            </w:r>
          </w:p>
        </w:tc>
        <w:tc>
          <w:tcPr>
            <w:tcW w:w="0" w:type="dxa"/>
            <w:vAlign w:val="bottom"/>
          </w:tcPr>
          <w:p>
            <w:pPr>
              <w:spacing w:after="0"/>
              <w:rPr>
                <w:sz w:val="1"/>
                <w:szCs w:val="1"/>
                <w:color w:val="auto"/>
              </w:rPr>
            </w:pPr>
          </w:p>
        </w:tc>
      </w:tr>
      <w:tr>
        <w:trPr>
          <w:trHeight w:val="304"/>
        </w:trPr>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   6.30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   6.50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9"/>
        </w:trPr>
        <w:tc>
          <w:tcPr>
            <w:tcW w:w="66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0"/>
                <w:szCs w:val="20"/>
                <w:color w:val="auto"/>
              </w:rPr>
            </w:pPr>
          </w:p>
        </w:tc>
        <w:tc>
          <w:tcPr>
            <w:tcW w:w="66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8590A9"/>
              <w:bottom w:val="single" w:sz="8" w:color="8590A9"/>
            </w:tcBorders>
          </w:tcPr>
          <w:p>
            <w:pPr>
              <w:spacing w:after="0"/>
              <w:rPr>
                <w:sz w:val="20"/>
                <w:szCs w:val="20"/>
                <w:color w:val="auto"/>
              </w:rPr>
            </w:pPr>
          </w:p>
        </w:tc>
        <w:tc>
          <w:tcPr>
            <w:tcW w:w="4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p>
        </w:tc>
        <w:tc>
          <w:tcPr>
            <w:tcW w:w="66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8590A9"/>
              <w:bottom w:val="single" w:sz="8" w:color="8590A9"/>
            </w:tcBorders>
          </w:tcPr>
          <w:p>
            <w:pPr>
              <w:spacing w:after="0"/>
              <w:rPr>
                <w:sz w:val="20"/>
                <w:szCs w:val="20"/>
                <w:color w:val="auto"/>
              </w:rPr>
            </w:pPr>
          </w:p>
        </w:tc>
        <w:tc>
          <w:tcPr>
            <w:tcW w:w="76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6"/>
        </w:trPr>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8590A9"/>
            </w:tcBorders>
          </w:tcPr>
          <w:p>
            <w:pPr>
              <w:spacing w:after="0"/>
              <w:rPr>
                <w:sz w:val="20"/>
                <w:szCs w:val="20"/>
                <w:color w:val="auto"/>
              </w:rPr>
            </w:pPr>
          </w:p>
        </w:tc>
        <w:tc>
          <w:tcPr>
            <w:tcW w:w="4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8590A9"/>
            </w:tcBorders>
          </w:tcPr>
          <w:p>
            <w:pPr>
              <w:spacing w:after="0"/>
              <w:rPr>
                <w:sz w:val="20"/>
                <w:szCs w:val="20"/>
                <w:color w:val="auto"/>
              </w:rPr>
            </w:pPr>
          </w:p>
        </w:tc>
        <w:tc>
          <w:tcPr>
            <w:tcW w:w="7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1"/>
        </w:trPr>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40th</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60th</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80th</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17th</w:t>
            </w:r>
          </w:p>
        </w:tc>
        <w:tc>
          <w:tcPr>
            <w:tcW w:w="0" w:type="dxa"/>
            <w:vAlign w:val="bottom"/>
          </w:tcPr>
          <w:p>
            <w:pPr>
              <w:spacing w:after="0"/>
              <w:rPr>
                <w:sz w:val="1"/>
                <w:szCs w:val="1"/>
                <w:color w:val="auto"/>
              </w:rPr>
            </w:pPr>
          </w:p>
        </w:tc>
      </w:tr>
      <w:tr>
        <w:trPr>
          <w:trHeight w:val="249"/>
        </w:trPr>
        <w:tc>
          <w:tcPr>
            <w:tcW w:w="660" w:type="dxa"/>
            <w:vAlign w:val="bottom"/>
            <w:tcBorders>
              <w:top w:val="single" w:sz="8" w:color="8590A9"/>
              <w:bottom w:val="single" w:sz="8" w:color="345988"/>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1"/>
                <w:szCs w:val="21"/>
                <w:color w:val="auto"/>
              </w:rPr>
            </w:pPr>
          </w:p>
        </w:tc>
        <w:tc>
          <w:tcPr>
            <w:tcW w:w="660" w:type="dxa"/>
            <w:vAlign w:val="bottom"/>
            <w:tcBorders>
              <w:top w:val="single" w:sz="8" w:color="8590A9"/>
              <w:bottom w:val="single" w:sz="8" w:color="345988"/>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8590A9"/>
              <w:bottom w:val="single" w:sz="8" w:color="345988"/>
            </w:tcBorders>
          </w:tcPr>
          <w:p>
            <w:pPr>
              <w:spacing w:after="0"/>
              <w:rPr>
                <w:sz w:val="21"/>
                <w:szCs w:val="21"/>
                <w:color w:val="auto"/>
              </w:rPr>
            </w:pPr>
          </w:p>
        </w:tc>
        <w:tc>
          <w:tcPr>
            <w:tcW w:w="480" w:type="dxa"/>
            <w:vAlign w:val="bottom"/>
            <w:tcBorders>
              <w:top w:val="single" w:sz="8" w:color="8590A9"/>
              <w:bottom w:val="single" w:sz="8" w:color="345988"/>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1"/>
                <w:szCs w:val="21"/>
                <w:color w:val="auto"/>
              </w:rPr>
            </w:pPr>
          </w:p>
        </w:tc>
        <w:tc>
          <w:tcPr>
            <w:tcW w:w="660" w:type="dxa"/>
            <w:vAlign w:val="bottom"/>
            <w:tcBorders>
              <w:top w:val="single" w:sz="8" w:color="8590A9"/>
              <w:bottom w:val="single" w:sz="8" w:color="345988"/>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8590A9"/>
              <w:bottom w:val="single" w:sz="8" w:color="345988"/>
            </w:tcBorders>
          </w:tcPr>
          <w:p>
            <w:pPr>
              <w:spacing w:after="0"/>
              <w:rPr>
                <w:sz w:val="21"/>
                <w:szCs w:val="21"/>
                <w:color w:val="auto"/>
              </w:rPr>
            </w:pPr>
          </w:p>
        </w:tc>
        <w:tc>
          <w:tcPr>
            <w:tcW w:w="760" w:type="dxa"/>
            <w:vAlign w:val="bottom"/>
            <w:tcBorders>
              <w:top w:val="single" w:sz="8" w:color="8590A9"/>
              <w:bottom w:val="single" w:sz="8" w:color="345988"/>
            </w:tcBorders>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bl>
    <w:p>
      <w:pPr>
        <w:spacing w:after="0" w:line="347" w:lineRule="exact"/>
        <w:rPr>
          <w:sz w:val="20"/>
          <w:szCs w:val="20"/>
          <w:color w:val="auto"/>
        </w:rPr>
      </w:pPr>
    </w:p>
    <w:p>
      <w:pPr>
        <w:sectPr>
          <w:pgSz w:w="11900" w:h="16838" w:orient="portrait"/>
          <w:cols w:equalWidth="0" w:num="2">
            <w:col w:w="6560" w:space="720"/>
            <w:col w:w="4140"/>
          </w:cols>
          <w:pgMar w:left="240" w:top="119" w:right="239" w:bottom="1440" w:gutter="0" w:footer="0" w:header="0"/>
          <w:type w:val="continuous"/>
        </w:sectPr>
      </w:pPr>
    </w:p>
    <w:p>
      <w:pPr>
        <w:ind w:left="360" w:hanging="352"/>
        <w:spacing w:after="0"/>
        <w:tabs>
          <w:tab w:leader="none" w:pos="3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Relative TSR for 2017 was based on the percentile of our TSR relative to the TSR of the constituents of the SNL US REIT Office Index.</w:t>
      </w:r>
    </w:p>
    <w:p>
      <w:pPr>
        <w:spacing w:after="0" w:line="21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reflects the 2017 cash bonuses awarded to Messrs. Holliday, Green and Mathias pursuant to our annual cash bonus program, presented based on the percentages of each executive’s target bonus: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Actual Cash</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060" w:type="dxa"/>
            <w:vAlign w:val="bottom"/>
            <w:gridSpan w:val="2"/>
            <w:vMerge w:val="restart"/>
          </w:tcPr>
          <w:p>
            <w:pPr>
              <w:spacing w:after="0"/>
              <w:rPr>
                <w:sz w:val="20"/>
                <w:szCs w:val="20"/>
                <w:color w:val="auto"/>
              </w:rPr>
            </w:pPr>
            <w:r>
              <w:rPr>
                <w:rFonts w:ascii="Arial" w:cs="Arial" w:eastAsia="Arial" w:hAnsi="Arial"/>
                <w:sz w:val="13"/>
                <w:szCs w:val="13"/>
                <w:b w:val="1"/>
                <w:bCs w:val="1"/>
                <w:color w:val="1A1A1A"/>
              </w:rPr>
              <w:t>Executive</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Target Cash</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Bonus</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345988"/>
              </w:rPr>
              <w:t>Actual Cash</w:t>
            </w:r>
          </w:p>
        </w:tc>
        <w:tc>
          <w:tcPr>
            <w:tcW w:w="0" w:type="dxa"/>
            <w:vAlign w:val="bottom"/>
          </w:tcPr>
          <w:p>
            <w:pPr>
              <w:spacing w:after="0"/>
              <w:rPr>
                <w:sz w:val="1"/>
                <w:szCs w:val="1"/>
                <w:color w:val="auto"/>
              </w:rPr>
            </w:pPr>
          </w:p>
        </w:tc>
      </w:tr>
      <w:tr>
        <w:trPr>
          <w:trHeight w:val="209"/>
        </w:trPr>
        <w:tc>
          <w:tcPr>
            <w:tcW w:w="8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Bonus ($)</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3"/>
                <w:szCs w:val="13"/>
                <w:b w:val="1"/>
                <w:bCs w:val="1"/>
                <w:color w:val="345988"/>
                <w:w w:val="96"/>
              </w:rPr>
              <w:t>(% of Target)</w:t>
            </w:r>
            <w:r>
              <w:rPr>
                <w:rFonts w:ascii="Arial" w:cs="Arial" w:eastAsia="Arial" w:hAnsi="Arial"/>
                <w:sz w:val="22"/>
                <w:szCs w:val="22"/>
                <w:b w:val="1"/>
                <w:bCs w:val="1"/>
                <w:color w:val="345988"/>
                <w:w w:val="96"/>
                <w:vertAlign w:val="superscript"/>
              </w:rPr>
              <w:t>(1)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345988"/>
              </w:rPr>
              <w:t>Bonus ($)</w:t>
            </w:r>
          </w:p>
        </w:tc>
        <w:tc>
          <w:tcPr>
            <w:tcW w:w="0" w:type="dxa"/>
            <w:vAlign w:val="bottom"/>
          </w:tcPr>
          <w:p>
            <w:pPr>
              <w:spacing w:after="0"/>
              <w:rPr>
                <w:sz w:val="1"/>
                <w:szCs w:val="1"/>
                <w:color w:val="auto"/>
              </w:rPr>
            </w:pPr>
          </w:p>
        </w:tc>
      </w:tr>
      <w:tr>
        <w:trPr>
          <w:trHeight w:val="240"/>
        </w:trPr>
        <w:tc>
          <w:tcPr>
            <w:tcW w:w="784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1A1A1A"/>
              </w:rPr>
              <w:t>Marc Holliday</w:t>
            </w:r>
          </w:p>
        </w:tc>
        <w:tc>
          <w:tcPr>
            <w:tcW w:w="220" w:type="dxa"/>
            <w:vAlign w:val="bottom"/>
          </w:tcPr>
          <w:p>
            <w:pPr>
              <w:spacing w:after="0"/>
              <w:rPr>
                <w:sz w:val="20"/>
                <w:szCs w:val="20"/>
                <w:color w:val="auto"/>
              </w:rPr>
            </w:pPr>
          </w:p>
        </w:tc>
        <w:tc>
          <w:tcPr>
            <w:tcW w:w="1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2,700,000</w:t>
            </w:r>
          </w:p>
        </w:tc>
        <w:tc>
          <w:tcPr>
            <w:tcW w:w="160" w:type="dxa"/>
            <w:vAlign w:val="bottom"/>
          </w:tcPr>
          <w:p>
            <w:pPr>
              <w:spacing w:after="0"/>
              <w:rPr>
                <w:sz w:val="20"/>
                <w:szCs w:val="20"/>
                <w:color w:val="auto"/>
              </w:rPr>
            </w:pPr>
          </w:p>
        </w:tc>
        <w:tc>
          <w:tcPr>
            <w:tcW w:w="9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71.75%</w:t>
            </w:r>
          </w:p>
        </w:tc>
        <w:tc>
          <w:tcPr>
            <w:tcW w:w="160" w:type="dxa"/>
            <w:vAlign w:val="bottom"/>
          </w:tcPr>
          <w:p>
            <w:pPr>
              <w:spacing w:after="0"/>
              <w:rPr>
                <w:sz w:val="20"/>
                <w:szCs w:val="20"/>
                <w:color w:val="auto"/>
              </w:rPr>
            </w:pPr>
          </w:p>
        </w:tc>
        <w:tc>
          <w:tcPr>
            <w:tcW w:w="1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1,937,250</w:t>
            </w:r>
          </w:p>
        </w:tc>
        <w:tc>
          <w:tcPr>
            <w:tcW w:w="0" w:type="dxa"/>
            <w:vAlign w:val="bottom"/>
          </w:tcPr>
          <w:p>
            <w:pPr>
              <w:spacing w:after="0"/>
              <w:rPr>
                <w:sz w:val="1"/>
                <w:szCs w:val="1"/>
                <w:color w:val="auto"/>
              </w:rPr>
            </w:pPr>
          </w:p>
        </w:tc>
      </w:tr>
      <w:tr>
        <w:trPr>
          <w:trHeight w:val="236"/>
        </w:trPr>
        <w:tc>
          <w:tcPr>
            <w:tcW w:w="7840" w:type="dxa"/>
            <w:vAlign w:val="bottom"/>
            <w:tcBorders>
              <w:bottom w:val="single" w:sz="8" w:color="8590A9"/>
            </w:tcBorders>
          </w:tcPr>
          <w:p>
            <w:pPr>
              <w:spacing w:after="0"/>
              <w:rPr>
                <w:sz w:val="20"/>
                <w:szCs w:val="20"/>
                <w:color w:val="auto"/>
              </w:rPr>
            </w:pPr>
            <w:r>
              <w:rPr>
                <w:rFonts w:ascii="Arial" w:cs="Arial" w:eastAsia="Arial" w:hAnsi="Arial"/>
                <w:sz w:val="18"/>
                <w:szCs w:val="18"/>
                <w:color w:val="1A1A1A"/>
              </w:rPr>
              <w:t>Stephen L. Green</w:t>
            </w:r>
          </w:p>
        </w:tc>
        <w:tc>
          <w:tcPr>
            <w:tcW w:w="22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1,312,500</w:t>
            </w:r>
          </w:p>
        </w:tc>
        <w:tc>
          <w:tcPr>
            <w:tcW w:w="160" w:type="dxa"/>
            <w:vAlign w:val="bottom"/>
          </w:tcPr>
          <w:p>
            <w:pPr>
              <w:spacing w:after="0"/>
              <w:rPr>
                <w:sz w:val="20"/>
                <w:szCs w:val="20"/>
                <w:color w:val="auto"/>
              </w:rPr>
            </w:pP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71.75%</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938,437</w:t>
            </w:r>
          </w:p>
        </w:tc>
        <w:tc>
          <w:tcPr>
            <w:tcW w:w="0" w:type="dxa"/>
            <w:vAlign w:val="bottom"/>
          </w:tcPr>
          <w:p>
            <w:pPr>
              <w:spacing w:after="0"/>
              <w:rPr>
                <w:sz w:val="1"/>
                <w:szCs w:val="1"/>
                <w:color w:val="auto"/>
              </w:rPr>
            </w:pPr>
          </w:p>
        </w:tc>
      </w:tr>
      <w:tr>
        <w:trPr>
          <w:trHeight w:val="246"/>
        </w:trPr>
        <w:tc>
          <w:tcPr>
            <w:tcW w:w="784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Andrew Mathias</w:t>
            </w:r>
          </w:p>
        </w:tc>
        <w:tc>
          <w:tcPr>
            <w:tcW w:w="220" w:type="dxa"/>
            <w:vAlign w:val="bottom"/>
          </w:tcPr>
          <w:p>
            <w:pPr>
              <w:spacing w:after="0"/>
              <w:rPr>
                <w:sz w:val="21"/>
                <w:szCs w:val="21"/>
                <w:color w:val="auto"/>
              </w:rPr>
            </w:pPr>
          </w:p>
        </w:tc>
        <w:tc>
          <w:tcPr>
            <w:tcW w:w="1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1,400,000</w:t>
            </w:r>
          </w:p>
        </w:tc>
        <w:tc>
          <w:tcPr>
            <w:tcW w:w="160" w:type="dxa"/>
            <w:vAlign w:val="bottom"/>
          </w:tcPr>
          <w:p>
            <w:pPr>
              <w:spacing w:after="0"/>
              <w:rPr>
                <w:sz w:val="21"/>
                <w:szCs w:val="21"/>
                <w:color w:val="auto"/>
              </w:rPr>
            </w:pPr>
          </w:p>
        </w:tc>
        <w:tc>
          <w:tcPr>
            <w:tcW w:w="9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71.75%</w:t>
            </w:r>
          </w:p>
        </w:tc>
        <w:tc>
          <w:tcPr>
            <w:tcW w:w="160" w:type="dxa"/>
            <w:vAlign w:val="bottom"/>
          </w:tcPr>
          <w:p>
            <w:pPr>
              <w:spacing w:after="0"/>
              <w:rPr>
                <w:sz w:val="21"/>
                <w:szCs w:val="21"/>
                <w:color w:val="auto"/>
              </w:rPr>
            </w:pPr>
          </w:p>
        </w:tc>
        <w:tc>
          <w:tcPr>
            <w:tcW w:w="1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1,001,000</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60" w:right="100" w:hanging="352"/>
        <w:spacing w:after="0" w:line="286" w:lineRule="auto"/>
        <w:tabs>
          <w:tab w:leader="none" w:pos="3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Consistent with the timing of prior years’ annual cash bonus determinations, payouts and determinations under the annual cash bonus program were made in December 2017 based on a combination of actual results through that point in time and estimates of full year results.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rigor of the performance targets established by the Committee for our annual cash bonus program, the amounts paid to Messrs.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Holliday, Green and Mathias were significantly reduced for 2017 as compared to 2016, as set forth in the table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345988"/>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2017</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60" w:type="dxa"/>
            <w:vAlign w:val="bottom"/>
            <w:gridSpan w:val="2"/>
            <w:vMerge w:val="restart"/>
          </w:tcPr>
          <w:p>
            <w:pPr>
              <w:spacing w:after="0"/>
              <w:rPr>
                <w:sz w:val="20"/>
                <w:szCs w:val="20"/>
                <w:color w:val="auto"/>
              </w:rPr>
            </w:pPr>
            <w:r>
              <w:rPr>
                <w:rFonts w:ascii="Arial" w:cs="Arial" w:eastAsia="Arial" w:hAnsi="Arial"/>
                <w:sz w:val="13"/>
                <w:szCs w:val="13"/>
                <w:b w:val="1"/>
                <w:bCs w:val="1"/>
                <w:color w:val="1A1A1A"/>
              </w:rPr>
              <w:t>Executive</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8" w:lineRule="exact"/>
              <w:rPr>
                <w:sz w:val="20"/>
                <w:szCs w:val="20"/>
                <w:color w:val="auto"/>
              </w:rPr>
            </w:pPr>
            <w:r>
              <w:rPr>
                <w:rFonts w:ascii="Arial" w:cs="Arial" w:eastAsia="Arial" w:hAnsi="Arial"/>
                <w:sz w:val="13"/>
                <w:szCs w:val="13"/>
                <w:b w:val="1"/>
                <w:bCs w:val="1"/>
                <w:color w:val="345988"/>
              </w:rPr>
              <w:t>Annual Cash</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Annual Cash</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345988"/>
              </w:rPr>
              <w:t>% Change</w:t>
            </w:r>
          </w:p>
        </w:tc>
        <w:tc>
          <w:tcPr>
            <w:tcW w:w="0" w:type="dxa"/>
            <w:vAlign w:val="bottom"/>
          </w:tcPr>
          <w:p>
            <w:pPr>
              <w:spacing w:after="0"/>
              <w:rPr>
                <w:sz w:val="1"/>
                <w:szCs w:val="1"/>
                <w:color w:val="auto"/>
              </w:rPr>
            </w:pPr>
          </w:p>
        </w:tc>
      </w:tr>
      <w:tr>
        <w:trPr>
          <w:trHeight w:val="201"/>
        </w:trPr>
        <w:tc>
          <w:tcPr>
            <w:tcW w:w="8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45988"/>
              </w:rPr>
              <w:t>Bonus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Bonus</w:t>
            </w: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10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1A1A1A"/>
              </w:rPr>
              <w:t>Marc Holliday</w:t>
            </w:r>
          </w:p>
        </w:tc>
        <w:tc>
          <w:tcPr>
            <w:tcW w:w="160" w:type="dxa"/>
            <w:vAlign w:val="bottom"/>
          </w:tcPr>
          <w:p>
            <w:pPr>
              <w:spacing w:after="0"/>
              <w:rPr>
                <w:sz w:val="20"/>
                <w:szCs w:val="20"/>
                <w:color w:val="auto"/>
              </w:rPr>
            </w:pPr>
          </w:p>
        </w:tc>
        <w:tc>
          <w:tcPr>
            <w:tcW w:w="1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2,473,125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1,937,250</w:t>
            </w:r>
          </w:p>
        </w:tc>
        <w:tc>
          <w:tcPr>
            <w:tcW w:w="160" w:type="dxa"/>
            <w:vAlign w:val="bottom"/>
          </w:tcPr>
          <w:p>
            <w:pPr>
              <w:spacing w:after="0"/>
              <w:rPr>
                <w:sz w:val="20"/>
                <w:szCs w:val="20"/>
                <w:color w:val="auto"/>
              </w:rPr>
            </w:pPr>
          </w:p>
        </w:tc>
        <w:tc>
          <w:tcPr>
            <w:tcW w:w="7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8590A9"/>
            </w:tcBorders>
          </w:tcPr>
          <w:p>
            <w:pPr>
              <w:spacing w:after="0"/>
              <w:rPr>
                <w:sz w:val="20"/>
                <w:szCs w:val="20"/>
                <w:color w:val="auto"/>
              </w:rPr>
            </w:pPr>
            <w:r>
              <w:rPr>
                <w:rFonts w:ascii="Arial" w:cs="Arial" w:eastAsia="Arial" w:hAnsi="Arial"/>
                <w:sz w:val="18"/>
                <w:szCs w:val="18"/>
                <w:color w:val="1A1A1A"/>
              </w:rPr>
              <w:t>Stephen L. Green</w:t>
            </w:r>
          </w:p>
        </w:tc>
        <w:tc>
          <w:tcPr>
            <w:tcW w:w="160" w:type="dxa"/>
            <w:vAlign w:val="bottom"/>
          </w:tcPr>
          <w:p>
            <w:pPr>
              <w:spacing w:after="0"/>
              <w:rPr>
                <w:sz w:val="20"/>
                <w:szCs w:val="20"/>
                <w:color w:val="auto"/>
              </w:rPr>
            </w:pPr>
          </w:p>
        </w:tc>
        <w:tc>
          <w:tcPr>
            <w:tcW w:w="1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1,161,718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938,437</w:t>
            </w:r>
          </w:p>
        </w:tc>
        <w:tc>
          <w:tcPr>
            <w:tcW w:w="160" w:type="dxa"/>
            <w:vAlign w:val="bottom"/>
          </w:tcPr>
          <w:p>
            <w:pPr>
              <w:spacing w:after="0"/>
              <w:rPr>
                <w:sz w:val="20"/>
                <w:szCs w:val="20"/>
                <w:color w:val="auto"/>
              </w:rPr>
            </w:pPr>
          </w:p>
        </w:tc>
        <w:tc>
          <w:tcPr>
            <w:tcW w:w="7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6"/>
        </w:trPr>
        <w:tc>
          <w:tcPr>
            <w:tcW w:w="81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Andrew Mathias</w:t>
            </w:r>
          </w:p>
        </w:tc>
        <w:tc>
          <w:tcPr>
            <w:tcW w:w="160" w:type="dxa"/>
            <w:vAlign w:val="bottom"/>
          </w:tcPr>
          <w:p>
            <w:pPr>
              <w:spacing w:after="0"/>
              <w:rPr>
                <w:sz w:val="21"/>
                <w:szCs w:val="21"/>
                <w:color w:val="auto"/>
              </w:rPr>
            </w:pPr>
          </w:p>
        </w:tc>
        <w:tc>
          <w:tcPr>
            <w:tcW w:w="1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1,239,166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1,001,000</w:t>
            </w:r>
          </w:p>
        </w:tc>
        <w:tc>
          <w:tcPr>
            <w:tcW w:w="160" w:type="dxa"/>
            <w:vAlign w:val="bottom"/>
          </w:tcPr>
          <w:p>
            <w:pPr>
              <w:spacing w:after="0"/>
              <w:rPr>
                <w:sz w:val="21"/>
                <w:szCs w:val="21"/>
                <w:color w:val="auto"/>
              </w:rPr>
            </w:pPr>
          </w:p>
        </w:tc>
        <w:tc>
          <w:tcPr>
            <w:tcW w:w="7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9400"/>
        <w:spacing w:after="0"/>
        <w:rPr>
          <w:sz w:val="20"/>
          <w:szCs w:val="20"/>
          <w:color w:val="auto"/>
        </w:rPr>
      </w:pPr>
      <w:r>
        <w:rPr>
          <w:rFonts w:ascii="Arial" w:cs="Arial" w:eastAsia="Arial" w:hAnsi="Arial"/>
          <w:sz w:val="16"/>
          <w:szCs w:val="16"/>
          <w:color w:val="1A1A1A"/>
        </w:rPr>
        <w:t xml:space="preserve">2018 Proxy Statement </w:t>
      </w:r>
      <w:r>
        <w:rPr>
          <w:rFonts w:ascii="Arial" w:cs="Arial" w:eastAsia="Arial" w:hAnsi="Arial"/>
          <w:sz w:val="16"/>
          <w:szCs w:val="16"/>
          <w:color w:val="345988"/>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Annual Equity Bonuses (Top Three Named Executive Officers)</w:t>
      </w:r>
    </w:p>
    <w:p>
      <w:pPr>
        <w:spacing w:after="0" w:line="21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also maintain an equity bonus program for our top three named executive officers, which provides annual bonuses that are determined by the Committee based on the short-term and long-term performance of our Company and the executive, the Committee’s view of appropriate annual incentive awards in light of the executive’s historical compensation, skill, experience and position, competitive market factors and such other factors as are determined appropriate by the Committee.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making these awards for 2017, the Committee sought to find a balance between:</w:t>
      </w:r>
    </w:p>
    <w:p>
      <w:pPr>
        <w:spacing w:after="0" w:line="211" w:lineRule="exact"/>
        <w:rPr>
          <w:sz w:val="20"/>
          <w:szCs w:val="20"/>
          <w:color w:val="auto"/>
        </w:rPr>
      </w:pPr>
    </w:p>
    <w:p>
      <w:pPr>
        <w:ind w:left="400" w:hanging="392"/>
        <w:spacing w:after="0"/>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Acknowledging the significant operational achievements attained during the year, as highlighted above,</w:t>
      </w:r>
    </w:p>
    <w:p>
      <w:pPr>
        <w:spacing w:after="0" w:line="102" w:lineRule="exact"/>
        <w:rPr>
          <w:rFonts w:ascii="Arial" w:cs="Arial" w:eastAsia="Arial" w:hAnsi="Arial"/>
          <w:sz w:val="18"/>
          <w:szCs w:val="18"/>
          <w:color w:val="auto"/>
        </w:rPr>
      </w:pPr>
    </w:p>
    <w:p>
      <w:pPr>
        <w:ind w:left="400" w:right="360" w:hanging="392"/>
        <w:spacing w:after="0" w:line="251" w:lineRule="auto"/>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Ensuring that annual incentive award and total compensation amounts were in line with the prevailing market levels and addressed recruitment and retention needs in the competitive New York City commercial real estate markets where we actively compete for business opportunities and executive talent, including some companies and firms that are not publicly-traded</w:t>
      </w:r>
    </w:p>
    <w:p>
      <w:pPr>
        <w:spacing w:after="0" w:line="64" w:lineRule="exact"/>
        <w:rPr>
          <w:rFonts w:ascii="Arial" w:cs="Arial" w:eastAsia="Arial" w:hAnsi="Arial"/>
          <w:sz w:val="18"/>
          <w:szCs w:val="18"/>
          <w:color w:val="auto"/>
        </w:rPr>
      </w:pPr>
    </w:p>
    <w:p>
      <w:pPr>
        <w:ind w:left="400" w:right="160" w:hanging="392"/>
        <w:spacing w:after="0" w:line="268" w:lineRule="auto"/>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Continuing to ensure our compensation programs create alignment of management and stockholder interests by appropriately rewarding our named executive officers for the attainment of performance achievements that drive long-term value creation</w:t>
      </w:r>
    </w:p>
    <w:p>
      <w:pPr>
        <w:spacing w:after="0" w:line="49" w:lineRule="exact"/>
        <w:rPr>
          <w:rFonts w:ascii="Arial" w:cs="Arial" w:eastAsia="Arial" w:hAnsi="Arial"/>
          <w:sz w:val="18"/>
          <w:szCs w:val="18"/>
          <w:color w:val="auto"/>
        </w:rPr>
      </w:pPr>
    </w:p>
    <w:p>
      <w:pPr>
        <w:ind w:left="400" w:right="320" w:hanging="392"/>
        <w:spacing w:after="0" w:line="251" w:lineRule="auto"/>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Rewarding our continued superior long-term TSR performance as balanced against our disappointing short-term TSR performance. In addition, the Committee based its decisions on our performance as compared to specific company goals and objectives for 2017 that were presented at the 2016 investor day conference, which are repeated below:</w:t>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color w:val="1A1A1A"/>
        </w:rPr>
        <w:t>2017 Goals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65531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5310" cy="1714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1A1A1A"/>
        </w:rPr>
        <w:t>1,600,000 square feet of Manhattan offices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1A1A1A"/>
        </w:rPr>
        <w:t>97% or greater same-store Manhattan portfolio leased occupancy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6553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1A1A1A"/>
        </w:rPr>
        <w:t>11-14% mark-to-market on signed Manhattan office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2.5% same-store cash NOI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Increase growth portfolio NOI by $20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$650 million of office property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$650 million of office property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$100 million increase of debt and preferred equity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$200 million of debt and preferred equity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Issue $250 million index eligible unsecured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1A1A1A"/>
        </w:rPr>
        <w:t>Commence vertical construction at One Vanderbilt by 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6553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1A1A1A"/>
        </w:rPr>
        <w:t>Close with One Vanderbilt JV partner in Q1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Commence 187 Broadway Demolition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Add second debt and preferred equity funding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Complete lease up of 719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Dispose of more than $100 million of suburban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Achieve 7.0x or better net debt to EBITDA (per Fitch)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Rating agency outlook upgrade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TSR greater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531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1A1A"/>
        </w:rPr>
        <w:t>TSR in excess of MSCI US REIT Index by 250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65531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53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345988"/>
        </w:rPr>
        <w:t>2017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27940</wp:posOffset>
            </wp:positionV>
            <wp:extent cx="148844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88440" cy="17145"/>
                    </a:xfrm>
                    <a:prstGeom prst="rect">
                      <a:avLst/>
                    </a:prstGeom>
                    <a:noFill/>
                  </pic:spPr>
                </pic:pic>
              </a:graphicData>
            </a:graphic>
          </wp:anchor>
        </w:drawing>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 million sq. ft.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$286.6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$207.6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Commenced June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Not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TSR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14884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Trailed by (834)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40640</wp:posOffset>
            </wp:positionV>
            <wp:extent cx="148844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88440" cy="171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500" w:space="720"/>
            <w:col w:w="2200"/>
          </w:cols>
          <w:pgMar w:left="240" w:top="119" w:right="239" w:bottom="1440" w:gutter="0" w:footer="0" w:header="0"/>
          <w:type w:val="continuous"/>
        </w:sectPr>
      </w:pPr>
    </w:p>
    <w:p>
      <w:pPr>
        <w:spacing w:after="0" w:line="6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differences in compensation awarded to our named executive officers are generally a function of the executive’s position and authority, as well as the competitive landscape for executives in similar positions. The table below sets forth the annual equity bonus awards that were granted to each of Messrs. Holliday, Green and Mathias for 2016 and 2017, as approved by the Committee: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vMerge w:val="restart"/>
          </w:tcPr>
          <w:p>
            <w:pPr>
              <w:spacing w:after="0"/>
              <w:rPr>
                <w:sz w:val="20"/>
                <w:szCs w:val="20"/>
                <w:color w:val="auto"/>
              </w:rPr>
            </w:pPr>
            <w:r>
              <w:rPr>
                <w:rFonts w:ascii="Arial" w:cs="Arial" w:eastAsia="Arial" w:hAnsi="Arial"/>
                <w:sz w:val="13"/>
                <w:szCs w:val="13"/>
                <w:b w:val="1"/>
                <w:bCs w:val="1"/>
                <w:color w:val="1A1A1A"/>
              </w:rPr>
              <w:t>Executive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45988"/>
              </w:rPr>
              <w:t>2016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2017</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345988"/>
              </w:rPr>
              <w:t>% Change</w:t>
            </w:r>
          </w:p>
        </w:tc>
        <w:tc>
          <w:tcPr>
            <w:tcW w:w="0" w:type="dxa"/>
            <w:vAlign w:val="bottom"/>
          </w:tcPr>
          <w:p>
            <w:pPr>
              <w:spacing w:after="0"/>
              <w:rPr>
                <w:sz w:val="1"/>
                <w:szCs w:val="1"/>
                <w:color w:val="auto"/>
              </w:rPr>
            </w:pPr>
          </w:p>
        </w:tc>
      </w:tr>
      <w:tr>
        <w:trPr>
          <w:trHeight w:val="201"/>
        </w:trPr>
        <w:tc>
          <w:tcPr>
            <w:tcW w:w="8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345988"/>
              </w:rPr>
              <w:t>Equity Bonus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3"/>
                <w:szCs w:val="13"/>
                <w:b w:val="1"/>
                <w:bCs w:val="1"/>
                <w:color w:val="345988"/>
              </w:rPr>
              <w:t>Equity Bonus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20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1A1A1A"/>
              </w:rPr>
              <w:t>Marc Holliday</w:t>
            </w:r>
          </w:p>
        </w:tc>
        <w:tc>
          <w:tcPr>
            <w:tcW w:w="160" w:type="dxa"/>
            <w:vAlign w:val="bottom"/>
          </w:tcPr>
          <w:p>
            <w:pPr>
              <w:spacing w:after="0"/>
              <w:rPr>
                <w:sz w:val="20"/>
                <w:szCs w:val="20"/>
                <w:color w:val="auto"/>
              </w:rPr>
            </w:pPr>
          </w:p>
        </w:tc>
        <w:tc>
          <w:tcPr>
            <w:tcW w:w="1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4,276,875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4,512,750</w:t>
            </w:r>
          </w:p>
        </w:tc>
        <w:tc>
          <w:tcPr>
            <w:tcW w:w="160" w:type="dxa"/>
            <w:vAlign w:val="bottom"/>
          </w:tcPr>
          <w:p>
            <w:pPr>
              <w:spacing w:after="0"/>
              <w:rPr>
                <w:sz w:val="20"/>
                <w:szCs w:val="20"/>
                <w:color w:val="auto"/>
              </w:rPr>
            </w:pPr>
          </w:p>
        </w:tc>
        <w:tc>
          <w:tcPr>
            <w:tcW w:w="6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6"/>
        </w:trPr>
        <w:tc>
          <w:tcPr>
            <w:tcW w:w="8200" w:type="dxa"/>
            <w:vAlign w:val="bottom"/>
            <w:tcBorders>
              <w:bottom w:val="single" w:sz="8" w:color="8590A9"/>
            </w:tcBorders>
          </w:tcPr>
          <w:p>
            <w:pPr>
              <w:spacing w:after="0"/>
              <w:rPr>
                <w:sz w:val="20"/>
                <w:szCs w:val="20"/>
                <w:color w:val="auto"/>
              </w:rPr>
            </w:pPr>
            <w:r>
              <w:rPr>
                <w:rFonts w:ascii="Arial" w:cs="Arial" w:eastAsia="Arial" w:hAnsi="Arial"/>
                <w:sz w:val="18"/>
                <w:szCs w:val="18"/>
                <w:color w:val="1A1A1A"/>
              </w:rPr>
              <w:t>Stephen L. Green</w:t>
            </w:r>
          </w:p>
        </w:tc>
        <w:tc>
          <w:tcPr>
            <w:tcW w:w="160" w:type="dxa"/>
            <w:vAlign w:val="bottom"/>
          </w:tcPr>
          <w:p>
            <w:pPr>
              <w:spacing w:after="0"/>
              <w:rPr>
                <w:sz w:val="20"/>
                <w:szCs w:val="20"/>
                <w:color w:val="auto"/>
              </w:rPr>
            </w:pPr>
          </w:p>
        </w:tc>
        <w:tc>
          <w:tcPr>
            <w:tcW w:w="1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788,282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411,563</w:t>
            </w:r>
          </w:p>
        </w:tc>
        <w:tc>
          <w:tcPr>
            <w:tcW w:w="16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6"/>
        </w:trPr>
        <w:tc>
          <w:tcPr>
            <w:tcW w:w="8200" w:type="dxa"/>
            <w:vAlign w:val="bottom"/>
            <w:tcBorders>
              <w:bottom w:val="single" w:sz="8" w:color="8590A9"/>
            </w:tcBorders>
          </w:tcPr>
          <w:p>
            <w:pPr>
              <w:spacing w:after="0"/>
              <w:rPr>
                <w:sz w:val="20"/>
                <w:szCs w:val="20"/>
                <w:color w:val="auto"/>
              </w:rPr>
            </w:pPr>
            <w:r>
              <w:rPr>
                <w:rFonts w:ascii="Arial" w:cs="Arial" w:eastAsia="Arial" w:hAnsi="Arial"/>
                <w:sz w:val="18"/>
                <w:szCs w:val="18"/>
                <w:color w:val="1A1A1A"/>
              </w:rPr>
              <w:t>Andrew Mathias</w:t>
            </w:r>
          </w:p>
        </w:tc>
        <w:tc>
          <w:tcPr>
            <w:tcW w:w="160" w:type="dxa"/>
            <w:vAlign w:val="bottom"/>
          </w:tcPr>
          <w:p>
            <w:pPr>
              <w:spacing w:after="0"/>
              <w:rPr>
                <w:sz w:val="20"/>
                <w:szCs w:val="20"/>
                <w:color w:val="auto"/>
              </w:rPr>
            </w:pPr>
          </w:p>
        </w:tc>
        <w:tc>
          <w:tcPr>
            <w:tcW w:w="1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3,560,834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3,599,000</w:t>
            </w:r>
          </w:p>
        </w:tc>
        <w:tc>
          <w:tcPr>
            <w:tcW w:w="16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6"/>
        </w:trPr>
        <w:tc>
          <w:tcPr>
            <w:tcW w:w="8200" w:type="dxa"/>
            <w:vAlign w:val="bottom"/>
            <w:tcBorders>
              <w:bottom w:val="single" w:sz="8" w:color="345988"/>
            </w:tcBorders>
          </w:tcPr>
          <w:p>
            <w:pPr>
              <w:spacing w:after="0"/>
              <w:rPr>
                <w:sz w:val="20"/>
                <w:szCs w:val="20"/>
                <w:color w:val="auto"/>
              </w:rPr>
            </w:pPr>
            <w:r>
              <w:rPr>
                <w:rFonts w:ascii="Arial" w:cs="Arial" w:eastAsia="Arial" w:hAnsi="Arial"/>
                <w:sz w:val="18"/>
                <w:szCs w:val="18"/>
                <w:b w:val="1"/>
                <w:bCs w:val="1"/>
                <w:color w:val="1A1A1A"/>
              </w:rPr>
              <w:t>Total</w:t>
            </w:r>
          </w:p>
        </w:tc>
        <w:tc>
          <w:tcPr>
            <w:tcW w:w="160" w:type="dxa"/>
            <w:vAlign w:val="bottom"/>
          </w:tcPr>
          <w:p>
            <w:pPr>
              <w:spacing w:after="0"/>
              <w:rPr>
                <w:sz w:val="21"/>
                <w:szCs w:val="21"/>
                <w:color w:val="auto"/>
              </w:rPr>
            </w:pPr>
          </w:p>
        </w:tc>
        <w:tc>
          <w:tcPr>
            <w:tcW w:w="140" w:type="dxa"/>
            <w:vAlign w:val="bottom"/>
            <w:tcBorders>
              <w:bottom w:val="single" w:sz="8" w:color="345988"/>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345988"/>
            </w:tcBorders>
          </w:tcPr>
          <w:p>
            <w:pPr>
              <w:jc w:val="right"/>
              <w:spacing w:after="0"/>
              <w:rPr>
                <w:sz w:val="20"/>
                <w:szCs w:val="20"/>
                <w:color w:val="auto"/>
              </w:rPr>
            </w:pPr>
            <w:r>
              <w:rPr>
                <w:rFonts w:ascii="Arial" w:cs="Arial" w:eastAsia="Arial" w:hAnsi="Arial"/>
                <w:sz w:val="18"/>
                <w:szCs w:val="18"/>
                <w:b w:val="1"/>
                <w:bCs w:val="1"/>
                <w:color w:val="auto"/>
              </w:rPr>
              <w:t>8,625,991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345988"/>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345988"/>
            </w:tcBorders>
          </w:tcPr>
          <w:p>
            <w:pPr>
              <w:jc w:val="right"/>
              <w:spacing w:after="0"/>
              <w:rPr>
                <w:sz w:val="20"/>
                <w:szCs w:val="20"/>
                <w:color w:val="auto"/>
              </w:rPr>
            </w:pPr>
            <w:r>
              <w:rPr>
                <w:rFonts w:ascii="Arial" w:cs="Arial" w:eastAsia="Arial" w:hAnsi="Arial"/>
                <w:sz w:val="18"/>
                <w:szCs w:val="18"/>
                <w:b w:val="1"/>
                <w:bCs w:val="1"/>
                <w:color w:val="auto"/>
              </w:rPr>
              <w:t>8,523,313</w:t>
            </w:r>
          </w:p>
        </w:tc>
        <w:tc>
          <w:tcPr>
            <w:tcW w:w="160" w:type="dxa"/>
            <w:vAlign w:val="bottom"/>
          </w:tcPr>
          <w:p>
            <w:pPr>
              <w:spacing w:after="0"/>
              <w:rPr>
                <w:sz w:val="21"/>
                <w:szCs w:val="21"/>
                <w:color w:val="auto"/>
              </w:rPr>
            </w:pPr>
          </w:p>
        </w:tc>
        <w:tc>
          <w:tcPr>
            <w:tcW w:w="660" w:type="dxa"/>
            <w:vAlign w:val="bottom"/>
            <w:tcBorders>
              <w:bottom w:val="single" w:sz="8" w:color="345988"/>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00" w:hanging="292"/>
        <w:spacing w:after="0"/>
        <w:tabs>
          <w:tab w:leader="none" w:pos="300" w:val="left"/>
        </w:tabs>
        <w:numPr>
          <w:ilvl w:val="0"/>
          <w:numId w:val="87"/>
        </w:numPr>
        <w:rPr>
          <w:rFonts w:ascii="Arial" w:cs="Arial" w:eastAsia="Arial" w:hAnsi="Arial"/>
          <w:sz w:val="18"/>
          <w:szCs w:val="18"/>
          <w:color w:val="345988"/>
        </w:rPr>
      </w:pPr>
      <w:r>
        <w:rPr>
          <w:rFonts w:ascii="Arial" w:cs="Arial" w:eastAsia="Arial" w:hAnsi="Arial"/>
          <w:sz w:val="18"/>
          <w:szCs w:val="18"/>
          <w:color w:val="1A1A1A"/>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8980"/>
        <w:spacing w:after="0"/>
        <w:rPr>
          <w:sz w:val="20"/>
          <w:szCs w:val="20"/>
          <w:color w:val="auto"/>
        </w:rPr>
      </w:pPr>
      <w:r>
        <w:rPr>
          <w:rFonts w:ascii="Arial" w:cs="Arial" w:eastAsia="Arial" w:hAnsi="Arial"/>
          <w:sz w:val="16"/>
          <w:szCs w:val="16"/>
          <w:u w:val="single" w:color="auto"/>
          <w:color w:val="345988"/>
        </w:rPr>
        <w:t>EXECUTIVE COMPENSATION</w:t>
      </w:r>
    </w:p>
    <w:p>
      <w:pPr>
        <w:spacing w:after="0" w:line="23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amounts of the equity bonus awards for our executives in 2017 as compared to 2016 were primarily determined based on our strong operational achievements and, on an individual basis, the changing role of our Executive Chairman, as balanced against our disappointing short-term TSR performance in 2017. In particular, reflecting our Executive Chairman’s evolving role, we significantly reduced the equity bonus award paid to our Executive Chairman. The 2017 equity bonuses paid to each of our top three named executive officers listed above were paid in early 2018 in the form of LTIP units that vested upon grant, but remain subject to a no-sell restriction until three years after their grant date. Our named executive officers received the following number of LTIP units for these equity bonuses: Mr. Holliday—47,269; Mr. Green—4,311; and Mr. Mathias —37,698.</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Bonuses to Other Executives</w:t>
      </w:r>
    </w:p>
    <w:p>
      <w:pPr>
        <w:spacing w:after="0" w:line="214"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Consistent with our historical practice, annual bonuses for Messrs. DiLiberto and Levine were determined by the Committee in its discretion in substantially the same manner as the equity bonuses for our top three named executive officers. The table below sets forth the annual bonus awards that were granted to Messrs. DiLiberto and Levine for 2016 and 2017, as approved by the Committee, to the extent paid in cash or LTIP units: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00" w:type="dxa"/>
            <w:vAlign w:val="bottom"/>
          </w:tcPr>
          <w:p>
            <w:pPr>
              <w:spacing w:after="0"/>
              <w:rPr>
                <w:sz w:val="20"/>
                <w:szCs w:val="20"/>
                <w:color w:val="auto"/>
              </w:rPr>
            </w:pPr>
            <w:r>
              <w:rPr>
                <w:rFonts w:ascii="Arial" w:cs="Arial" w:eastAsia="Arial" w:hAnsi="Arial"/>
                <w:sz w:val="13"/>
                <w:szCs w:val="13"/>
                <w:b w:val="1"/>
                <w:bCs w:val="1"/>
                <w:color w:val="1A1A1A"/>
              </w:rPr>
              <w:t>Executive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45988"/>
              </w:rPr>
              <w:t>2016 Bonus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2017 Bonus</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345988"/>
              </w:rPr>
              <w:t>% Change</w:t>
            </w:r>
          </w:p>
        </w:tc>
      </w:tr>
      <w:tr>
        <w:trPr>
          <w:trHeight w:val="240"/>
        </w:trPr>
        <w:tc>
          <w:tcPr>
            <w:tcW w:w="820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1A1A1A"/>
              </w:rPr>
              <w:t>Matthew J. DiLiberto</w:t>
            </w:r>
          </w:p>
        </w:tc>
        <w:tc>
          <w:tcPr>
            <w:tcW w:w="160" w:type="dxa"/>
            <w:vAlign w:val="bottom"/>
          </w:tcPr>
          <w:p>
            <w:pPr>
              <w:spacing w:after="0"/>
              <w:rPr>
                <w:sz w:val="20"/>
                <w:szCs w:val="20"/>
                <w:color w:val="auto"/>
              </w:rPr>
            </w:pPr>
          </w:p>
        </w:tc>
        <w:tc>
          <w:tcPr>
            <w:tcW w:w="1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1,700,000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1,900,000</w:t>
            </w:r>
          </w:p>
        </w:tc>
        <w:tc>
          <w:tcPr>
            <w:tcW w:w="160" w:type="dxa"/>
            <w:vAlign w:val="bottom"/>
          </w:tcPr>
          <w:p>
            <w:pPr>
              <w:spacing w:after="0"/>
              <w:rPr>
                <w:sz w:val="20"/>
                <w:szCs w:val="20"/>
                <w:color w:val="auto"/>
              </w:rPr>
            </w:pPr>
          </w:p>
        </w:tc>
        <w:tc>
          <w:tcPr>
            <w:tcW w:w="6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11.8%</w:t>
            </w:r>
          </w:p>
        </w:tc>
      </w:tr>
      <w:tr>
        <w:trPr>
          <w:trHeight w:val="246"/>
        </w:trPr>
        <w:tc>
          <w:tcPr>
            <w:tcW w:w="820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Andrew S. Levine</w:t>
            </w:r>
          </w:p>
        </w:tc>
        <w:tc>
          <w:tcPr>
            <w:tcW w:w="160" w:type="dxa"/>
            <w:vAlign w:val="bottom"/>
          </w:tcPr>
          <w:p>
            <w:pPr>
              <w:spacing w:after="0"/>
              <w:rPr>
                <w:sz w:val="21"/>
                <w:szCs w:val="21"/>
                <w:color w:val="auto"/>
              </w:rPr>
            </w:pPr>
          </w:p>
        </w:tc>
        <w:tc>
          <w:tcPr>
            <w:tcW w:w="1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1,350,000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1,275,000</w:t>
            </w:r>
          </w:p>
        </w:tc>
        <w:tc>
          <w:tcPr>
            <w:tcW w:w="160" w:type="dxa"/>
            <w:vAlign w:val="bottom"/>
          </w:tcPr>
          <w:p>
            <w:pPr>
              <w:spacing w:after="0"/>
              <w:rPr>
                <w:sz w:val="21"/>
                <w:szCs w:val="21"/>
                <w:color w:val="auto"/>
              </w:rPr>
            </w:pPr>
          </w:p>
        </w:tc>
        <w:tc>
          <w:tcPr>
            <w:tcW w:w="6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-5.6%</w:t>
            </w:r>
          </w:p>
        </w:tc>
      </w:tr>
    </w:tbl>
    <w:p>
      <w:pPr>
        <w:spacing w:after="0" w:line="197"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Similar to the annual equity bonus awards that were granted to our top three named executive officers, these annual bonuses for Messrs. DiLiberto and Levine reflected our significant operational achievements for 2017, our continued superior long-term TSR performance and their evolving roles at our company, as balanced against our disappointing short-term TSR performance for 2017. These 2017 bonuses were paid to Messrs. DiLiberto and Levine in early 2018 in the form of cash and LTIP units that vested upon grant, but remain subject to no-sell restriction until three years after their grant date. Mr. DiLiberto received $1,600,000 in cash and 3,142 LTIP units and Mr. Levine received 13,355 LTIP units.</w:t>
      </w:r>
    </w:p>
    <w:p>
      <w:pPr>
        <w:spacing w:after="0" w:line="153"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In addition, during 2017, to recognize the continuing contributions of Messrs. DiLiberto and Levine, the Committee determined to make time-based cash awards of $1,500,000 and $2,000,000, respectively, to aid with retention and provide further incentive for future performance. These cash awards will only be paid to the extent Messrs. DiLiberto and Levine remain employed through specified future dates, with 50% to be paid on December 31, 2019 and 50% to be paid on December 31, 2020.</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Long-Term Equity Incentive Awards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2017, long-term equity incentives were provided to our named executive officers through the grant of Class O LTIP units / stock options, performance-based LTIP units, and time-based LTIP units pursuant to our outperformance plans and in connection with new or extended employment agreements. The majority of these awards included performance-based vesting hurdles that must be met in order for recipients to earn them. The grant of equity awards links a named executive officer’s compensation and net worth directly to the performance of our stock price as well as the achievement of other performance-based vesting hurdles in some cases, which we believe encourages our named executive officers to make decisions with an ownership mentality and provides alignment of interest with our stockholders. The Committee has made long-term equity incentive awards a central part of our executive compensation program due to these features.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Outperformance Plans</w:t>
      </w:r>
    </w:p>
    <w:p>
      <w:pPr>
        <w:spacing w:after="0" w:line="21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 main component of our long-term equity incentive award program has been our outperformance plans. Our outperformance plans provided equity awards to our named executive officers and other employees that were subject to performance-based hurdles based on TSR or stock price appreciation over a multi-year period, and are eligible for potential acceleration in specific, limited circumstances. In addition to the performance-based vesting hurdles, all of these equity awards had additional time-based vesting provisions of four to five years in the aggregate with principally back-end vesting, based on continued employment, which acted as a retention device and provided a strong incentive to the executives to increase stockholder value during the vesting period.</w:t>
      </w:r>
    </w:p>
    <w:p>
      <w:pPr>
        <w:spacing w:after="0" w:line="181"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Our outperformance plans were designed to provide strong and direct alignment of our executive’s interests with long-term stockholder interests. As a result, historically, we provided a meaningful percentage of our executives’ total compensation in the form of equity awards under our outperformance plans.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 conjunction with the Committee’s decision to significantly restructure our CEO’s compensation – as governed by his new employment agreement</w:t>
      </w:r>
    </w:p>
    <w:p>
      <w:pPr>
        <w:spacing w:after="0" w:line="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future long-term equity awards for our CEO will be delivered in the form of performance-based and LTIP units and time-based equity awards as described in this proxy. Our other executive officers are expected to receive similar performance-based LTIP units and time-based equity awards – pending their future employment agreements – that contain similar features, including simplified structure, enhanced performance hurdles and extended performance periods. The Committee believes these enhanced long-term equity incentive awards effectively incentivize outperformance and link it to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35F8C"/>
        </w:rPr>
        <w:t>Terms of the 2014 Outperformance Plan</w:t>
      </w:r>
    </w:p>
    <w:p>
      <w:pPr>
        <w:spacing w:after="0" w:line="21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August 2014, the Committee approved the general terms of our 2014 Outperformance Plan. Under our 2014 Outperformance Plan, participants could earn awards based on our TSR on an absolute basis as well as on a relative basis</w:t>
      </w:r>
    </w:p>
    <w:p>
      <w:pPr>
        <w:spacing w:after="0" w:line="158" w:lineRule="exact"/>
        <w:rPr>
          <w:sz w:val="20"/>
          <w:szCs w:val="20"/>
          <w:color w:val="auto"/>
        </w:rPr>
      </w:pPr>
    </w:p>
    <w:p>
      <w:pPr>
        <w:ind w:left="9400"/>
        <w:spacing w:after="0"/>
        <w:rPr>
          <w:sz w:val="20"/>
          <w:szCs w:val="20"/>
          <w:color w:val="auto"/>
        </w:rPr>
      </w:pPr>
      <w:r>
        <w:rPr>
          <w:rFonts w:ascii="Arial" w:cs="Arial" w:eastAsia="Arial" w:hAnsi="Arial"/>
          <w:sz w:val="16"/>
          <w:szCs w:val="16"/>
          <w:color w:val="1A1A1A"/>
        </w:rPr>
        <w:t xml:space="preserve">2018 Proxy Statement </w:t>
      </w:r>
      <w:r>
        <w:rPr>
          <w:rFonts w:ascii="Arial" w:cs="Arial" w:eastAsia="Arial" w:hAnsi="Arial"/>
          <w:sz w:val="16"/>
          <w:szCs w:val="16"/>
          <w:color w:val="345988"/>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compared to the constituents of the MSCI US REIT Index, or Index Companies, over a three-year performance period beginning on September 1, 2014 and end on August 31, 2017. Awards earned based on absolute TSR would have been determined independently of awards earned based on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51065" cy="5518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1065" cy="551815"/>
                    </a:xfrm>
                    <a:prstGeom prst="rect">
                      <a:avLst/>
                    </a:prstGeom>
                    <a:noFill/>
                  </pic:spPr>
                </pic:pic>
              </a:graphicData>
            </a:graphic>
          </wp:anchor>
        </w:drawing>
      </w:r>
    </w:p>
    <w:p>
      <w:pPr>
        <w:spacing w:after="0" w:line="274" w:lineRule="exact"/>
        <w:rPr>
          <w:sz w:val="20"/>
          <w:szCs w:val="20"/>
          <w:color w:val="auto"/>
        </w:rPr>
      </w:pPr>
    </w:p>
    <w:p>
      <w:pPr>
        <w:ind w:left="140" w:right="220"/>
        <w:spacing w:after="0" w:line="251" w:lineRule="auto"/>
        <w:rPr>
          <w:sz w:val="20"/>
          <w:szCs w:val="20"/>
          <w:color w:val="auto"/>
        </w:rPr>
      </w:pPr>
      <w:r>
        <w:rPr>
          <w:rFonts w:ascii="Arial" w:cs="Arial" w:eastAsia="Arial" w:hAnsi="Arial"/>
          <w:sz w:val="18"/>
          <w:szCs w:val="18"/>
          <w:color w:val="auto"/>
        </w:rPr>
        <w:t xml:space="preserve">In order for participants to have earned the full award under our 2014 Outperformance Plan, our TSR during the performance period must have equaled or exceeded </w:t>
      </w:r>
      <w:r>
        <w:rPr>
          <w:rFonts w:ascii="Arial" w:cs="Arial" w:eastAsia="Arial" w:hAnsi="Arial"/>
          <w:sz w:val="18"/>
          <w:szCs w:val="18"/>
          <w:b w:val="1"/>
          <w:bCs w:val="1"/>
          <w:color w:val="auto"/>
        </w:rPr>
        <w:t>50%</w:t>
      </w:r>
      <w:r>
        <w:rPr>
          <w:rFonts w:ascii="Arial" w:cs="Arial" w:eastAsia="Arial" w:hAnsi="Arial"/>
          <w:sz w:val="18"/>
          <w:szCs w:val="18"/>
          <w:color w:val="auto"/>
        </w:rPr>
        <w:t xml:space="preserve">, which would represent total returns to stockholders in excess of </w:t>
      </w:r>
      <w:r>
        <w:rPr>
          <w:rFonts w:ascii="Arial" w:cs="Arial" w:eastAsia="Arial" w:hAnsi="Arial"/>
          <w:sz w:val="18"/>
          <w:szCs w:val="18"/>
          <w:b w:val="1"/>
          <w:bCs w:val="1"/>
          <w:color w:val="auto"/>
        </w:rPr>
        <w:t>$5 billion</w:t>
      </w:r>
      <w:r>
        <w:rPr>
          <w:rFonts w:ascii="Arial" w:cs="Arial" w:eastAsia="Arial" w:hAnsi="Arial"/>
          <w:sz w:val="18"/>
          <w:szCs w:val="18"/>
          <w:color w:val="auto"/>
        </w:rPr>
        <w:t xml:space="preserve">, and been in the </w:t>
      </w:r>
      <w:r>
        <w:rPr>
          <w:rFonts w:ascii="Arial" w:cs="Arial" w:eastAsia="Arial" w:hAnsi="Arial"/>
          <w:sz w:val="18"/>
          <w:szCs w:val="18"/>
          <w:b w:val="1"/>
          <w:bCs w:val="1"/>
          <w:color w:val="auto"/>
        </w:rPr>
        <w:t>top 25%</w:t>
      </w:r>
      <w:r>
        <w:rPr>
          <w:rFonts w:ascii="Arial" w:cs="Arial" w:eastAsia="Arial" w:hAnsi="Arial"/>
          <w:sz w:val="18"/>
          <w:szCs w:val="18"/>
          <w:color w:val="auto"/>
        </w:rPr>
        <w:t xml:space="preserve"> of Index Companies.</w:t>
      </w:r>
    </w:p>
    <w:p>
      <w:pPr>
        <w:spacing w:after="0" w:line="30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Awards that would have been earned under our 2014 Outperformance Plan would also have been subject to vesting based on continued employment through August 31, 2018, with 50% of the awards earned vesting on August 31, 2017 and the remaining 50% vesting on August 31, 2018. The maximum number of LTIP units that could have been earned under our 2014 Outperformance Plan was 610,000 LTIP units.</w:t>
      </w:r>
    </w:p>
    <w:p>
      <w:pPr>
        <w:spacing w:after="0" w:line="139"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Under the 2014 Outperformance Plan, two-thirds of the LTIP units could have been earned based on our absolute TSR and one-third of the LTIP units could have been earned based on our relative TSR compared to Index Companies. The table below reflects the minimum and maximum thresholds for both the absolute TSR and relative TSR components: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Borders>
              <w:right w:val="single" w:sz="8" w:color="8590A9"/>
            </w:tcBorders>
            <w:gridSpan w:val="2"/>
          </w:tcPr>
          <w:p>
            <w:pPr>
              <w:jc w:val="right"/>
              <w:ind w:right="180"/>
              <w:spacing w:after="0"/>
              <w:rPr>
                <w:sz w:val="20"/>
                <w:szCs w:val="20"/>
                <w:color w:val="auto"/>
              </w:rPr>
            </w:pPr>
            <w:r>
              <w:rPr>
                <w:rFonts w:ascii="Arial" w:cs="Arial" w:eastAsia="Arial" w:hAnsi="Arial"/>
                <w:sz w:val="13"/>
                <w:szCs w:val="13"/>
                <w:b w:val="1"/>
                <w:bCs w:val="1"/>
                <w:color w:val="345988"/>
              </w:rPr>
              <w:t>Percentage of Absolute TSR</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tcPr>
          <w:p>
            <w:pPr>
              <w:jc w:val="right"/>
              <w:spacing w:after="0"/>
              <w:rPr>
                <w:sz w:val="20"/>
                <w:szCs w:val="20"/>
                <w:color w:val="auto"/>
              </w:rPr>
            </w:pPr>
            <w:r>
              <w:rPr>
                <w:rFonts w:ascii="Arial" w:cs="Arial" w:eastAsia="Arial" w:hAnsi="Arial"/>
                <w:sz w:val="13"/>
                <w:szCs w:val="13"/>
                <w:b w:val="1"/>
                <w:bCs w:val="1"/>
                <w:color w:val="345988"/>
              </w:rPr>
              <w:t>Percentage of Relative TSR</w:t>
            </w:r>
          </w:p>
        </w:tc>
        <w:tc>
          <w:tcPr>
            <w:tcW w:w="0" w:type="dxa"/>
            <w:vAlign w:val="bottom"/>
          </w:tcPr>
          <w:p>
            <w:pPr>
              <w:spacing w:after="0"/>
              <w:rPr>
                <w:sz w:val="1"/>
                <w:szCs w:val="1"/>
                <w:color w:val="auto"/>
              </w:rPr>
            </w:pPr>
          </w:p>
        </w:tc>
      </w:tr>
      <w:tr>
        <w:trPr>
          <w:trHeight w:val="148"/>
        </w:trPr>
        <w:tc>
          <w:tcPr>
            <w:tcW w:w="2720" w:type="dxa"/>
            <w:vAlign w:val="bottom"/>
            <w:vMerge w:val="restart"/>
          </w:tcPr>
          <w:p>
            <w:pPr>
              <w:jc w:val="right"/>
              <w:spacing w:after="0"/>
              <w:rPr>
                <w:sz w:val="20"/>
                <w:szCs w:val="20"/>
                <w:color w:val="auto"/>
              </w:rPr>
            </w:pPr>
            <w:r>
              <w:rPr>
                <w:rFonts w:ascii="Arial" w:cs="Arial" w:eastAsia="Arial" w:hAnsi="Arial"/>
                <w:sz w:val="13"/>
                <w:szCs w:val="13"/>
                <w:b w:val="1"/>
                <w:bCs w:val="1"/>
                <w:color w:val="345988"/>
              </w:rPr>
              <w:t>Absolute TSR</w:t>
            </w:r>
          </w:p>
        </w:tc>
        <w:tc>
          <w:tcPr>
            <w:tcW w:w="120" w:type="dxa"/>
            <w:vAlign w:val="bottom"/>
            <w:vMerge w:val="restart"/>
          </w:tcPr>
          <w:p>
            <w:pPr>
              <w:spacing w:after="0"/>
              <w:rPr>
                <w:sz w:val="12"/>
                <w:szCs w:val="12"/>
                <w:color w:val="auto"/>
              </w:rPr>
            </w:pPr>
          </w:p>
        </w:tc>
        <w:tc>
          <w:tcPr>
            <w:tcW w:w="2980" w:type="dxa"/>
            <w:vAlign w:val="bottom"/>
            <w:tcBorders>
              <w:right w:val="single" w:sz="8" w:color="8590A9"/>
            </w:tcBorders>
            <w:gridSpan w:val="2"/>
          </w:tcPr>
          <w:p>
            <w:pPr>
              <w:jc w:val="right"/>
              <w:ind w:right="140"/>
              <w:spacing w:after="0" w:line="148" w:lineRule="exact"/>
              <w:rPr>
                <w:sz w:val="20"/>
                <w:szCs w:val="20"/>
                <w:color w:val="auto"/>
              </w:rPr>
            </w:pPr>
            <w:r>
              <w:rPr>
                <w:rFonts w:ascii="Arial" w:cs="Arial" w:eastAsia="Arial" w:hAnsi="Arial"/>
                <w:sz w:val="13"/>
                <w:szCs w:val="13"/>
                <w:b w:val="1"/>
                <w:bCs w:val="1"/>
                <w:color w:val="345988"/>
              </w:rPr>
              <w:t>LTIP Units Earned</w:t>
            </w:r>
          </w:p>
        </w:tc>
        <w:tc>
          <w:tcPr>
            <w:tcW w:w="120" w:type="dxa"/>
            <w:vAlign w:val="bottom"/>
          </w:tcPr>
          <w:p>
            <w:pPr>
              <w:spacing w:after="0"/>
              <w:rPr>
                <w:sz w:val="12"/>
                <w:szCs w:val="12"/>
                <w:color w:val="auto"/>
              </w:rPr>
            </w:pPr>
          </w:p>
        </w:tc>
        <w:tc>
          <w:tcPr>
            <w:tcW w:w="28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345988"/>
              </w:rPr>
              <w:t>Relative TSR</w:t>
            </w:r>
          </w:p>
        </w:tc>
        <w:tc>
          <w:tcPr>
            <w:tcW w:w="2620" w:type="dxa"/>
            <w:vAlign w:val="bottom"/>
          </w:tcPr>
          <w:p>
            <w:pPr>
              <w:jc w:val="right"/>
              <w:spacing w:after="0" w:line="148" w:lineRule="exact"/>
              <w:rPr>
                <w:sz w:val="20"/>
                <w:szCs w:val="20"/>
                <w:color w:val="auto"/>
              </w:rPr>
            </w:pPr>
            <w:r>
              <w:rPr>
                <w:rFonts w:ascii="Arial" w:cs="Arial" w:eastAsia="Arial" w:hAnsi="Arial"/>
                <w:sz w:val="13"/>
                <w:szCs w:val="13"/>
                <w:b w:val="1"/>
                <w:bCs w:val="1"/>
                <w:color w:val="345988"/>
              </w:rPr>
              <w:t>LTIP Units Earned</w:t>
            </w:r>
          </w:p>
        </w:tc>
        <w:tc>
          <w:tcPr>
            <w:tcW w:w="0" w:type="dxa"/>
            <w:vAlign w:val="bottom"/>
          </w:tcPr>
          <w:p>
            <w:pPr>
              <w:spacing w:after="0"/>
              <w:rPr>
                <w:sz w:val="1"/>
                <w:szCs w:val="1"/>
                <w:color w:val="auto"/>
              </w:rPr>
            </w:pPr>
          </w:p>
        </w:tc>
      </w:tr>
      <w:tr>
        <w:trPr>
          <w:trHeight w:val="192"/>
        </w:trPr>
        <w:tc>
          <w:tcPr>
            <w:tcW w:w="27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980" w:type="dxa"/>
            <w:vAlign w:val="bottom"/>
            <w:tcBorders>
              <w:right w:val="single" w:sz="8" w:color="8590A9"/>
            </w:tcBorders>
            <w:gridSpan w:val="2"/>
          </w:tcPr>
          <w:p>
            <w:pPr>
              <w:jc w:val="right"/>
              <w:ind w:right="140"/>
              <w:spacing w:after="0"/>
              <w:rPr>
                <w:sz w:val="20"/>
                <w:szCs w:val="20"/>
                <w:color w:val="auto"/>
              </w:rPr>
            </w:pPr>
            <w:r>
              <w:rPr>
                <w:rFonts w:ascii="Arial" w:cs="Arial" w:eastAsia="Arial" w:hAnsi="Arial"/>
                <w:sz w:val="13"/>
                <w:szCs w:val="13"/>
                <w:b w:val="1"/>
                <w:bCs w:val="1"/>
                <w:color w:val="345988"/>
              </w:rPr>
              <w:t>(two-thirds of total)</w:t>
            </w:r>
          </w:p>
        </w:tc>
        <w:tc>
          <w:tcPr>
            <w:tcW w:w="120" w:type="dxa"/>
            <w:vAlign w:val="bottom"/>
          </w:tcPr>
          <w:p>
            <w:pPr>
              <w:spacing w:after="0"/>
              <w:rPr>
                <w:sz w:val="16"/>
                <w:szCs w:val="16"/>
                <w:color w:val="auto"/>
              </w:rPr>
            </w:pPr>
          </w:p>
        </w:tc>
        <w:tc>
          <w:tcPr>
            <w:tcW w:w="2860" w:type="dxa"/>
            <w:vAlign w:val="bottom"/>
            <w:gridSpan w:val="2"/>
            <w:vMerge w:val="continue"/>
          </w:tcPr>
          <w:p>
            <w:pPr>
              <w:spacing w:after="0"/>
              <w:rPr>
                <w:sz w:val="16"/>
                <w:szCs w:val="16"/>
                <w:color w:val="auto"/>
              </w:rPr>
            </w:pPr>
          </w:p>
        </w:tc>
        <w:tc>
          <w:tcPr>
            <w:tcW w:w="2620" w:type="dxa"/>
            <w:vAlign w:val="bottom"/>
          </w:tcPr>
          <w:p>
            <w:pPr>
              <w:jc w:val="right"/>
              <w:spacing w:after="0"/>
              <w:rPr>
                <w:sz w:val="20"/>
                <w:szCs w:val="20"/>
                <w:color w:val="auto"/>
              </w:rPr>
            </w:pPr>
            <w:r>
              <w:rPr>
                <w:rFonts w:ascii="Arial" w:cs="Arial" w:eastAsia="Arial" w:hAnsi="Arial"/>
                <w:sz w:val="13"/>
                <w:szCs w:val="13"/>
                <w:b w:val="1"/>
                <w:bCs w:val="1"/>
                <w:color w:val="345988"/>
              </w:rPr>
              <w:t>(one-third of total)</w:t>
            </w:r>
          </w:p>
        </w:tc>
        <w:tc>
          <w:tcPr>
            <w:tcW w:w="0" w:type="dxa"/>
            <w:vAlign w:val="bottom"/>
          </w:tcPr>
          <w:p>
            <w:pPr>
              <w:spacing w:after="0"/>
              <w:rPr>
                <w:sz w:val="1"/>
                <w:szCs w:val="1"/>
                <w:color w:val="auto"/>
              </w:rPr>
            </w:pPr>
          </w:p>
        </w:tc>
      </w:tr>
      <w:tr>
        <w:trPr>
          <w:trHeight w:val="29"/>
        </w:trPr>
        <w:tc>
          <w:tcPr>
            <w:tcW w:w="272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shd w:val="clear" w:color="auto" w:fill="345988"/>
          </w:tcPr>
          <w:p>
            <w:pPr>
              <w:spacing w:after="0"/>
              <w:rPr>
                <w:sz w:val="2"/>
                <w:szCs w:val="2"/>
                <w:color w:val="auto"/>
              </w:rPr>
            </w:pPr>
          </w:p>
        </w:tc>
        <w:tc>
          <w:tcPr>
            <w:tcW w:w="140" w:type="dxa"/>
            <w:vAlign w:val="bottom"/>
            <w:tcBorders>
              <w:right w:val="single" w:sz="8" w:color="8590A9"/>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shd w:val="clear" w:color="auto" w:fill="34598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2720" w:type="dxa"/>
            <w:vAlign w:val="bottom"/>
          </w:tcPr>
          <w:p>
            <w:pPr>
              <w:jc w:val="right"/>
              <w:spacing w:after="0"/>
              <w:rPr>
                <w:sz w:val="20"/>
                <w:szCs w:val="20"/>
                <w:color w:val="auto"/>
              </w:rPr>
            </w:pPr>
            <w:r>
              <w:rPr>
                <w:rFonts w:ascii="Arial" w:cs="Arial" w:eastAsia="Arial" w:hAnsi="Arial"/>
                <w:sz w:val="18"/>
                <w:szCs w:val="18"/>
                <w:color w:val="auto"/>
              </w:rPr>
              <w:t>Less than 25%</w:t>
            </w:r>
          </w:p>
        </w:tc>
        <w:tc>
          <w:tcPr>
            <w:tcW w:w="120" w:type="dxa"/>
            <w:vAlign w:val="bottom"/>
          </w:tcPr>
          <w:p>
            <w:pPr>
              <w:spacing w:after="0"/>
              <w:rPr>
                <w:sz w:val="24"/>
                <w:szCs w:val="24"/>
                <w:color w:val="auto"/>
              </w:rPr>
            </w:pPr>
          </w:p>
        </w:tc>
        <w:tc>
          <w:tcPr>
            <w:tcW w:w="2980" w:type="dxa"/>
            <w:vAlign w:val="bottom"/>
            <w:tcBorders>
              <w:right w:val="single" w:sz="8" w:color="8590A9"/>
            </w:tcBorders>
            <w:gridSpan w:val="2"/>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2860" w:type="dxa"/>
            <w:vAlign w:val="bottom"/>
            <w:gridSpan w:val="2"/>
          </w:tcPr>
          <w:p>
            <w:pPr>
              <w:jc w:val="right"/>
              <w:ind w:right="120"/>
              <w:spacing w:after="0" w:line="310" w:lineRule="exact"/>
              <w:rPr>
                <w:sz w:val="20"/>
                <w:szCs w:val="20"/>
                <w:color w:val="auto"/>
              </w:rPr>
            </w:pPr>
            <w:r>
              <w:rPr>
                <w:rFonts w:ascii="Arial" w:cs="Arial" w:eastAsia="Arial" w:hAnsi="Arial"/>
                <w:sz w:val="18"/>
                <w:szCs w:val="18"/>
                <w:color w:val="auto"/>
              </w:rPr>
              <w:t>Below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26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7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shd w:val="clear" w:color="auto" w:fill="8590A9"/>
          </w:tcPr>
          <w:p>
            <w:pPr>
              <w:spacing w:after="0" w:line="20" w:lineRule="exact"/>
              <w:rPr>
                <w:sz w:val="1"/>
                <w:szCs w:val="1"/>
                <w:color w:val="auto"/>
              </w:rPr>
            </w:pPr>
          </w:p>
        </w:tc>
        <w:tc>
          <w:tcPr>
            <w:tcW w:w="140" w:type="dxa"/>
            <w:vAlign w:val="bottom"/>
            <w:tcBorders>
              <w:right w:val="single" w:sz="8" w:color="8590A9"/>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7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980" w:type="dxa"/>
            <w:vAlign w:val="bottom"/>
            <w:tcBorders>
              <w:right w:val="single" w:sz="8" w:color="8590A9"/>
            </w:tcBorders>
            <w:gridSpan w:val="2"/>
          </w:tcPr>
          <w:p>
            <w:pPr>
              <w:jc w:val="right"/>
              <w:ind w:right="14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4"/>
                <w:szCs w:val="24"/>
                <w:color w:val="auto"/>
              </w:rPr>
            </w:pPr>
          </w:p>
        </w:tc>
        <w:tc>
          <w:tcPr>
            <w:tcW w:w="2860" w:type="dxa"/>
            <w:vAlign w:val="bottom"/>
            <w:gridSpan w:val="2"/>
          </w:tcPr>
          <w:p>
            <w:pPr>
              <w:jc w:val="right"/>
              <w:ind w:right="120"/>
              <w:spacing w:after="0" w:line="303" w:lineRule="exact"/>
              <w:rPr>
                <w:sz w:val="20"/>
                <w:szCs w:val="20"/>
                <w:color w:val="auto"/>
              </w:rPr>
            </w:pPr>
            <w:r>
              <w:rPr>
                <w:rFonts w:ascii="Arial" w:cs="Arial" w:eastAsia="Arial" w:hAnsi="Arial"/>
                <w:sz w:val="18"/>
                <w:szCs w:val="18"/>
                <w:color w:val="auto"/>
              </w:rPr>
              <w:t>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262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27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shd w:val="clear" w:color="auto" w:fill="8590A9"/>
          </w:tcPr>
          <w:p>
            <w:pPr>
              <w:spacing w:after="0" w:line="20" w:lineRule="exact"/>
              <w:rPr>
                <w:sz w:val="1"/>
                <w:szCs w:val="1"/>
                <w:color w:val="auto"/>
              </w:rPr>
            </w:pPr>
          </w:p>
        </w:tc>
        <w:tc>
          <w:tcPr>
            <w:tcW w:w="140" w:type="dxa"/>
            <w:vAlign w:val="bottom"/>
            <w:tcBorders>
              <w:right w:val="single" w:sz="8" w:color="8590A9"/>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720" w:type="dxa"/>
            <w:vAlign w:val="bottom"/>
          </w:tcPr>
          <w:p>
            <w:pPr>
              <w:jc w:val="right"/>
              <w:spacing w:after="0"/>
              <w:rPr>
                <w:sz w:val="20"/>
                <w:szCs w:val="20"/>
                <w:color w:val="auto"/>
              </w:rPr>
            </w:pPr>
            <w:r>
              <w:rPr>
                <w:rFonts w:ascii="Arial" w:cs="Arial" w:eastAsia="Arial" w:hAnsi="Arial"/>
                <w:sz w:val="18"/>
                <w:szCs w:val="18"/>
                <w:color w:val="auto"/>
              </w:rPr>
              <w:t>50% or higher</w:t>
            </w:r>
          </w:p>
        </w:tc>
        <w:tc>
          <w:tcPr>
            <w:tcW w:w="120" w:type="dxa"/>
            <w:vAlign w:val="bottom"/>
          </w:tcPr>
          <w:p>
            <w:pPr>
              <w:spacing w:after="0"/>
              <w:rPr>
                <w:sz w:val="24"/>
                <w:szCs w:val="24"/>
                <w:color w:val="auto"/>
              </w:rPr>
            </w:pPr>
          </w:p>
        </w:tc>
        <w:tc>
          <w:tcPr>
            <w:tcW w:w="2980" w:type="dxa"/>
            <w:vAlign w:val="bottom"/>
            <w:tcBorders>
              <w:right w:val="single" w:sz="8" w:color="8590A9"/>
            </w:tcBorders>
            <w:gridSpan w:val="2"/>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2860" w:type="dxa"/>
            <w:vAlign w:val="bottom"/>
            <w:gridSpan w:val="2"/>
          </w:tcPr>
          <w:p>
            <w:pPr>
              <w:jc w:val="right"/>
              <w:ind w:right="120"/>
              <w:spacing w:after="0" w:line="303" w:lineRule="exact"/>
              <w:rPr>
                <w:sz w:val="20"/>
                <w:szCs w:val="20"/>
                <w:color w:val="auto"/>
              </w:rPr>
            </w:pPr>
            <w:r>
              <w:rPr>
                <w:rFonts w:ascii="Arial" w:cs="Arial" w:eastAsia="Arial" w:hAnsi="Arial"/>
                <w:sz w:val="18"/>
                <w:szCs w:val="18"/>
                <w:color w:val="auto"/>
              </w:rPr>
              <w:t>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or greater</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72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shd w:val="clear" w:color="auto" w:fill="345988"/>
          </w:tcPr>
          <w:p>
            <w:pPr>
              <w:spacing w:after="0"/>
              <w:rPr>
                <w:sz w:val="2"/>
                <w:szCs w:val="2"/>
                <w:color w:val="auto"/>
              </w:rPr>
            </w:pPr>
          </w:p>
        </w:tc>
        <w:tc>
          <w:tcPr>
            <w:tcW w:w="140" w:type="dxa"/>
            <w:vAlign w:val="bottom"/>
            <w:tcBorders>
              <w:right w:val="single" w:sz="8" w:color="8590A9"/>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shd w:val="clear" w:color="auto" w:fill="34598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number of LTIP units that would have been earned if performance was above the minimum thresholds, but below the maximum hurdles, would have been determined based on linear interpolation between the percentages earned at the minimum and maximum thresholds.</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awards under our 2014 Outperformance Plan were made pursuant to which our named executive officers had the opportunity to earn the following LTIP units: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6"/>
          </w:tcPr>
          <w:p>
            <w:pPr>
              <w:jc w:val="right"/>
              <w:ind w:right="160"/>
              <w:spacing w:after="0"/>
              <w:rPr>
                <w:sz w:val="20"/>
                <w:szCs w:val="20"/>
                <w:color w:val="auto"/>
              </w:rPr>
            </w:pPr>
            <w:r>
              <w:rPr>
                <w:rFonts w:ascii="Arial" w:cs="Arial" w:eastAsia="Arial" w:hAnsi="Arial"/>
                <w:sz w:val="13"/>
                <w:szCs w:val="13"/>
                <w:b w:val="1"/>
                <w:bCs w:val="1"/>
                <w:color w:val="345988"/>
              </w:rPr>
              <w:t>Award Opportunity (# of LTIP Units)</w:t>
            </w:r>
          </w:p>
        </w:tc>
        <w:tc>
          <w:tcPr>
            <w:tcW w:w="0" w:type="dxa"/>
            <w:vAlign w:val="bottom"/>
          </w:tcPr>
          <w:p>
            <w:pPr>
              <w:spacing w:after="0"/>
              <w:rPr>
                <w:sz w:val="1"/>
                <w:szCs w:val="1"/>
                <w:color w:val="auto"/>
              </w:rPr>
            </w:pPr>
          </w:p>
        </w:tc>
      </w:tr>
      <w:tr>
        <w:trPr>
          <w:trHeight w:val="38"/>
        </w:trPr>
        <w:tc>
          <w:tcPr>
            <w:tcW w:w="8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345988"/>
            </w:tcBorders>
          </w:tcPr>
          <w:p>
            <w:pPr>
              <w:spacing w:after="0"/>
              <w:rPr>
                <w:sz w:val="3"/>
                <w:szCs w:val="3"/>
                <w:color w:val="auto"/>
              </w:rPr>
            </w:pPr>
          </w:p>
        </w:tc>
        <w:tc>
          <w:tcPr>
            <w:tcW w:w="120" w:type="dxa"/>
            <w:vAlign w:val="bottom"/>
            <w:tcBorders>
              <w:bottom w:val="single" w:sz="8" w:color="345988"/>
            </w:tcBorders>
          </w:tcPr>
          <w:p>
            <w:pPr>
              <w:spacing w:after="0"/>
              <w:rPr>
                <w:sz w:val="3"/>
                <w:szCs w:val="3"/>
                <w:color w:val="auto"/>
              </w:rPr>
            </w:pPr>
          </w:p>
        </w:tc>
        <w:tc>
          <w:tcPr>
            <w:tcW w:w="640" w:type="dxa"/>
            <w:vAlign w:val="bottom"/>
            <w:tcBorders>
              <w:bottom w:val="single" w:sz="8" w:color="345988"/>
            </w:tcBorders>
          </w:tcPr>
          <w:p>
            <w:pPr>
              <w:spacing w:after="0"/>
              <w:rPr>
                <w:sz w:val="3"/>
                <w:szCs w:val="3"/>
                <w:color w:val="auto"/>
              </w:rPr>
            </w:pPr>
          </w:p>
        </w:tc>
        <w:tc>
          <w:tcPr>
            <w:tcW w:w="120" w:type="dxa"/>
            <w:vAlign w:val="bottom"/>
            <w:tcBorders>
              <w:bottom w:val="single" w:sz="8" w:color="345988"/>
            </w:tcBorders>
          </w:tcPr>
          <w:p>
            <w:pPr>
              <w:spacing w:after="0"/>
              <w:rPr>
                <w:sz w:val="3"/>
                <w:szCs w:val="3"/>
                <w:color w:val="auto"/>
              </w:rPr>
            </w:pPr>
          </w:p>
        </w:tc>
        <w:tc>
          <w:tcPr>
            <w:tcW w:w="1040" w:type="dxa"/>
            <w:vAlign w:val="bottom"/>
            <w:tcBorders>
              <w:bottom w:val="single" w:sz="8" w:color="345988"/>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8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345988"/>
              </w:rPr>
              <w:t>Actual Earning</w:t>
            </w:r>
          </w:p>
        </w:tc>
        <w:tc>
          <w:tcPr>
            <w:tcW w:w="0" w:type="dxa"/>
            <w:vAlign w:val="bottom"/>
          </w:tcPr>
          <w:p>
            <w:pPr>
              <w:spacing w:after="0"/>
              <w:rPr>
                <w:sz w:val="1"/>
                <w:szCs w:val="1"/>
                <w:color w:val="auto"/>
              </w:rPr>
            </w:pPr>
          </w:p>
        </w:tc>
      </w:tr>
      <w:tr>
        <w:trPr>
          <w:trHeight w:val="148"/>
        </w:trPr>
        <w:tc>
          <w:tcPr>
            <w:tcW w:w="8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345988"/>
              </w:rPr>
              <w:t>Based on</w:t>
            </w:r>
          </w:p>
        </w:tc>
        <w:tc>
          <w:tcPr>
            <w:tcW w:w="0" w:type="dxa"/>
            <w:vAlign w:val="bottom"/>
          </w:tcPr>
          <w:p>
            <w:pPr>
              <w:spacing w:after="0"/>
              <w:rPr>
                <w:sz w:val="1"/>
                <w:szCs w:val="1"/>
                <w:color w:val="auto"/>
              </w:rPr>
            </w:pPr>
          </w:p>
        </w:tc>
      </w:tr>
      <w:tr>
        <w:trPr>
          <w:trHeight w:val="148"/>
        </w:trPr>
        <w:tc>
          <w:tcPr>
            <w:tcW w:w="8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w:t>
            </w: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345988"/>
              </w:rPr>
              <w:t>Threshold</w:t>
            </w: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345988"/>
              </w:rPr>
              <w:t>Maximum</w:t>
            </w:r>
          </w:p>
        </w:tc>
        <w:tc>
          <w:tcPr>
            <w:tcW w:w="10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Results through</w:t>
            </w:r>
          </w:p>
        </w:tc>
        <w:tc>
          <w:tcPr>
            <w:tcW w:w="0" w:type="dxa"/>
            <w:vAlign w:val="bottom"/>
          </w:tcPr>
          <w:p>
            <w:pPr>
              <w:spacing w:after="0"/>
              <w:rPr>
                <w:sz w:val="1"/>
                <w:szCs w:val="1"/>
                <w:color w:val="auto"/>
              </w:rPr>
            </w:pPr>
          </w:p>
        </w:tc>
      </w:tr>
      <w:tr>
        <w:trPr>
          <w:trHeight w:val="201"/>
        </w:trPr>
        <w:tc>
          <w:tcPr>
            <w:tcW w:w="884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345988"/>
              </w:rPr>
              <w:t>8/31/2017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72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auto"/>
              </w:rPr>
              <w:t>Marc Holliday</w:t>
            </w:r>
          </w:p>
        </w:tc>
        <w:tc>
          <w:tcPr>
            <w:tcW w:w="120" w:type="dxa"/>
            <w:vAlign w:val="bottom"/>
          </w:tcPr>
          <w:p>
            <w:pPr>
              <w:spacing w:after="0"/>
              <w:rPr>
                <w:sz w:val="20"/>
                <w:szCs w:val="20"/>
                <w:color w:val="auto"/>
              </w:rPr>
            </w:pPr>
          </w:p>
        </w:tc>
        <w:tc>
          <w:tcPr>
            <w:tcW w:w="6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43,208</w:t>
            </w:r>
          </w:p>
        </w:tc>
        <w:tc>
          <w:tcPr>
            <w:tcW w:w="120" w:type="dxa"/>
            <w:vAlign w:val="bottom"/>
          </w:tcPr>
          <w:p>
            <w:pPr>
              <w:spacing w:after="0"/>
              <w:rPr>
                <w:sz w:val="20"/>
                <w:szCs w:val="20"/>
                <w:color w:val="auto"/>
              </w:rPr>
            </w:pPr>
          </w:p>
        </w:tc>
        <w:tc>
          <w:tcPr>
            <w:tcW w:w="6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w w:val="95"/>
              </w:rPr>
              <w:t>115,222</w:t>
            </w:r>
          </w:p>
        </w:tc>
        <w:tc>
          <w:tcPr>
            <w:tcW w:w="120" w:type="dxa"/>
            <w:vAlign w:val="bottom"/>
          </w:tcPr>
          <w:p>
            <w:pPr>
              <w:spacing w:after="0"/>
              <w:rPr>
                <w:sz w:val="20"/>
                <w:szCs w:val="20"/>
                <w:color w:val="auto"/>
              </w:rPr>
            </w:pPr>
          </w:p>
        </w:tc>
        <w:tc>
          <w:tcPr>
            <w:tcW w:w="10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8590A9"/>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7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Stephen L. Green</w:t>
            </w:r>
          </w:p>
        </w:tc>
        <w:tc>
          <w:tcPr>
            <w:tcW w:w="12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14,045</w:t>
            </w:r>
          </w:p>
        </w:tc>
        <w:tc>
          <w:tcPr>
            <w:tcW w:w="120" w:type="dxa"/>
            <w:vAlign w:val="bottom"/>
          </w:tcPr>
          <w:p>
            <w:pPr>
              <w:spacing w:after="0"/>
              <w:rPr>
                <w:sz w:val="20"/>
                <w:szCs w:val="20"/>
                <w:color w:val="auto"/>
              </w:rPr>
            </w:pPr>
          </w:p>
        </w:tc>
        <w:tc>
          <w:tcPr>
            <w:tcW w:w="6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37,455</w:t>
            </w:r>
          </w:p>
        </w:tc>
        <w:tc>
          <w:tcPr>
            <w:tcW w:w="120" w:type="dxa"/>
            <w:vAlign w:val="bottom"/>
          </w:tcPr>
          <w:p>
            <w:pPr>
              <w:spacing w:after="0"/>
              <w:rPr>
                <w:sz w:val="20"/>
                <w:szCs w:val="20"/>
                <w:color w:val="auto"/>
              </w:rPr>
            </w:pPr>
          </w:p>
        </w:tc>
        <w:tc>
          <w:tcPr>
            <w:tcW w:w="1060" w:type="dxa"/>
            <w:vAlign w:val="bottom"/>
            <w:tcBorders>
              <w:bottom w:val="single" w:sz="8" w:color="8590A9"/>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Andrew Mathias</w:t>
            </w:r>
          </w:p>
        </w:tc>
        <w:tc>
          <w:tcPr>
            <w:tcW w:w="12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30,500</w:t>
            </w:r>
          </w:p>
        </w:tc>
        <w:tc>
          <w:tcPr>
            <w:tcW w:w="120" w:type="dxa"/>
            <w:vAlign w:val="bottom"/>
          </w:tcPr>
          <w:p>
            <w:pPr>
              <w:spacing w:after="0"/>
              <w:rPr>
                <w:sz w:val="20"/>
                <w:szCs w:val="20"/>
                <w:color w:val="auto"/>
              </w:rPr>
            </w:pPr>
          </w:p>
        </w:tc>
        <w:tc>
          <w:tcPr>
            <w:tcW w:w="6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81,333</w:t>
            </w:r>
          </w:p>
        </w:tc>
        <w:tc>
          <w:tcPr>
            <w:tcW w:w="120" w:type="dxa"/>
            <w:vAlign w:val="bottom"/>
          </w:tcPr>
          <w:p>
            <w:pPr>
              <w:spacing w:after="0"/>
              <w:rPr>
                <w:sz w:val="20"/>
                <w:szCs w:val="20"/>
                <w:color w:val="auto"/>
              </w:rPr>
            </w:pPr>
          </w:p>
        </w:tc>
        <w:tc>
          <w:tcPr>
            <w:tcW w:w="1060" w:type="dxa"/>
            <w:vAlign w:val="bottom"/>
            <w:tcBorders>
              <w:bottom w:val="single" w:sz="8" w:color="8590A9"/>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Matthew J. DiLiberto</w:t>
            </w:r>
          </w:p>
        </w:tc>
        <w:tc>
          <w:tcPr>
            <w:tcW w:w="12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6,621</w:t>
            </w:r>
          </w:p>
        </w:tc>
        <w:tc>
          <w:tcPr>
            <w:tcW w:w="120" w:type="dxa"/>
            <w:vAlign w:val="bottom"/>
          </w:tcPr>
          <w:p>
            <w:pPr>
              <w:spacing w:after="0"/>
              <w:rPr>
                <w:sz w:val="20"/>
                <w:szCs w:val="20"/>
                <w:color w:val="auto"/>
              </w:rPr>
            </w:pPr>
          </w:p>
        </w:tc>
        <w:tc>
          <w:tcPr>
            <w:tcW w:w="6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17,657</w:t>
            </w:r>
          </w:p>
        </w:tc>
        <w:tc>
          <w:tcPr>
            <w:tcW w:w="120" w:type="dxa"/>
            <w:vAlign w:val="bottom"/>
          </w:tcPr>
          <w:p>
            <w:pPr>
              <w:spacing w:after="0"/>
              <w:rPr>
                <w:sz w:val="20"/>
                <w:szCs w:val="20"/>
                <w:color w:val="auto"/>
              </w:rPr>
            </w:pPr>
          </w:p>
        </w:tc>
        <w:tc>
          <w:tcPr>
            <w:tcW w:w="1060" w:type="dxa"/>
            <w:vAlign w:val="bottom"/>
            <w:tcBorders>
              <w:bottom w:val="single" w:sz="8" w:color="8590A9"/>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6"/>
        </w:trPr>
        <w:tc>
          <w:tcPr>
            <w:tcW w:w="872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Andrew S. Levine</w:t>
            </w:r>
          </w:p>
        </w:tc>
        <w:tc>
          <w:tcPr>
            <w:tcW w:w="120" w:type="dxa"/>
            <w:vAlign w:val="bottom"/>
          </w:tcPr>
          <w:p>
            <w:pPr>
              <w:spacing w:after="0"/>
              <w:rPr>
                <w:sz w:val="21"/>
                <w:szCs w:val="21"/>
                <w:color w:val="auto"/>
              </w:rPr>
            </w:pPr>
          </w:p>
        </w:tc>
        <w:tc>
          <w:tcPr>
            <w:tcW w:w="6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7,725</w:t>
            </w:r>
          </w:p>
        </w:tc>
        <w:tc>
          <w:tcPr>
            <w:tcW w:w="120" w:type="dxa"/>
            <w:vAlign w:val="bottom"/>
          </w:tcPr>
          <w:p>
            <w:pPr>
              <w:spacing w:after="0"/>
              <w:rPr>
                <w:sz w:val="21"/>
                <w:szCs w:val="21"/>
                <w:color w:val="auto"/>
              </w:rPr>
            </w:pPr>
          </w:p>
        </w:tc>
        <w:tc>
          <w:tcPr>
            <w:tcW w:w="64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20,600</w:t>
            </w:r>
          </w:p>
        </w:tc>
        <w:tc>
          <w:tcPr>
            <w:tcW w:w="120" w:type="dxa"/>
            <w:vAlign w:val="bottom"/>
          </w:tcPr>
          <w:p>
            <w:pPr>
              <w:spacing w:after="0"/>
              <w:rPr>
                <w:sz w:val="21"/>
                <w:szCs w:val="21"/>
                <w:color w:val="auto"/>
              </w:rPr>
            </w:pPr>
          </w:p>
        </w:tc>
        <w:tc>
          <w:tcPr>
            <w:tcW w:w="1060" w:type="dxa"/>
            <w:vAlign w:val="bottom"/>
            <w:tcBorders>
              <w:bottom w:val="single" w:sz="8" w:color="345988"/>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Pursuant to our employment agreements with Messrs. Holliday and Mathias, we agreed to allocate at least 22.67% and 16.00%, respectively, of the total awards under our 2014 Outperformance Plan to these executives. Prior to the conclusion of the 2014 Outperformance Plan, we allocated 18.9% and 13.3% to Messrs. Holliday and Mathias, respectively, of the total awards under our 2014 Outperformance Plan to which they are entitled, representing the full allocation of LTIP units that each could have earned based on our absolute TSR performance and one-half of the allocation of LTIP units that each could have earned based on our relative TSR performance. Messrs. Holliday and Mathias each waived their right to the remaining LTIP units that they were entitled to be allocated.</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35F8C"/>
        </w:rPr>
        <w:t>No Payout Under the 2014 Outperformance Plan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period of the 2014 Outperformance Plan concluded August 31, 2017, with the following actual performance for the period from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2014 to August 31,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45988"/>
              </w:rPr>
              <w:t>Metric</w:t>
            </w:r>
          </w:p>
        </w:tc>
        <w:tc>
          <w:tcPr>
            <w:tcW w:w="1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345988"/>
              </w:rPr>
              <w:t>Results</w:t>
            </w:r>
          </w:p>
        </w:tc>
        <w:tc>
          <w:tcPr>
            <w:tcW w:w="2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45988"/>
              </w:rPr>
              <w:t>Results relative to Target</w:t>
            </w:r>
          </w:p>
        </w:tc>
        <w:tc>
          <w:tcPr>
            <w:tcW w:w="2740" w:type="dxa"/>
            <w:vAlign w:val="bottom"/>
          </w:tcPr>
          <w:p>
            <w:pPr>
              <w:jc w:val="right"/>
              <w:spacing w:after="0"/>
              <w:rPr>
                <w:sz w:val="20"/>
                <w:szCs w:val="20"/>
                <w:color w:val="auto"/>
              </w:rPr>
            </w:pPr>
            <w:r>
              <w:rPr>
                <w:rFonts w:ascii="Arial" w:cs="Arial" w:eastAsia="Arial" w:hAnsi="Arial"/>
                <w:sz w:val="13"/>
                <w:szCs w:val="13"/>
                <w:b w:val="1"/>
                <w:bCs w:val="1"/>
                <w:color w:val="345988"/>
              </w:rPr>
              <w:t>Percentage of LTIP Units Earned</w:t>
            </w:r>
          </w:p>
        </w:tc>
      </w:tr>
      <w:tr>
        <w:trPr>
          <w:trHeight w:val="38"/>
        </w:trPr>
        <w:tc>
          <w:tcPr>
            <w:tcW w:w="4000" w:type="dxa"/>
            <w:vAlign w:val="bottom"/>
            <w:gridSpan w:val="2"/>
          </w:tcPr>
          <w:p>
            <w:pPr>
              <w:spacing w:after="0"/>
              <w:rPr>
                <w:sz w:val="3"/>
                <w:szCs w:val="3"/>
                <w:color w:val="auto"/>
              </w:rPr>
            </w:pPr>
          </w:p>
        </w:tc>
        <w:tc>
          <w:tcPr>
            <w:tcW w:w="1820" w:type="dxa"/>
            <w:vAlign w:val="bottom"/>
            <w:gridSpan w:val="2"/>
          </w:tcPr>
          <w:p>
            <w:pPr>
              <w:spacing w:after="0"/>
              <w:rPr>
                <w:sz w:val="3"/>
                <w:szCs w:val="3"/>
                <w:color w:val="auto"/>
              </w:rPr>
            </w:pPr>
          </w:p>
        </w:tc>
        <w:tc>
          <w:tcPr>
            <w:tcW w:w="2860" w:type="dxa"/>
            <w:vAlign w:val="bottom"/>
            <w:gridSpan w:val="2"/>
          </w:tcPr>
          <w:p>
            <w:pPr>
              <w:spacing w:after="0"/>
              <w:rPr>
                <w:sz w:val="3"/>
                <w:szCs w:val="3"/>
                <w:color w:val="auto"/>
              </w:rPr>
            </w:pPr>
          </w:p>
        </w:tc>
        <w:tc>
          <w:tcPr>
            <w:tcW w:w="2740" w:type="dxa"/>
            <w:vAlign w:val="bottom"/>
          </w:tcPr>
          <w:p>
            <w:pPr>
              <w:spacing w:after="0"/>
              <w:rPr>
                <w:sz w:val="3"/>
                <w:szCs w:val="3"/>
                <w:color w:val="auto"/>
              </w:rPr>
            </w:pPr>
          </w:p>
        </w:tc>
      </w:tr>
      <w:tr>
        <w:trPr>
          <w:trHeight w:val="240"/>
        </w:trPr>
        <w:tc>
          <w:tcPr>
            <w:tcW w:w="38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Cumulative Absolute TSR</w:t>
            </w:r>
          </w:p>
        </w:tc>
        <w:tc>
          <w:tcPr>
            <w:tcW w:w="120" w:type="dxa"/>
            <w:vAlign w:val="bottom"/>
          </w:tcPr>
          <w:p>
            <w:pPr>
              <w:spacing w:after="0"/>
              <w:rPr>
                <w:sz w:val="20"/>
                <w:szCs w:val="20"/>
                <w:color w:val="auto"/>
              </w:rPr>
            </w:pPr>
          </w:p>
        </w:tc>
        <w:tc>
          <w:tcPr>
            <w:tcW w:w="15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0"/>
                <w:szCs w:val="20"/>
                <w:color w:val="auto"/>
              </w:rPr>
            </w:pPr>
          </w:p>
        </w:tc>
        <w:tc>
          <w:tcPr>
            <w:tcW w:w="27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Below threshold of 25%</w:t>
            </w:r>
          </w:p>
        </w:tc>
        <w:tc>
          <w:tcPr>
            <w:tcW w:w="120" w:type="dxa"/>
            <w:vAlign w:val="bottom"/>
          </w:tcPr>
          <w:p>
            <w:pPr>
              <w:spacing w:after="0"/>
              <w:rPr>
                <w:sz w:val="20"/>
                <w:szCs w:val="20"/>
                <w:color w:val="auto"/>
              </w:rPr>
            </w:pPr>
          </w:p>
        </w:tc>
        <w:tc>
          <w:tcPr>
            <w:tcW w:w="27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0%</w:t>
            </w:r>
          </w:p>
        </w:tc>
      </w:tr>
      <w:tr>
        <w:trPr>
          <w:trHeight w:val="306"/>
        </w:trPr>
        <w:tc>
          <w:tcPr>
            <w:tcW w:w="3880" w:type="dxa"/>
            <w:vAlign w:val="bottom"/>
          </w:tcPr>
          <w:p>
            <w:pPr>
              <w:jc w:val="right"/>
              <w:spacing w:after="0"/>
              <w:rPr>
                <w:sz w:val="20"/>
                <w:szCs w:val="20"/>
                <w:color w:val="auto"/>
              </w:rPr>
            </w:pPr>
            <w:r>
              <w:rPr>
                <w:rFonts w:ascii="Arial" w:cs="Arial" w:eastAsia="Arial" w:hAnsi="Arial"/>
                <w:sz w:val="18"/>
                <w:szCs w:val="18"/>
                <w:color w:val="auto"/>
              </w:rPr>
              <w:t>Relative TSR</w:t>
            </w:r>
          </w:p>
        </w:tc>
        <w:tc>
          <w:tcPr>
            <w:tcW w:w="120" w:type="dxa"/>
            <w:vAlign w:val="bottom"/>
          </w:tcPr>
          <w:p>
            <w:pPr>
              <w:spacing w:after="0"/>
              <w:rPr>
                <w:sz w:val="24"/>
                <w:szCs w:val="24"/>
                <w:color w:val="auto"/>
              </w:rPr>
            </w:pPr>
          </w:p>
        </w:tc>
        <w:tc>
          <w:tcPr>
            <w:tcW w:w="1820" w:type="dxa"/>
            <w:vAlign w:val="bottom"/>
            <w:gridSpan w:val="2"/>
          </w:tcPr>
          <w:p>
            <w:pPr>
              <w:jc w:val="right"/>
              <w:ind w:right="240"/>
              <w:spacing w:after="0" w:line="306" w:lineRule="exact"/>
              <w:rPr>
                <w:sz w:val="20"/>
                <w:szCs w:val="20"/>
                <w:color w:val="auto"/>
              </w:rPr>
            </w:pPr>
            <w:r>
              <w:rPr>
                <w:rFonts w:ascii="Arial" w:cs="Arial" w:eastAsia="Arial" w:hAnsi="Arial"/>
                <w:sz w:val="18"/>
                <w:szCs w:val="18"/>
                <w:color w:val="auto"/>
              </w:rPr>
              <w:t>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2860" w:type="dxa"/>
            <w:vAlign w:val="bottom"/>
            <w:gridSpan w:val="2"/>
          </w:tcPr>
          <w:p>
            <w:pPr>
              <w:jc w:val="right"/>
              <w:ind w:right="120"/>
              <w:spacing w:after="0" w:line="306" w:lineRule="exact"/>
              <w:rPr>
                <w:sz w:val="20"/>
                <w:szCs w:val="20"/>
                <w:color w:val="auto"/>
              </w:rPr>
            </w:pPr>
            <w:r>
              <w:rPr>
                <w:rFonts w:ascii="Arial" w:cs="Arial" w:eastAsia="Arial" w:hAnsi="Arial"/>
                <w:sz w:val="18"/>
                <w:szCs w:val="18"/>
                <w:color w:val="auto"/>
                <w:w w:val="99"/>
              </w:rPr>
              <w:t>Below threshold of 50</w:t>
            </w:r>
            <w:r>
              <w:rPr>
                <w:rFonts w:ascii="Arial" w:cs="Arial" w:eastAsia="Arial" w:hAnsi="Arial"/>
                <w:sz w:val="29"/>
                <w:szCs w:val="29"/>
                <w:color w:val="auto"/>
                <w:w w:val="99"/>
                <w:vertAlign w:val="superscript"/>
              </w:rPr>
              <w:t>th</w:t>
            </w:r>
            <w:r>
              <w:rPr>
                <w:rFonts w:ascii="Arial" w:cs="Arial" w:eastAsia="Arial" w:hAnsi="Arial"/>
                <w:sz w:val="18"/>
                <w:szCs w:val="18"/>
                <w:color w:val="auto"/>
                <w:w w:val="99"/>
              </w:rPr>
              <w:t xml:space="preserve"> percentile</w:t>
            </w:r>
          </w:p>
        </w:tc>
        <w:tc>
          <w:tcPr>
            <w:tcW w:w="2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388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shd w:val="clear" w:color="auto" w:fill="345988"/>
          </w:tcPr>
          <w:p>
            <w:pPr>
              <w:spacing w:after="0"/>
              <w:rPr>
                <w:sz w:val="2"/>
                <w:szCs w:val="2"/>
                <w:color w:val="auto"/>
              </w:rPr>
            </w:pPr>
          </w:p>
        </w:tc>
        <w:tc>
          <w:tcPr>
            <w:tcW w:w="240" w:type="dxa"/>
            <w:vAlign w:val="bottom"/>
          </w:tcPr>
          <w:p>
            <w:pPr>
              <w:spacing w:after="0"/>
              <w:rPr>
                <w:sz w:val="2"/>
                <w:szCs w:val="2"/>
                <w:color w:val="auto"/>
              </w:rPr>
            </w:pPr>
          </w:p>
        </w:tc>
        <w:tc>
          <w:tcPr>
            <w:tcW w:w="274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shd w:val="clear" w:color="auto" w:fill="345988"/>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51065" cy="4146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1065" cy="414655"/>
                    </a:xfrm>
                    <a:prstGeom prst="rect">
                      <a:avLst/>
                    </a:prstGeom>
                    <a:noFill/>
                  </pic:spPr>
                </pic:pic>
              </a:graphicData>
            </a:graphic>
          </wp:anchor>
        </w:drawing>
      </w:r>
    </w:p>
    <w:p>
      <w:pPr>
        <w:spacing w:after="0" w:line="296" w:lineRule="exact"/>
        <w:rPr>
          <w:sz w:val="20"/>
          <w:szCs w:val="20"/>
          <w:color w:val="auto"/>
        </w:rPr>
      </w:pPr>
    </w:p>
    <w:p>
      <w:pPr>
        <w:ind w:left="140" w:right="280"/>
        <w:spacing w:after="0" w:line="280" w:lineRule="auto"/>
        <w:rPr>
          <w:sz w:val="20"/>
          <w:szCs w:val="20"/>
          <w:color w:val="auto"/>
        </w:rPr>
      </w:pPr>
      <w:r>
        <w:rPr>
          <w:rFonts w:ascii="Arial" w:cs="Arial" w:eastAsia="Arial" w:hAnsi="Arial"/>
          <w:sz w:val="18"/>
          <w:szCs w:val="18"/>
          <w:b w:val="1"/>
          <w:bCs w:val="1"/>
          <w:color w:val="auto"/>
        </w:rPr>
        <w:t>Despite the disclosed grant values appearing in our Summary Compensation Tables for fiscal years 2015-2017, our named executive officers ultimately received no payout under the 2014 OPP.</w:t>
      </w:r>
    </w:p>
    <w:p>
      <w:pPr>
        <w:spacing w:after="0" w:line="260" w:lineRule="exact"/>
        <w:rPr>
          <w:sz w:val="20"/>
          <w:szCs w:val="20"/>
          <w:color w:val="auto"/>
        </w:rPr>
      </w:pPr>
    </w:p>
    <w:p>
      <w:pPr>
        <w:ind w:left="300" w:hanging="292"/>
        <w:spacing w:after="0"/>
        <w:tabs>
          <w:tab w:leader="none" w:pos="300" w:val="left"/>
        </w:tabs>
        <w:numPr>
          <w:ilvl w:val="0"/>
          <w:numId w:val="89"/>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8980"/>
        <w:spacing w:after="0"/>
        <w:rPr>
          <w:sz w:val="20"/>
          <w:szCs w:val="20"/>
          <w:color w:val="auto"/>
        </w:rPr>
      </w:pPr>
      <w:r>
        <w:rPr>
          <w:rFonts w:ascii="Arial" w:cs="Arial" w:eastAsia="Arial" w:hAnsi="Arial"/>
          <w:sz w:val="16"/>
          <w:szCs w:val="16"/>
          <w:u w:val="single" w:color="auto"/>
          <w:color w:val="345988"/>
        </w:rPr>
        <w:t>EXECUTIVE COMPENSATION</w:t>
      </w:r>
    </w:p>
    <w:p>
      <w:pPr>
        <w:spacing w:after="0" w:line="180"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To guarantee that our long-term equity incentive awards reward only exceptional returns, our outperformance plans have historically incorporated challenging performance hurdles, as was the case for the 2014 Outperformance Plan. During prior periods where stockholders did not realize superior returns, such as during 2008 and 2009, our outperformance plans did not provide payouts. Due to the variable, at-risk nature of our outperformance plans, our executives must truly drive our overall performance and TSR to earn awards.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Employment Agreement Awards</w:t>
      </w:r>
    </w:p>
    <w:p>
      <w:pPr>
        <w:spacing w:after="0" w:line="16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second main component of our long-term equity incentive award program is equity awards granted in connection with new or extended employment agreements.</w:t>
      </w:r>
    </w:p>
    <w:p>
      <w:pPr>
        <w:spacing w:after="0" w:line="10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These types of employment agreements – and equity award opportunities that correspond with them – are not unusual in the REIT industry. Given the extremely competitive market for talent in the industry, the Compensation Committee has determined that the employment agreements made with our named executive officers and their corresponding equity award opportunities are essential for retaining our leaders and incentivizing performance that creates long-term stockholder value creation.</w:t>
      </w:r>
    </w:p>
    <w:p>
      <w:pPr>
        <w:spacing w:after="0" w:line="125"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typically enter into employment agreements with each of our named executive officers, other than Mr. Green, that have terms of three or four years. In connection with these agreements, we typically grant one or more types of equity awards to our named executive officers that have vesting periods aligned with the terms of these agreements. Vesting of these awards has been based on continued employment and, for a majority of these awards, the achievement of performance hurdles.</w:t>
      </w:r>
    </w:p>
    <w:p>
      <w:pPr>
        <w:spacing w:after="0" w:line="125"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Our employment agreements with Messrs. Holliday and Mathias provided for the grants of the stock options and LTIP units that were made in 2017, as noted in the table below. These long-term equity incentive awards vest over the three-year terms of the employment agreements. Pursuant to these agreements, equity awards were made to Messrs. Holliday and Mathias over several years to avoid the distortion in measuring annual compensation that otherwise might have occurred if all the equity awards were granted in the same year the agreements were executed. The agreements provided that the executives would be entitled to terminate their employment and receive severance payments and benefits if the grants were not made on or before their scheduled vesting dates.</w:t>
      </w:r>
    </w:p>
    <w:p>
      <w:pPr>
        <w:spacing w:after="0" w:line="181" w:lineRule="exact"/>
        <w:rPr>
          <w:sz w:val="20"/>
          <w:szCs w:val="20"/>
          <w:color w:val="auto"/>
        </w:rPr>
      </w:pPr>
    </w:p>
    <w:p>
      <w:pPr>
        <w:jc w:val="both"/>
        <w:ind w:right="300"/>
        <w:spacing w:after="0" w:line="251" w:lineRule="auto"/>
        <w:rPr>
          <w:sz w:val="20"/>
          <w:szCs w:val="20"/>
          <w:color w:val="auto"/>
        </w:rPr>
      </w:pPr>
      <w:r>
        <w:rPr>
          <w:rFonts w:ascii="Arial" w:cs="Arial" w:eastAsia="Arial" w:hAnsi="Arial"/>
          <w:sz w:val="18"/>
          <w:szCs w:val="18"/>
          <w:color w:val="auto"/>
        </w:rPr>
        <w:t>The table below indicates equity awards grants made in accordance with the terms of the employments agreements that were in effect with Mr. Holliday on January 1, 2017 and Mr. Mathias as of January 1, 2017 and summarizes the terms and grant dates of the long-term equity incentive awards made, to our named executive officers pursuant to these employment agreements during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60"/>
              <w:spacing w:after="0"/>
              <w:rPr>
                <w:sz w:val="20"/>
                <w:szCs w:val="20"/>
                <w:color w:val="auto"/>
              </w:rPr>
            </w:pPr>
            <w:r>
              <w:rPr>
                <w:rFonts w:ascii="Arial" w:cs="Arial" w:eastAsia="Arial" w:hAnsi="Arial"/>
                <w:sz w:val="13"/>
                <w:szCs w:val="13"/>
                <w:b w:val="1"/>
                <w:bCs w:val="1"/>
                <w:color w:val="345988"/>
              </w:rPr>
              <w:t>Stock options / Class O LTIP units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jc w:val="right"/>
              <w:ind w:right="423"/>
              <w:spacing w:after="0"/>
              <w:rPr>
                <w:sz w:val="20"/>
                <w:szCs w:val="20"/>
                <w:color w:val="auto"/>
              </w:rPr>
            </w:pPr>
            <w:r>
              <w:rPr>
                <w:rFonts w:ascii="Arial" w:cs="Arial" w:eastAsia="Arial" w:hAnsi="Arial"/>
                <w:sz w:val="13"/>
                <w:szCs w:val="13"/>
                <w:b w:val="1"/>
                <w:bCs w:val="1"/>
                <w:color w:val="345988"/>
              </w:rPr>
              <w:t>Performance-based LTIP units</w:t>
            </w:r>
          </w:p>
        </w:tc>
        <w:tc>
          <w:tcPr>
            <w:tcW w:w="1980" w:type="dxa"/>
            <w:vAlign w:val="bottom"/>
            <w:gridSpan w:val="4"/>
          </w:tcPr>
          <w:p>
            <w:pPr>
              <w:ind w:left="140"/>
              <w:spacing w:after="0"/>
              <w:rPr>
                <w:sz w:val="20"/>
                <w:szCs w:val="20"/>
                <w:color w:val="auto"/>
              </w:rPr>
            </w:pPr>
            <w:r>
              <w:rPr>
                <w:rFonts w:ascii="Arial" w:cs="Arial" w:eastAsia="Arial" w:hAnsi="Arial"/>
                <w:sz w:val="13"/>
                <w:szCs w:val="13"/>
                <w:b w:val="1"/>
                <w:bCs w:val="1"/>
                <w:color w:val="345988"/>
              </w:rPr>
              <w:t>Time-based LTIP units</w:t>
            </w:r>
          </w:p>
        </w:tc>
      </w:tr>
      <w:tr>
        <w:trPr>
          <w:trHeight w:val="38"/>
        </w:trPr>
        <w:tc>
          <w:tcPr>
            <w:tcW w:w="4440" w:type="dxa"/>
            <w:vAlign w:val="bottom"/>
            <w:gridSpan w:val="2"/>
          </w:tcPr>
          <w:p>
            <w:pPr>
              <w:spacing w:after="0"/>
              <w:rPr>
                <w:sz w:val="3"/>
                <w:szCs w:val="3"/>
                <w:color w:val="auto"/>
              </w:rPr>
            </w:pPr>
          </w:p>
        </w:tc>
        <w:tc>
          <w:tcPr>
            <w:tcW w:w="300" w:type="dxa"/>
            <w:vAlign w:val="bottom"/>
            <w:tcBorders>
              <w:bottom w:val="single" w:sz="8" w:color="345988"/>
            </w:tcBorders>
          </w:tcPr>
          <w:p>
            <w:pPr>
              <w:spacing w:after="0"/>
              <w:rPr>
                <w:sz w:val="3"/>
                <w:szCs w:val="3"/>
                <w:color w:val="auto"/>
              </w:rPr>
            </w:pPr>
          </w:p>
        </w:tc>
        <w:tc>
          <w:tcPr>
            <w:tcW w:w="1100" w:type="dxa"/>
            <w:vAlign w:val="bottom"/>
            <w:tcBorders>
              <w:bottom w:val="single" w:sz="8" w:color="345988"/>
            </w:tcBorders>
            <w:gridSpan w:val="2"/>
          </w:tcPr>
          <w:p>
            <w:pPr>
              <w:spacing w:after="0"/>
              <w:rPr>
                <w:sz w:val="3"/>
                <w:szCs w:val="3"/>
                <w:color w:val="auto"/>
              </w:rPr>
            </w:pPr>
          </w:p>
        </w:tc>
        <w:tc>
          <w:tcPr>
            <w:tcW w:w="920" w:type="dxa"/>
            <w:vAlign w:val="bottom"/>
            <w:tcBorders>
              <w:bottom w:val="single" w:sz="8" w:color="345988"/>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Borders>
              <w:bottom w:val="single" w:sz="8" w:color="345988"/>
            </w:tcBorders>
          </w:tcPr>
          <w:p>
            <w:pPr>
              <w:spacing w:after="0"/>
              <w:rPr>
                <w:sz w:val="3"/>
                <w:szCs w:val="3"/>
                <w:color w:val="auto"/>
              </w:rPr>
            </w:pPr>
          </w:p>
        </w:tc>
        <w:tc>
          <w:tcPr>
            <w:tcW w:w="1180" w:type="dxa"/>
            <w:vAlign w:val="bottom"/>
            <w:tcBorders>
              <w:bottom w:val="single" w:sz="8" w:color="345988"/>
            </w:tcBorders>
            <w:gridSpan w:val="2"/>
          </w:tcPr>
          <w:p>
            <w:pPr>
              <w:spacing w:after="0"/>
              <w:rPr>
                <w:sz w:val="3"/>
                <w:szCs w:val="3"/>
                <w:color w:val="auto"/>
              </w:rPr>
            </w:pPr>
          </w:p>
        </w:tc>
        <w:tc>
          <w:tcPr>
            <w:tcW w:w="900" w:type="dxa"/>
            <w:vAlign w:val="bottom"/>
            <w:tcBorders>
              <w:bottom w:val="single" w:sz="8" w:color="345988"/>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bottom w:val="single" w:sz="8" w:color="345988"/>
            </w:tcBorders>
          </w:tcPr>
          <w:p>
            <w:pPr>
              <w:spacing w:after="0"/>
              <w:rPr>
                <w:sz w:val="3"/>
                <w:szCs w:val="3"/>
                <w:color w:val="auto"/>
              </w:rPr>
            </w:pPr>
          </w:p>
        </w:tc>
        <w:tc>
          <w:tcPr>
            <w:tcW w:w="1040" w:type="dxa"/>
            <w:vAlign w:val="bottom"/>
            <w:tcBorders>
              <w:bottom w:val="single" w:sz="8" w:color="345988"/>
            </w:tcBorders>
            <w:gridSpan w:val="2"/>
          </w:tcPr>
          <w:p>
            <w:pPr>
              <w:spacing w:after="0"/>
              <w:rPr>
                <w:sz w:val="3"/>
                <w:szCs w:val="3"/>
                <w:color w:val="auto"/>
              </w:rPr>
            </w:pPr>
          </w:p>
        </w:tc>
        <w:tc>
          <w:tcPr>
            <w:tcW w:w="920" w:type="dxa"/>
            <w:vAlign w:val="bottom"/>
            <w:tcBorders>
              <w:bottom w:val="single" w:sz="8" w:color="345988"/>
            </w:tcBorders>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4440" w:type="dxa"/>
            <w:vAlign w:val="bottom"/>
            <w:gridSpan w:val="2"/>
          </w:tcPr>
          <w:p>
            <w:pPr>
              <w:spacing w:after="0"/>
              <w:rPr>
                <w:sz w:val="20"/>
                <w:szCs w:val="20"/>
                <w:color w:val="auto"/>
              </w:rPr>
            </w:pPr>
            <w:r>
              <w:rPr>
                <w:rFonts w:ascii="Arial" w:cs="Arial" w:eastAsia="Arial" w:hAnsi="Arial"/>
                <w:sz w:val="13"/>
                <w:szCs w:val="13"/>
                <w:b w:val="1"/>
                <w:bCs w:val="1"/>
                <w:color w:val="auto"/>
              </w:rPr>
              <w:t>Executive</w:t>
            </w:r>
          </w:p>
        </w:tc>
        <w:tc>
          <w:tcPr>
            <w:tcW w:w="30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b w:val="1"/>
                <w:bCs w:val="1"/>
                <w:color w:val="345988"/>
              </w:rPr>
              <w:t>Grant Value</w:t>
            </w:r>
          </w:p>
        </w:tc>
        <w:tc>
          <w:tcPr>
            <w:tcW w:w="980" w:type="dxa"/>
            <w:vAlign w:val="bottom"/>
            <w:gridSpan w:val="2"/>
          </w:tcPr>
          <w:p>
            <w:pPr>
              <w:ind w:left="200"/>
              <w:spacing w:after="0"/>
              <w:rPr>
                <w:sz w:val="20"/>
                <w:szCs w:val="20"/>
                <w:color w:val="auto"/>
              </w:rPr>
            </w:pPr>
            <w:r>
              <w:rPr>
                <w:rFonts w:ascii="Arial" w:cs="Arial" w:eastAsia="Arial" w:hAnsi="Arial"/>
                <w:sz w:val="13"/>
                <w:szCs w:val="13"/>
                <w:b w:val="1"/>
                <w:bCs w:val="1"/>
                <w:color w:val="345988"/>
              </w:rPr>
              <w:t># of 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3"/>
                <w:szCs w:val="13"/>
                <w:b w:val="1"/>
                <w:bCs w:val="1"/>
                <w:color w:val="345988"/>
              </w:rPr>
              <w:t>Grant Value</w:t>
            </w:r>
          </w:p>
        </w:tc>
        <w:tc>
          <w:tcPr>
            <w:tcW w:w="1280" w:type="dxa"/>
            <w:vAlign w:val="bottom"/>
            <w:gridSpan w:val="3"/>
          </w:tcPr>
          <w:p>
            <w:pPr>
              <w:jc w:val="right"/>
              <w:ind w:right="303"/>
              <w:spacing w:after="0"/>
              <w:rPr>
                <w:sz w:val="20"/>
                <w:szCs w:val="20"/>
                <w:color w:val="auto"/>
              </w:rPr>
            </w:pPr>
            <w:r>
              <w:rPr>
                <w:rFonts w:ascii="Arial" w:cs="Arial" w:eastAsia="Arial" w:hAnsi="Arial"/>
                <w:sz w:val="13"/>
                <w:szCs w:val="13"/>
                <w:b w:val="1"/>
                <w:bCs w:val="1"/>
                <w:color w:val="345988"/>
              </w:rPr>
              <w:t># of Shares</w:t>
            </w: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345988"/>
              </w:rPr>
              <w:t>Grant Value</w:t>
            </w:r>
          </w:p>
        </w:tc>
        <w:tc>
          <w:tcPr>
            <w:tcW w:w="940" w:type="dxa"/>
            <w:vAlign w:val="bottom"/>
            <w:gridSpan w:val="2"/>
          </w:tcPr>
          <w:p>
            <w:pPr>
              <w:ind w:left="200"/>
              <w:spacing w:after="0"/>
              <w:rPr>
                <w:sz w:val="20"/>
                <w:szCs w:val="20"/>
                <w:color w:val="auto"/>
              </w:rPr>
            </w:pPr>
            <w:r>
              <w:rPr>
                <w:rFonts w:ascii="Arial" w:cs="Arial" w:eastAsia="Arial" w:hAnsi="Arial"/>
                <w:sz w:val="13"/>
                <w:szCs w:val="13"/>
                <w:b w:val="1"/>
                <w:bCs w:val="1"/>
                <w:color w:val="345988"/>
              </w:rPr>
              <w:t># of Shares</w:t>
            </w:r>
          </w:p>
        </w:tc>
      </w:tr>
      <w:tr>
        <w:trPr>
          <w:trHeight w:val="38"/>
        </w:trPr>
        <w:tc>
          <w:tcPr>
            <w:tcW w:w="44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940" w:type="dxa"/>
            <w:vAlign w:val="bottom"/>
            <w:gridSpan w:val="2"/>
          </w:tcPr>
          <w:p>
            <w:pPr>
              <w:spacing w:after="0"/>
              <w:rPr>
                <w:sz w:val="3"/>
                <w:szCs w:val="3"/>
                <w:color w:val="auto"/>
              </w:rPr>
            </w:pPr>
          </w:p>
        </w:tc>
      </w:tr>
      <w:tr>
        <w:trPr>
          <w:trHeight w:val="240"/>
        </w:trPr>
        <w:tc>
          <w:tcPr>
            <w:tcW w:w="432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auto"/>
              </w:rPr>
              <w:t>Marc Holiday</w:t>
            </w:r>
          </w:p>
        </w:tc>
        <w:tc>
          <w:tcPr>
            <w:tcW w:w="120" w:type="dxa"/>
            <w:vAlign w:val="bottom"/>
          </w:tcPr>
          <w:p>
            <w:pPr>
              <w:spacing w:after="0"/>
              <w:rPr>
                <w:sz w:val="20"/>
                <w:szCs w:val="20"/>
                <w:color w:val="auto"/>
              </w:rPr>
            </w:pPr>
          </w:p>
        </w:tc>
        <w:tc>
          <w:tcPr>
            <w:tcW w:w="300" w:type="dxa"/>
            <w:vAlign w:val="bottom"/>
            <w:tcBorders>
              <w:top w:val="single" w:sz="8" w:color="345988"/>
              <w:bottom w:val="single" w:sz="8" w:color="8590A9"/>
            </w:tcBorders>
          </w:tcPr>
          <w:p>
            <w:pPr>
              <w:jc w:val="right"/>
              <w:ind w:right="12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2,196,857</w:t>
            </w:r>
          </w:p>
        </w:tc>
        <w:tc>
          <w:tcPr>
            <w:tcW w:w="120" w:type="dxa"/>
            <w:vAlign w:val="bottom"/>
          </w:tcPr>
          <w:p>
            <w:pPr>
              <w:spacing w:after="0"/>
              <w:rPr>
                <w:sz w:val="20"/>
                <w:szCs w:val="20"/>
                <w:color w:val="auto"/>
              </w:rPr>
            </w:pPr>
          </w:p>
        </w:tc>
        <w:tc>
          <w:tcPr>
            <w:tcW w:w="92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105,000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6,873,737</w:t>
            </w:r>
          </w:p>
        </w:tc>
        <w:tc>
          <w:tcPr>
            <w:tcW w:w="120" w:type="dxa"/>
            <w:vAlign w:val="bottom"/>
          </w:tcPr>
          <w:p>
            <w:pPr>
              <w:spacing w:after="0"/>
              <w:rPr>
                <w:sz w:val="20"/>
                <w:szCs w:val="20"/>
                <w:color w:val="auto"/>
              </w:rPr>
            </w:pPr>
          </w:p>
        </w:tc>
        <w:tc>
          <w:tcPr>
            <w:tcW w:w="90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76,980</w:t>
            </w:r>
          </w:p>
        </w:tc>
        <w:tc>
          <w:tcPr>
            <w:tcW w:w="140" w:type="dxa"/>
            <w:vAlign w:val="bottom"/>
          </w:tcPr>
          <w:p>
            <w:pPr>
              <w:spacing w:after="0"/>
              <w:rPr>
                <w:sz w:val="20"/>
                <w:szCs w:val="20"/>
                <w:color w:val="auto"/>
              </w:rPr>
            </w:pPr>
          </w:p>
        </w:tc>
        <w:tc>
          <w:tcPr>
            <w:tcW w:w="240" w:type="dxa"/>
            <w:vAlign w:val="bottom"/>
            <w:tcBorders>
              <w:top w:val="single" w:sz="8" w:color="345988"/>
              <w:bottom w:val="single" w:sz="8" w:color="8590A9"/>
            </w:tcBorders>
          </w:tcPr>
          <w:p>
            <w:pPr>
              <w:spacing w:after="0"/>
              <w:rPr>
                <w:sz w:val="20"/>
                <w:szCs w:val="20"/>
                <w:color w:val="auto"/>
              </w:rPr>
            </w:pPr>
          </w:p>
        </w:tc>
        <w:tc>
          <w:tcPr>
            <w:tcW w:w="92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6"/>
        </w:trPr>
        <w:tc>
          <w:tcPr>
            <w:tcW w:w="432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Andrew Mathias</w:t>
            </w:r>
          </w:p>
        </w:tc>
        <w:tc>
          <w:tcPr>
            <w:tcW w:w="120" w:type="dxa"/>
            <w:vAlign w:val="bottom"/>
          </w:tcPr>
          <w:p>
            <w:pPr>
              <w:spacing w:after="0"/>
              <w:rPr>
                <w:sz w:val="21"/>
                <w:szCs w:val="21"/>
                <w:color w:val="auto"/>
              </w:rPr>
            </w:pPr>
          </w:p>
        </w:tc>
        <w:tc>
          <w:tcPr>
            <w:tcW w:w="300" w:type="dxa"/>
            <w:vAlign w:val="bottom"/>
            <w:tcBorders>
              <w:bottom w:val="single" w:sz="8" w:color="345988"/>
            </w:tcBorders>
          </w:tcPr>
          <w:p>
            <w:pPr>
              <w:spacing w:after="0"/>
              <w:rPr>
                <w:sz w:val="21"/>
                <w:szCs w:val="21"/>
                <w:color w:val="auto"/>
              </w:rPr>
            </w:pPr>
          </w:p>
        </w:tc>
        <w:tc>
          <w:tcPr>
            <w:tcW w:w="9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345988"/>
            </w:tcBorders>
          </w:tcPr>
          <w:p>
            <w:pPr>
              <w:spacing w:after="0"/>
              <w:rPr>
                <w:sz w:val="21"/>
                <w:szCs w:val="21"/>
                <w:color w:val="auto"/>
              </w:rPr>
            </w:pPr>
          </w:p>
        </w:tc>
        <w:tc>
          <w:tcPr>
            <w:tcW w:w="10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Borders>
              <w:bottom w:val="single" w:sz="8" w:color="345988"/>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4,870,459</w:t>
            </w:r>
          </w:p>
        </w:tc>
        <w:tc>
          <w:tcPr>
            <w:tcW w:w="120" w:type="dxa"/>
            <w:vAlign w:val="bottom"/>
          </w:tcPr>
          <w:p>
            <w:pPr>
              <w:spacing w:after="0"/>
              <w:rPr>
                <w:sz w:val="21"/>
                <w:szCs w:val="21"/>
                <w:color w:val="auto"/>
              </w:rPr>
            </w:pPr>
          </w:p>
        </w:tc>
        <w:tc>
          <w:tcPr>
            <w:tcW w:w="9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54,545</w:t>
            </w:r>
          </w:p>
        </w:tc>
        <w:tc>
          <w:tcPr>
            <w:tcW w:w="20" w:type="dxa"/>
            <w:vAlign w:val="bottom"/>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35F8C"/>
        </w:rPr>
        <w:t>Description of Awards</w:t>
      </w:r>
    </w:p>
    <w:p>
      <w:pPr>
        <w:spacing w:after="0" w:line="208" w:lineRule="exact"/>
        <w:rPr>
          <w:sz w:val="20"/>
          <w:szCs w:val="20"/>
          <w:color w:val="auto"/>
        </w:rPr>
      </w:pPr>
    </w:p>
    <w:p>
      <w:pPr>
        <w:ind w:left="540" w:hanging="263"/>
        <w:spacing w:after="0"/>
        <w:tabs>
          <w:tab w:leader="none" w:pos="540" w:val="left"/>
        </w:tabs>
        <w:numPr>
          <w:ilvl w:val="0"/>
          <w:numId w:val="90"/>
        </w:numPr>
        <w:rPr>
          <w:rFonts w:ascii="Arial" w:cs="Arial" w:eastAsia="Arial" w:hAnsi="Arial"/>
          <w:sz w:val="17"/>
          <w:szCs w:val="17"/>
          <w:color w:val="345988"/>
        </w:rPr>
      </w:pPr>
      <w:r>
        <w:rPr>
          <w:rFonts w:ascii="Arial" w:cs="Arial" w:eastAsia="Arial" w:hAnsi="Arial"/>
          <w:sz w:val="18"/>
          <w:szCs w:val="18"/>
          <w:u w:val="single" w:color="auto"/>
          <w:color w:val="auto"/>
        </w:rPr>
        <w:t>Stock options / Class O LTIP units</w:t>
      </w:r>
      <w:r>
        <w:rPr>
          <w:rFonts w:ascii="Arial" w:cs="Arial" w:eastAsia="Arial" w:hAnsi="Arial"/>
          <w:sz w:val="18"/>
          <w:szCs w:val="18"/>
          <w:color w:val="auto"/>
        </w:rPr>
        <w:t>: Vest one-year after grant date; 50% expires 5 years after grant; 50% expires 10 years after grant</w:t>
      </w:r>
    </w:p>
    <w:p>
      <w:pPr>
        <w:spacing w:after="0" w:line="102" w:lineRule="exact"/>
        <w:rPr>
          <w:rFonts w:ascii="Arial" w:cs="Arial" w:eastAsia="Arial" w:hAnsi="Arial"/>
          <w:sz w:val="17"/>
          <w:szCs w:val="17"/>
          <w:color w:val="345988"/>
        </w:rPr>
      </w:pPr>
    </w:p>
    <w:p>
      <w:pPr>
        <w:ind w:left="540" w:right="180" w:hanging="263"/>
        <w:spacing w:after="0" w:line="254" w:lineRule="auto"/>
        <w:tabs>
          <w:tab w:leader="none" w:pos="540" w:val="left"/>
        </w:tabs>
        <w:numPr>
          <w:ilvl w:val="0"/>
          <w:numId w:val="90"/>
        </w:numPr>
        <w:rPr>
          <w:rFonts w:ascii="Arial" w:cs="Arial" w:eastAsia="Arial" w:hAnsi="Arial"/>
          <w:sz w:val="17"/>
          <w:szCs w:val="17"/>
          <w:color w:val="345988"/>
        </w:rPr>
      </w:pPr>
      <w:r>
        <w:rPr>
          <w:rFonts w:ascii="Arial" w:cs="Arial" w:eastAsia="Arial" w:hAnsi="Arial"/>
          <w:sz w:val="18"/>
          <w:szCs w:val="18"/>
          <w:u w:val="single" w:color="auto"/>
          <w:color w:val="auto"/>
        </w:rPr>
        <w:t>Performance-based LTIP units</w:t>
      </w:r>
      <w:r>
        <w:rPr>
          <w:rFonts w:ascii="Arial" w:cs="Arial" w:eastAsia="Arial" w:hAnsi="Arial"/>
          <w:sz w:val="18"/>
          <w:szCs w:val="18"/>
          <w:color w:val="auto"/>
        </w:rPr>
        <w:t>: No vesting unless threshold performance criteria is met; between 50% and 100% of award may vest based on achievement of one of the following from the prior year, with amount vesting determined by straight line interpolation between the threshold and maximum targets; two year post-vesting sale prohibition:</w:t>
      </w:r>
    </w:p>
    <w:p>
      <w:pPr>
        <w:spacing w:after="0" w:line="56" w:lineRule="exact"/>
        <w:rPr>
          <w:rFonts w:ascii="Arial" w:cs="Arial" w:eastAsia="Arial" w:hAnsi="Arial"/>
          <w:sz w:val="17"/>
          <w:szCs w:val="17"/>
          <w:color w:val="345988"/>
        </w:rPr>
      </w:pPr>
    </w:p>
    <w:p>
      <w:pPr>
        <w:ind w:left="800" w:hanging="253"/>
        <w:spacing w:after="0"/>
        <w:tabs>
          <w:tab w:leader="none" w:pos="800" w:val="left"/>
        </w:tabs>
        <w:numPr>
          <w:ilvl w:val="1"/>
          <w:numId w:val="90"/>
        </w:numPr>
        <w:rPr>
          <w:rFonts w:ascii="Arial" w:cs="Arial" w:eastAsia="Arial" w:hAnsi="Arial"/>
          <w:sz w:val="17"/>
          <w:szCs w:val="17"/>
          <w:color w:val="345988"/>
        </w:rPr>
      </w:pPr>
      <w:r>
        <w:rPr>
          <w:rFonts w:ascii="Arial" w:cs="Arial" w:eastAsia="Arial" w:hAnsi="Arial"/>
          <w:sz w:val="18"/>
          <w:szCs w:val="18"/>
          <w:color w:val="auto"/>
        </w:rPr>
        <w:t>FFO growth of 5-8%</w:t>
      </w:r>
    </w:p>
    <w:p>
      <w:pPr>
        <w:spacing w:after="0" w:line="17" w:lineRule="exact"/>
        <w:rPr>
          <w:rFonts w:ascii="Arial" w:cs="Arial" w:eastAsia="Arial" w:hAnsi="Arial"/>
          <w:sz w:val="17"/>
          <w:szCs w:val="17"/>
          <w:color w:val="345988"/>
        </w:rPr>
      </w:pPr>
    </w:p>
    <w:p>
      <w:pPr>
        <w:ind w:left="800" w:hanging="253"/>
        <w:spacing w:after="0" w:line="234" w:lineRule="auto"/>
        <w:tabs>
          <w:tab w:leader="none" w:pos="800" w:val="left"/>
        </w:tabs>
        <w:numPr>
          <w:ilvl w:val="1"/>
          <w:numId w:val="90"/>
        </w:numPr>
        <w:rPr>
          <w:rFonts w:ascii="Arial" w:cs="Arial" w:eastAsia="Arial" w:hAnsi="Arial"/>
          <w:sz w:val="17"/>
          <w:szCs w:val="17"/>
          <w:color w:val="345988"/>
        </w:rPr>
      </w:pPr>
      <w:r>
        <w:rPr>
          <w:rFonts w:ascii="Arial" w:cs="Arial" w:eastAsia="Arial" w:hAnsi="Arial"/>
          <w:sz w:val="18"/>
          <w:szCs w:val="18"/>
          <w:color w:val="auto"/>
        </w:rPr>
        <w:t>TSR of 5-8%</w:t>
      </w:r>
    </w:p>
    <w:p>
      <w:pPr>
        <w:ind w:left="800" w:right="760" w:hanging="253"/>
        <w:spacing w:after="0" w:line="250" w:lineRule="auto"/>
        <w:tabs>
          <w:tab w:leader="none" w:pos="800" w:val="left"/>
        </w:tabs>
        <w:numPr>
          <w:ilvl w:val="1"/>
          <w:numId w:val="90"/>
        </w:numPr>
        <w:rPr>
          <w:rFonts w:ascii="Arial" w:cs="Arial" w:eastAsia="Arial" w:hAnsi="Arial"/>
          <w:sz w:val="17"/>
          <w:szCs w:val="17"/>
          <w:color w:val="345988"/>
        </w:rPr>
      </w:pPr>
      <w:r>
        <w:rPr>
          <w:rFonts w:ascii="Arial" w:cs="Arial" w:eastAsia="Arial" w:hAnsi="Arial"/>
          <w:sz w:val="18"/>
          <w:szCs w:val="18"/>
          <w:color w:val="auto"/>
        </w:rPr>
        <w:t>TSR in the top 35-50% of the MSCI US REIT Index, respectively (or on a cumulative basis from 2016 through such year or a subsequent quarter during the term)</w:t>
      </w:r>
    </w:p>
    <w:p>
      <w:pPr>
        <w:spacing w:after="0" w:line="58" w:lineRule="exact"/>
        <w:rPr>
          <w:rFonts w:ascii="Arial" w:cs="Arial" w:eastAsia="Arial" w:hAnsi="Arial"/>
          <w:sz w:val="17"/>
          <w:szCs w:val="17"/>
          <w:color w:val="345988"/>
        </w:rPr>
      </w:pPr>
    </w:p>
    <w:p>
      <w:pPr>
        <w:ind w:left="540" w:hanging="263"/>
        <w:spacing w:after="0"/>
        <w:tabs>
          <w:tab w:leader="none" w:pos="540" w:val="left"/>
        </w:tabs>
        <w:numPr>
          <w:ilvl w:val="0"/>
          <w:numId w:val="90"/>
        </w:numPr>
        <w:rPr>
          <w:rFonts w:ascii="Arial" w:cs="Arial" w:eastAsia="Arial" w:hAnsi="Arial"/>
          <w:sz w:val="17"/>
          <w:szCs w:val="17"/>
          <w:color w:val="345988"/>
        </w:rPr>
      </w:pPr>
      <w:r>
        <w:rPr>
          <w:rFonts w:ascii="Arial" w:cs="Arial" w:eastAsia="Arial" w:hAnsi="Arial"/>
          <w:sz w:val="18"/>
          <w:szCs w:val="18"/>
          <w:u w:val="single" w:color="auto"/>
          <w:color w:val="auto"/>
        </w:rPr>
        <w:t>Time-based LTIP units</w:t>
      </w:r>
      <w:r>
        <w:rPr>
          <w:rFonts w:ascii="Arial" w:cs="Arial" w:eastAsia="Arial" w:hAnsi="Arial"/>
          <w:sz w:val="18"/>
          <w:szCs w:val="18"/>
          <w:color w:val="auto"/>
        </w:rPr>
        <w:t>: Vested 12/31/17</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Compensation Program Changes for 2018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Pursuant to feedback received from shareholders, we have made the following changes to our compensation program starting with 2018.</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Annual Bonus</w:t>
      </w:r>
    </w:p>
    <w:p>
      <w:pPr>
        <w:spacing w:after="0" w:line="16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January 2018, the Compensation Committee approved changes to the annual cash bonus and weightings to further strengthen the link between pay and performance. These changes include:</w:t>
      </w:r>
    </w:p>
    <w:p>
      <w:pPr>
        <w:spacing w:after="0" w:line="100" w:lineRule="exact"/>
        <w:rPr>
          <w:sz w:val="20"/>
          <w:szCs w:val="20"/>
          <w:color w:val="auto"/>
        </w:rPr>
      </w:pPr>
    </w:p>
    <w:p>
      <w:pPr>
        <w:ind w:left="540" w:hanging="263"/>
        <w:spacing w:after="0"/>
        <w:tabs>
          <w:tab w:leader="none" w:pos="540" w:val="left"/>
        </w:tabs>
        <w:numPr>
          <w:ilvl w:val="0"/>
          <w:numId w:val="91"/>
        </w:numPr>
        <w:rPr>
          <w:rFonts w:ascii="Arial" w:cs="Arial" w:eastAsia="Arial" w:hAnsi="Arial"/>
          <w:sz w:val="17"/>
          <w:szCs w:val="17"/>
          <w:color w:val="345988"/>
        </w:rPr>
      </w:pPr>
      <w:r>
        <w:rPr>
          <w:rFonts w:ascii="Arial" w:cs="Arial" w:eastAsia="Arial" w:hAnsi="Arial"/>
          <w:sz w:val="18"/>
          <w:szCs w:val="18"/>
          <w:color w:val="auto"/>
        </w:rPr>
        <w:t>Eliminating TSR as a metric</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91"/>
        </w:numPr>
        <w:rPr>
          <w:rFonts w:ascii="Arial" w:cs="Arial" w:eastAsia="Arial" w:hAnsi="Arial"/>
          <w:sz w:val="17"/>
          <w:szCs w:val="17"/>
          <w:color w:val="345988"/>
        </w:rPr>
      </w:pPr>
      <w:r>
        <w:rPr>
          <w:rFonts w:ascii="Arial" w:cs="Arial" w:eastAsia="Arial" w:hAnsi="Arial"/>
          <w:sz w:val="18"/>
          <w:szCs w:val="18"/>
          <w:color w:val="auto"/>
        </w:rPr>
        <w:t>Instituting G&amp;A expense as a metric</w:t>
      </w:r>
    </w:p>
    <w:p>
      <w:pPr>
        <w:spacing w:after="0" w:line="102" w:lineRule="exact"/>
        <w:rPr>
          <w:rFonts w:ascii="Arial" w:cs="Arial" w:eastAsia="Arial" w:hAnsi="Arial"/>
          <w:sz w:val="17"/>
          <w:szCs w:val="17"/>
          <w:color w:val="345988"/>
        </w:rPr>
      </w:pPr>
    </w:p>
    <w:p>
      <w:pPr>
        <w:ind w:left="540" w:hanging="263"/>
        <w:spacing w:after="0"/>
        <w:tabs>
          <w:tab w:leader="none" w:pos="540" w:val="left"/>
        </w:tabs>
        <w:numPr>
          <w:ilvl w:val="0"/>
          <w:numId w:val="91"/>
        </w:numPr>
        <w:rPr>
          <w:rFonts w:ascii="Arial" w:cs="Arial" w:eastAsia="Arial" w:hAnsi="Arial"/>
          <w:sz w:val="17"/>
          <w:szCs w:val="17"/>
          <w:color w:val="345988"/>
        </w:rPr>
      </w:pPr>
      <w:r>
        <w:rPr>
          <w:rFonts w:ascii="Arial" w:cs="Arial" w:eastAsia="Arial" w:hAnsi="Arial"/>
          <w:sz w:val="18"/>
          <w:szCs w:val="18"/>
          <w:color w:val="auto"/>
        </w:rPr>
        <w:t>Increasing the weighting of the dividend growth metric</w:t>
      </w:r>
    </w:p>
    <w:p>
      <w:pPr>
        <w:spacing w:after="0" w:line="215"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2017 and 2018 metrics and weightings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Pr>
          <w:p>
            <w:pPr>
              <w:jc w:val="right"/>
              <w:ind w:right="1318"/>
              <w:spacing w:after="0"/>
              <w:rPr>
                <w:sz w:val="20"/>
                <w:szCs w:val="20"/>
                <w:color w:val="auto"/>
              </w:rPr>
            </w:pPr>
            <w:r>
              <w:rPr>
                <w:rFonts w:ascii="Arial" w:cs="Arial" w:eastAsia="Arial" w:hAnsi="Arial"/>
                <w:sz w:val="13"/>
                <w:szCs w:val="13"/>
                <w:b w:val="1"/>
                <w:bCs w:val="1"/>
                <w:color w:val="345988"/>
              </w:rPr>
              <w:t>2017</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right w:val="single" w:sz="8" w:color="8590A9"/>
            </w:tcBorders>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tcPr>
          <w:p>
            <w:pPr>
              <w:jc w:val="right"/>
              <w:ind w:right="1299"/>
              <w:spacing w:after="0"/>
              <w:rPr>
                <w:sz w:val="20"/>
                <w:szCs w:val="20"/>
                <w:color w:val="auto"/>
              </w:rPr>
            </w:pPr>
            <w:r>
              <w:rPr>
                <w:rFonts w:ascii="Arial" w:cs="Arial" w:eastAsia="Arial" w:hAnsi="Arial"/>
                <w:sz w:val="13"/>
                <w:szCs w:val="13"/>
                <w:b w:val="1"/>
                <w:bCs w:val="1"/>
                <w:color w:val="345988"/>
              </w:rPr>
              <w:t>2018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8"/>
        </w:trPr>
        <w:tc>
          <w:tcPr>
            <w:tcW w:w="4460" w:type="dxa"/>
            <w:vAlign w:val="bottom"/>
            <w:tcBorders>
              <w:bottom w:val="single" w:sz="8" w:color="345988"/>
            </w:tcBorders>
            <w:gridSpan w:val="2"/>
          </w:tcPr>
          <w:p>
            <w:pPr>
              <w:spacing w:after="0"/>
              <w:rPr>
                <w:sz w:val="3"/>
                <w:szCs w:val="3"/>
                <w:color w:val="auto"/>
              </w:rPr>
            </w:pPr>
          </w:p>
        </w:tc>
        <w:tc>
          <w:tcPr>
            <w:tcW w:w="1120" w:type="dxa"/>
            <w:vAlign w:val="bottom"/>
            <w:tcBorders>
              <w:bottom w:val="single" w:sz="8" w:color="345988"/>
            </w:tcBorders>
          </w:tcPr>
          <w:p>
            <w:pPr>
              <w:spacing w:after="0"/>
              <w:rPr>
                <w:sz w:val="3"/>
                <w:szCs w:val="3"/>
                <w:color w:val="auto"/>
              </w:rPr>
            </w:pPr>
          </w:p>
        </w:tc>
        <w:tc>
          <w:tcPr>
            <w:tcW w:w="140" w:type="dxa"/>
            <w:vAlign w:val="bottom"/>
            <w:tcBorders>
              <w:right w:val="single" w:sz="8" w:color="8590A9"/>
            </w:tcBorders>
          </w:tcPr>
          <w:p>
            <w:pPr>
              <w:spacing w:after="0"/>
              <w:rPr>
                <w:sz w:val="3"/>
                <w:szCs w:val="3"/>
                <w:color w:val="auto"/>
              </w:rPr>
            </w:pPr>
          </w:p>
        </w:tc>
        <w:tc>
          <w:tcPr>
            <w:tcW w:w="120" w:type="dxa"/>
            <w:vAlign w:val="bottom"/>
          </w:tcPr>
          <w:p>
            <w:pPr>
              <w:spacing w:after="0"/>
              <w:rPr>
                <w:sz w:val="3"/>
                <w:szCs w:val="3"/>
                <w:color w:val="auto"/>
              </w:rPr>
            </w:pPr>
          </w:p>
        </w:tc>
        <w:tc>
          <w:tcPr>
            <w:tcW w:w="4440" w:type="dxa"/>
            <w:vAlign w:val="bottom"/>
            <w:tcBorders>
              <w:bottom w:val="single" w:sz="8" w:color="345988"/>
            </w:tcBorders>
            <w:gridSpan w:val="2"/>
          </w:tcPr>
          <w:p>
            <w:pPr>
              <w:spacing w:after="0"/>
              <w:rPr>
                <w:sz w:val="3"/>
                <w:szCs w:val="3"/>
                <w:color w:val="auto"/>
              </w:rPr>
            </w:pPr>
          </w:p>
        </w:tc>
        <w:tc>
          <w:tcPr>
            <w:tcW w:w="1140" w:type="dxa"/>
            <w:vAlign w:val="bottom"/>
            <w:tcBorders>
              <w:bottom w:val="single" w:sz="8" w:color="345988"/>
            </w:tcBorders>
          </w:tcPr>
          <w:p>
            <w:pPr>
              <w:spacing w:after="0"/>
              <w:rPr>
                <w:sz w:val="3"/>
                <w:szCs w:val="3"/>
                <w:color w:val="auto"/>
              </w:rPr>
            </w:pPr>
          </w:p>
        </w:tc>
      </w:tr>
      <w:tr>
        <w:trPr>
          <w:trHeight w:val="212"/>
        </w:trPr>
        <w:tc>
          <w:tcPr>
            <w:tcW w:w="4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45988"/>
              </w:rPr>
              <w:t>Performance Criteria</w:t>
            </w:r>
          </w:p>
        </w:tc>
        <w:tc>
          <w:tcPr>
            <w:tcW w:w="1260" w:type="dxa"/>
            <w:vAlign w:val="bottom"/>
            <w:tcBorders>
              <w:right w:val="single" w:sz="8" w:color="8590A9"/>
            </w:tcBorders>
            <w:gridSpan w:val="2"/>
          </w:tcPr>
          <w:p>
            <w:pPr>
              <w:jc w:val="right"/>
              <w:ind w:right="140"/>
              <w:spacing w:after="0"/>
              <w:rPr>
                <w:sz w:val="20"/>
                <w:szCs w:val="20"/>
                <w:color w:val="auto"/>
              </w:rPr>
            </w:pPr>
            <w:r>
              <w:rPr>
                <w:rFonts w:ascii="Arial" w:cs="Arial" w:eastAsia="Arial" w:hAnsi="Arial"/>
                <w:sz w:val="13"/>
                <w:szCs w:val="13"/>
                <w:b w:val="1"/>
                <w:bCs w:val="1"/>
                <w:color w:val="345988"/>
              </w:rPr>
              <w:t>Weighting Levels</w:t>
            </w:r>
          </w:p>
        </w:tc>
        <w:tc>
          <w:tcPr>
            <w:tcW w:w="120" w:type="dxa"/>
            <w:vAlign w:val="bottom"/>
          </w:tcPr>
          <w:p>
            <w:pPr>
              <w:spacing w:after="0"/>
              <w:rPr>
                <w:sz w:val="18"/>
                <w:szCs w:val="18"/>
                <w:color w:val="auto"/>
              </w:rPr>
            </w:pPr>
          </w:p>
        </w:tc>
        <w:tc>
          <w:tcPr>
            <w:tcW w:w="4440" w:type="dxa"/>
            <w:vAlign w:val="bottom"/>
            <w:gridSpan w:val="2"/>
          </w:tcPr>
          <w:p>
            <w:pPr>
              <w:ind w:left="3000"/>
              <w:spacing w:after="0"/>
              <w:rPr>
                <w:sz w:val="20"/>
                <w:szCs w:val="20"/>
                <w:color w:val="auto"/>
              </w:rPr>
            </w:pPr>
            <w:r>
              <w:rPr>
                <w:rFonts w:ascii="Arial" w:cs="Arial" w:eastAsia="Arial" w:hAnsi="Arial"/>
                <w:sz w:val="13"/>
                <w:szCs w:val="13"/>
                <w:b w:val="1"/>
                <w:bCs w:val="1"/>
                <w:color w:val="345988"/>
              </w:rPr>
              <w:t>Performance Criteria</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345988"/>
              </w:rPr>
              <w:t>Weighting Levels</w:t>
            </w:r>
          </w:p>
        </w:tc>
      </w:tr>
      <w:tr>
        <w:trPr>
          <w:trHeight w:val="38"/>
        </w:trPr>
        <w:tc>
          <w:tcPr>
            <w:tcW w:w="4460" w:type="dxa"/>
            <w:vAlign w:val="bottom"/>
            <w:gridSpan w:val="2"/>
          </w:tcPr>
          <w:p>
            <w:pPr>
              <w:spacing w:after="0"/>
              <w:rPr>
                <w:sz w:val="3"/>
                <w:szCs w:val="3"/>
                <w:color w:val="auto"/>
              </w:rPr>
            </w:pPr>
          </w:p>
        </w:tc>
        <w:tc>
          <w:tcPr>
            <w:tcW w:w="1260" w:type="dxa"/>
            <w:vAlign w:val="bottom"/>
            <w:tcBorders>
              <w:right w:val="single" w:sz="8" w:color="8590A9"/>
            </w:tcBorders>
            <w:gridSpan w:val="2"/>
          </w:tcPr>
          <w:p>
            <w:pPr>
              <w:spacing w:after="0"/>
              <w:rPr>
                <w:sz w:val="3"/>
                <w:szCs w:val="3"/>
                <w:color w:val="auto"/>
              </w:rPr>
            </w:pPr>
          </w:p>
        </w:tc>
        <w:tc>
          <w:tcPr>
            <w:tcW w:w="120" w:type="dxa"/>
            <w:vAlign w:val="bottom"/>
          </w:tcPr>
          <w:p>
            <w:pPr>
              <w:spacing w:after="0"/>
              <w:rPr>
                <w:sz w:val="3"/>
                <w:szCs w:val="3"/>
                <w:color w:val="auto"/>
              </w:rPr>
            </w:pPr>
          </w:p>
        </w:tc>
        <w:tc>
          <w:tcPr>
            <w:tcW w:w="444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r>
      <w:tr>
        <w:trPr>
          <w:trHeight w:val="240"/>
        </w:trPr>
        <w:tc>
          <w:tcPr>
            <w:tcW w:w="43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FFO per share</w:t>
            </w:r>
          </w:p>
        </w:tc>
        <w:tc>
          <w:tcPr>
            <w:tcW w:w="120" w:type="dxa"/>
            <w:vAlign w:val="bottom"/>
          </w:tcPr>
          <w:p>
            <w:pPr>
              <w:spacing w:after="0"/>
              <w:rPr>
                <w:sz w:val="20"/>
                <w:szCs w:val="20"/>
                <w:color w:val="auto"/>
              </w:rPr>
            </w:pPr>
          </w:p>
        </w:tc>
        <w:tc>
          <w:tcPr>
            <w:tcW w:w="112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right w:val="single" w:sz="8" w:color="8590A9"/>
            </w:tcBorders>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FFO per share</w:t>
            </w:r>
          </w:p>
        </w:tc>
        <w:tc>
          <w:tcPr>
            <w:tcW w:w="120" w:type="dxa"/>
            <w:vAlign w:val="bottom"/>
          </w:tcPr>
          <w:p>
            <w:pPr>
              <w:spacing w:after="0"/>
              <w:rPr>
                <w:sz w:val="20"/>
                <w:szCs w:val="20"/>
                <w:color w:val="auto"/>
              </w:rPr>
            </w:pPr>
          </w:p>
        </w:tc>
        <w:tc>
          <w:tcPr>
            <w:tcW w:w="11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30.0%</w:t>
            </w:r>
          </w:p>
        </w:tc>
      </w:tr>
      <w:tr>
        <w:trPr>
          <w:trHeight w:val="236"/>
        </w:trPr>
        <w:tc>
          <w:tcPr>
            <w:tcW w:w="43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Same-store cash NOI growth</w:t>
            </w:r>
          </w:p>
        </w:tc>
        <w:tc>
          <w:tcPr>
            <w:tcW w:w="120" w:type="dxa"/>
            <w:vAlign w:val="bottom"/>
          </w:tcPr>
          <w:p>
            <w:pPr>
              <w:spacing w:after="0"/>
              <w:rPr>
                <w:sz w:val="20"/>
                <w:szCs w:val="20"/>
                <w:color w:val="auto"/>
              </w:rPr>
            </w:pPr>
          </w:p>
        </w:tc>
        <w:tc>
          <w:tcPr>
            <w:tcW w:w="11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right w:val="single" w:sz="8" w:color="8590A9"/>
            </w:tcBorders>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Same-store cash NOI growth</w:t>
            </w:r>
          </w:p>
        </w:tc>
        <w:tc>
          <w:tcPr>
            <w:tcW w:w="120" w:type="dxa"/>
            <w:vAlign w:val="bottom"/>
          </w:tcPr>
          <w:p>
            <w:pPr>
              <w:spacing w:after="0"/>
              <w:rPr>
                <w:sz w:val="20"/>
                <w:szCs w:val="20"/>
                <w:color w:val="auto"/>
              </w:rPr>
            </w:pPr>
          </w:p>
        </w:tc>
        <w:tc>
          <w:tcPr>
            <w:tcW w:w="11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30.0%</w:t>
            </w:r>
          </w:p>
        </w:tc>
      </w:tr>
      <w:tr>
        <w:trPr>
          <w:trHeight w:val="236"/>
        </w:trPr>
        <w:tc>
          <w:tcPr>
            <w:tcW w:w="43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Dividend growth</w:t>
            </w:r>
          </w:p>
        </w:tc>
        <w:tc>
          <w:tcPr>
            <w:tcW w:w="120" w:type="dxa"/>
            <w:vAlign w:val="bottom"/>
          </w:tcPr>
          <w:p>
            <w:pPr>
              <w:spacing w:after="0"/>
              <w:rPr>
                <w:sz w:val="20"/>
                <w:szCs w:val="20"/>
                <w:color w:val="auto"/>
              </w:rPr>
            </w:pPr>
          </w:p>
        </w:tc>
        <w:tc>
          <w:tcPr>
            <w:tcW w:w="11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right w:val="single" w:sz="8" w:color="8590A9"/>
            </w:tcBorders>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Dividend growth</w:t>
            </w:r>
          </w:p>
        </w:tc>
        <w:tc>
          <w:tcPr>
            <w:tcW w:w="120" w:type="dxa"/>
            <w:vAlign w:val="bottom"/>
          </w:tcPr>
          <w:p>
            <w:pPr>
              <w:spacing w:after="0"/>
              <w:rPr>
                <w:sz w:val="20"/>
                <w:szCs w:val="20"/>
                <w:color w:val="auto"/>
              </w:rPr>
            </w:pPr>
          </w:p>
        </w:tc>
        <w:tc>
          <w:tcPr>
            <w:tcW w:w="11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30.0%</w:t>
            </w:r>
          </w:p>
        </w:tc>
      </w:tr>
      <w:tr>
        <w:trPr>
          <w:trHeight w:val="236"/>
        </w:trPr>
        <w:tc>
          <w:tcPr>
            <w:tcW w:w="43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Relative TSR for 2017</w:t>
            </w:r>
          </w:p>
        </w:tc>
        <w:tc>
          <w:tcPr>
            <w:tcW w:w="120" w:type="dxa"/>
            <w:vAlign w:val="bottom"/>
          </w:tcPr>
          <w:p>
            <w:pPr>
              <w:spacing w:after="0"/>
              <w:rPr>
                <w:sz w:val="20"/>
                <w:szCs w:val="20"/>
                <w:color w:val="auto"/>
              </w:rPr>
            </w:pPr>
          </w:p>
        </w:tc>
        <w:tc>
          <w:tcPr>
            <w:tcW w:w="11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right w:val="single" w:sz="8" w:color="8590A9"/>
            </w:tcBorders>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G&amp;A Expense</w:t>
            </w:r>
          </w:p>
        </w:tc>
        <w:tc>
          <w:tcPr>
            <w:tcW w:w="120" w:type="dxa"/>
            <w:vAlign w:val="bottom"/>
          </w:tcPr>
          <w:p>
            <w:pPr>
              <w:spacing w:after="0"/>
              <w:rPr>
                <w:sz w:val="20"/>
                <w:szCs w:val="20"/>
                <w:color w:val="auto"/>
              </w:rPr>
            </w:pPr>
          </w:p>
        </w:tc>
        <w:tc>
          <w:tcPr>
            <w:tcW w:w="11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10.0%</w:t>
            </w:r>
          </w:p>
        </w:tc>
      </w:tr>
      <w:tr>
        <w:trPr>
          <w:trHeight w:val="246"/>
        </w:trPr>
        <w:tc>
          <w:tcPr>
            <w:tcW w:w="434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Absolute TSR for 2017</w:t>
            </w:r>
          </w:p>
        </w:tc>
        <w:tc>
          <w:tcPr>
            <w:tcW w:w="120" w:type="dxa"/>
            <w:vAlign w:val="bottom"/>
          </w:tcPr>
          <w:p>
            <w:pPr>
              <w:spacing w:after="0"/>
              <w:rPr>
                <w:sz w:val="21"/>
                <w:szCs w:val="21"/>
                <w:color w:val="auto"/>
              </w:rPr>
            </w:pPr>
          </w:p>
        </w:tc>
        <w:tc>
          <w:tcPr>
            <w:tcW w:w="11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right w:val="single" w:sz="8" w:color="8590A9"/>
            </w:tcBorders>
          </w:tcPr>
          <w:p>
            <w:pPr>
              <w:spacing w:after="0"/>
              <w:rPr>
                <w:sz w:val="21"/>
                <w:szCs w:val="21"/>
                <w:color w:val="auto"/>
              </w:rPr>
            </w:pPr>
          </w:p>
        </w:tc>
        <w:tc>
          <w:tcPr>
            <w:tcW w:w="120" w:type="dxa"/>
            <w:vAlign w:val="bottom"/>
          </w:tcPr>
          <w:p>
            <w:pPr>
              <w:spacing w:after="0"/>
              <w:rPr>
                <w:sz w:val="21"/>
                <w:szCs w:val="21"/>
                <w:color w:val="auto"/>
              </w:rPr>
            </w:pPr>
          </w:p>
        </w:tc>
        <w:tc>
          <w:tcPr>
            <w:tcW w:w="4320" w:type="dxa"/>
            <w:vAlign w:val="bottom"/>
            <w:tcBorders>
              <w:bottom w:val="single" w:sz="8" w:color="345988"/>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345988"/>
            </w:tcBorders>
          </w:tcPr>
          <w:p>
            <w:pPr>
              <w:spacing w:after="0"/>
              <w:rPr>
                <w:sz w:val="21"/>
                <w:szCs w:val="21"/>
                <w:color w:val="auto"/>
              </w:rPr>
            </w:pPr>
          </w:p>
        </w:tc>
      </w:tr>
    </w:tbl>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Additional changes have been made to Mr. Holliday’s compensation program under the terms of his new employment agreement as described below.</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New Employment Agreements for Marc Holliday and Matthew DiLiberto</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35F8C"/>
        </w:rPr>
        <w:t>Mr. Holliday</w:t>
      </w:r>
    </w:p>
    <w:p>
      <w:pPr>
        <w:spacing w:after="0" w:line="21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As mentioned above, following our 2017 advisory vote on executive compensation and in response to feedback we received during shareholder engagement meetings, the Compensation Committee significantly restructured Mr. Holliday’s compensation, as governed by his new employment agreement, which was entered into in April 2018 and will become effective in January 2019 following the expiration of the term of his current employment agreement. Mr. Holliday’s compensation was restructured to simplify its composition and enhance the transparency in the structure of short-term and long-term awards.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These changes, as set forth in his new employment agreement, include the following enhancements:</w:t>
      </w:r>
    </w:p>
    <w:p>
      <w:pPr>
        <w:spacing w:after="0" w:line="207" w:lineRule="exact"/>
        <w:rPr>
          <w:sz w:val="20"/>
          <w:szCs w:val="20"/>
          <w:color w:val="auto"/>
        </w:rPr>
      </w:pPr>
    </w:p>
    <w:p>
      <w:pPr>
        <w:ind w:left="540" w:hanging="263"/>
        <w:spacing w:after="0"/>
        <w:tabs>
          <w:tab w:leader="none" w:pos="540" w:val="left"/>
        </w:tabs>
        <w:numPr>
          <w:ilvl w:val="0"/>
          <w:numId w:val="92"/>
        </w:numPr>
        <w:rPr>
          <w:rFonts w:ascii="Arial" w:cs="Arial" w:eastAsia="Arial" w:hAnsi="Arial"/>
          <w:sz w:val="17"/>
          <w:szCs w:val="17"/>
          <w:color w:val="345988"/>
        </w:rPr>
      </w:pPr>
      <w:r>
        <w:rPr>
          <w:rFonts w:ascii="Arial" w:cs="Arial" w:eastAsia="Arial" w:hAnsi="Arial"/>
          <w:sz w:val="18"/>
          <w:szCs w:val="18"/>
          <w:u w:val="single" w:color="auto"/>
          <w:color w:val="auto"/>
        </w:rPr>
        <w:t>Overall Compensation</w:t>
      </w:r>
    </w:p>
    <w:p>
      <w:pPr>
        <w:spacing w:after="0" w:line="17" w:lineRule="exact"/>
        <w:rPr>
          <w:rFonts w:ascii="Arial" w:cs="Arial" w:eastAsia="Arial" w:hAnsi="Arial"/>
          <w:sz w:val="17"/>
          <w:szCs w:val="17"/>
          <w:color w:val="345988"/>
        </w:rPr>
      </w:pPr>
    </w:p>
    <w:p>
      <w:pPr>
        <w:ind w:left="800" w:hanging="253"/>
        <w:spacing w:after="0"/>
        <w:tabs>
          <w:tab w:leader="none" w:pos="800" w:val="left"/>
        </w:tabs>
        <w:numPr>
          <w:ilvl w:val="1"/>
          <w:numId w:val="92"/>
        </w:numPr>
        <w:rPr>
          <w:rFonts w:ascii="Arial" w:cs="Arial" w:eastAsia="Arial" w:hAnsi="Arial"/>
          <w:sz w:val="17"/>
          <w:szCs w:val="17"/>
          <w:color w:val="345988"/>
        </w:rPr>
      </w:pPr>
      <w:r>
        <w:rPr>
          <w:rFonts w:ascii="Arial" w:cs="Arial" w:eastAsia="Arial" w:hAnsi="Arial"/>
          <w:sz w:val="18"/>
          <w:szCs w:val="18"/>
          <w:color w:val="auto"/>
        </w:rPr>
        <w:t>Simplified the program by reducing the number of compensation components from seven to four</w:t>
      </w:r>
    </w:p>
    <w:p>
      <w:pPr>
        <w:spacing w:after="0" w:line="215" w:lineRule="exact"/>
        <w:rPr>
          <w:rFonts w:ascii="Arial" w:cs="Arial" w:eastAsia="Arial" w:hAnsi="Arial"/>
          <w:sz w:val="17"/>
          <w:szCs w:val="17"/>
          <w:color w:val="345988"/>
        </w:rPr>
      </w:pPr>
    </w:p>
    <w:p>
      <w:pPr>
        <w:ind w:left="540" w:hanging="263"/>
        <w:spacing w:after="0"/>
        <w:tabs>
          <w:tab w:leader="none" w:pos="540" w:val="left"/>
        </w:tabs>
        <w:numPr>
          <w:ilvl w:val="0"/>
          <w:numId w:val="92"/>
        </w:numPr>
        <w:rPr>
          <w:rFonts w:ascii="Arial" w:cs="Arial" w:eastAsia="Arial" w:hAnsi="Arial"/>
          <w:sz w:val="17"/>
          <w:szCs w:val="17"/>
          <w:color w:val="345988"/>
        </w:rPr>
      </w:pPr>
      <w:r>
        <w:rPr>
          <w:rFonts w:ascii="Arial" w:cs="Arial" w:eastAsia="Arial" w:hAnsi="Arial"/>
          <w:sz w:val="18"/>
          <w:szCs w:val="18"/>
          <w:u w:val="single" w:color="auto"/>
          <w:color w:val="auto"/>
        </w:rPr>
        <w:t>Fixed Compensation</w:t>
      </w:r>
    </w:p>
    <w:p>
      <w:pPr>
        <w:spacing w:after="0" w:line="17" w:lineRule="exact"/>
        <w:rPr>
          <w:rFonts w:ascii="Arial" w:cs="Arial" w:eastAsia="Arial" w:hAnsi="Arial"/>
          <w:sz w:val="17"/>
          <w:szCs w:val="17"/>
          <w:color w:val="345988"/>
        </w:rPr>
      </w:pPr>
    </w:p>
    <w:p>
      <w:pPr>
        <w:ind w:left="800" w:hanging="253"/>
        <w:spacing w:after="0" w:line="234" w:lineRule="auto"/>
        <w:tabs>
          <w:tab w:leader="none" w:pos="800" w:val="left"/>
        </w:tabs>
        <w:numPr>
          <w:ilvl w:val="1"/>
          <w:numId w:val="92"/>
        </w:numPr>
        <w:rPr>
          <w:rFonts w:ascii="Arial" w:cs="Arial" w:eastAsia="Arial" w:hAnsi="Arial"/>
          <w:sz w:val="17"/>
          <w:szCs w:val="17"/>
          <w:color w:val="345988"/>
        </w:rPr>
      </w:pPr>
      <w:r>
        <w:rPr>
          <w:rFonts w:ascii="Arial" w:cs="Arial" w:eastAsia="Arial" w:hAnsi="Arial"/>
          <w:sz w:val="18"/>
          <w:szCs w:val="18"/>
          <w:color w:val="auto"/>
        </w:rPr>
        <w:t>Reducing CEO’s base salary to $1.25 million from $1.35 million, effective January 1, 2018</w:t>
      </w:r>
    </w:p>
    <w:p>
      <w:pPr>
        <w:ind w:left="800" w:hanging="253"/>
        <w:spacing w:after="0"/>
        <w:tabs>
          <w:tab w:leader="none" w:pos="800" w:val="left"/>
        </w:tabs>
        <w:numPr>
          <w:ilvl w:val="1"/>
          <w:numId w:val="92"/>
        </w:numPr>
        <w:rPr>
          <w:rFonts w:ascii="Arial" w:cs="Arial" w:eastAsia="Arial" w:hAnsi="Arial"/>
          <w:sz w:val="17"/>
          <w:szCs w:val="17"/>
          <w:color w:val="345988"/>
        </w:rPr>
      </w:pPr>
      <w:r>
        <w:rPr>
          <w:rFonts w:ascii="Arial" w:cs="Arial" w:eastAsia="Arial" w:hAnsi="Arial"/>
          <w:sz w:val="18"/>
          <w:szCs w:val="18"/>
          <w:color w:val="auto"/>
        </w:rPr>
        <w:t>Eliminating deferred compensation contributions</w:t>
      </w:r>
    </w:p>
    <w:p>
      <w:pPr>
        <w:spacing w:after="0" w:line="215" w:lineRule="exact"/>
        <w:rPr>
          <w:rFonts w:ascii="Arial" w:cs="Arial" w:eastAsia="Arial" w:hAnsi="Arial"/>
          <w:sz w:val="17"/>
          <w:szCs w:val="17"/>
          <w:color w:val="345988"/>
        </w:rPr>
      </w:pPr>
    </w:p>
    <w:p>
      <w:pPr>
        <w:ind w:left="540" w:hanging="263"/>
        <w:spacing w:after="0"/>
        <w:tabs>
          <w:tab w:leader="none" w:pos="540" w:val="left"/>
        </w:tabs>
        <w:numPr>
          <w:ilvl w:val="0"/>
          <w:numId w:val="92"/>
        </w:numPr>
        <w:rPr>
          <w:rFonts w:ascii="Arial" w:cs="Arial" w:eastAsia="Arial" w:hAnsi="Arial"/>
          <w:sz w:val="17"/>
          <w:szCs w:val="17"/>
          <w:color w:val="345988"/>
        </w:rPr>
      </w:pPr>
      <w:r>
        <w:rPr>
          <w:rFonts w:ascii="Arial" w:cs="Arial" w:eastAsia="Arial" w:hAnsi="Arial"/>
          <w:sz w:val="18"/>
          <w:szCs w:val="18"/>
          <w:u w:val="single" w:color="auto"/>
          <w:color w:val="auto"/>
        </w:rPr>
        <w:t>Annual Incentive Compensation</w:t>
      </w:r>
    </w:p>
    <w:p>
      <w:pPr>
        <w:spacing w:after="0" w:line="17" w:lineRule="exact"/>
        <w:rPr>
          <w:rFonts w:ascii="Arial" w:cs="Arial" w:eastAsia="Arial" w:hAnsi="Arial"/>
          <w:sz w:val="17"/>
          <w:szCs w:val="17"/>
          <w:color w:val="345988"/>
        </w:rPr>
      </w:pPr>
    </w:p>
    <w:p>
      <w:pPr>
        <w:ind w:left="800" w:hanging="253"/>
        <w:spacing w:after="0" w:line="234" w:lineRule="auto"/>
        <w:tabs>
          <w:tab w:leader="none" w:pos="800" w:val="left"/>
        </w:tabs>
        <w:numPr>
          <w:ilvl w:val="1"/>
          <w:numId w:val="92"/>
        </w:numPr>
        <w:rPr>
          <w:rFonts w:ascii="Arial" w:cs="Arial" w:eastAsia="Arial" w:hAnsi="Arial"/>
          <w:sz w:val="17"/>
          <w:szCs w:val="17"/>
          <w:color w:val="345988"/>
        </w:rPr>
      </w:pPr>
      <w:r>
        <w:rPr>
          <w:rFonts w:ascii="Arial" w:cs="Arial" w:eastAsia="Arial" w:hAnsi="Arial"/>
          <w:sz w:val="18"/>
          <w:szCs w:val="18"/>
          <w:color w:val="auto"/>
        </w:rPr>
        <w:t>Retaining formulaic annual cash bonus program</w:t>
      </w:r>
    </w:p>
    <w:p>
      <w:pPr>
        <w:ind w:left="800" w:hanging="253"/>
        <w:spacing w:after="0"/>
        <w:tabs>
          <w:tab w:leader="none" w:pos="800" w:val="left"/>
        </w:tabs>
        <w:numPr>
          <w:ilvl w:val="1"/>
          <w:numId w:val="92"/>
        </w:numPr>
        <w:rPr>
          <w:rFonts w:ascii="Arial" w:cs="Arial" w:eastAsia="Arial" w:hAnsi="Arial"/>
          <w:sz w:val="17"/>
          <w:szCs w:val="17"/>
          <w:color w:val="345988"/>
        </w:rPr>
      </w:pPr>
      <w:r>
        <w:rPr>
          <w:rFonts w:ascii="Arial" w:cs="Arial" w:eastAsia="Arial" w:hAnsi="Arial"/>
          <w:sz w:val="18"/>
          <w:szCs w:val="18"/>
          <w:color w:val="auto"/>
        </w:rPr>
        <w:t>Eliminating discretionary equity bonuses</w:t>
      </w:r>
    </w:p>
    <w:p>
      <w:pPr>
        <w:spacing w:after="0" w:line="215" w:lineRule="exact"/>
        <w:rPr>
          <w:rFonts w:ascii="Arial" w:cs="Arial" w:eastAsia="Arial" w:hAnsi="Arial"/>
          <w:sz w:val="17"/>
          <w:szCs w:val="17"/>
          <w:color w:val="345988"/>
        </w:rPr>
      </w:pPr>
    </w:p>
    <w:p>
      <w:pPr>
        <w:ind w:left="540" w:hanging="263"/>
        <w:spacing w:after="0"/>
        <w:tabs>
          <w:tab w:leader="none" w:pos="540" w:val="left"/>
        </w:tabs>
        <w:numPr>
          <w:ilvl w:val="0"/>
          <w:numId w:val="92"/>
        </w:numPr>
        <w:rPr>
          <w:rFonts w:ascii="Arial" w:cs="Arial" w:eastAsia="Arial" w:hAnsi="Arial"/>
          <w:sz w:val="17"/>
          <w:szCs w:val="17"/>
          <w:color w:val="345988"/>
        </w:rPr>
      </w:pPr>
      <w:r>
        <w:rPr>
          <w:rFonts w:ascii="Arial" w:cs="Arial" w:eastAsia="Arial" w:hAnsi="Arial"/>
          <w:sz w:val="18"/>
          <w:szCs w:val="18"/>
          <w:u w:val="single" w:color="auto"/>
          <w:color w:val="auto"/>
        </w:rPr>
        <w:t>Long-Term Incentive Compensation</w:t>
      </w:r>
    </w:p>
    <w:p>
      <w:pPr>
        <w:spacing w:after="0" w:line="17" w:lineRule="exact"/>
        <w:rPr>
          <w:rFonts w:ascii="Arial" w:cs="Arial" w:eastAsia="Arial" w:hAnsi="Arial"/>
          <w:sz w:val="17"/>
          <w:szCs w:val="17"/>
          <w:color w:val="345988"/>
        </w:rPr>
      </w:pPr>
    </w:p>
    <w:p>
      <w:pPr>
        <w:ind w:left="800" w:hanging="253"/>
        <w:spacing w:after="0" w:line="234" w:lineRule="auto"/>
        <w:tabs>
          <w:tab w:leader="none" w:pos="800" w:val="left"/>
        </w:tabs>
        <w:numPr>
          <w:ilvl w:val="1"/>
          <w:numId w:val="92"/>
        </w:numPr>
        <w:rPr>
          <w:rFonts w:ascii="Arial" w:cs="Arial" w:eastAsia="Arial" w:hAnsi="Arial"/>
          <w:sz w:val="17"/>
          <w:szCs w:val="17"/>
          <w:color w:val="345988"/>
        </w:rPr>
      </w:pPr>
      <w:r>
        <w:rPr>
          <w:rFonts w:ascii="Arial" w:cs="Arial" w:eastAsia="Arial" w:hAnsi="Arial"/>
          <w:sz w:val="18"/>
          <w:szCs w:val="18"/>
          <w:color w:val="auto"/>
        </w:rPr>
        <w:t>Simplified the structure of long-term equity awards, to include annual performance-based LTIP units and time-based LTIP units</w:t>
      </w:r>
    </w:p>
    <w:p>
      <w:pPr>
        <w:ind w:left="800" w:hanging="253"/>
        <w:spacing w:after="0" w:line="234" w:lineRule="auto"/>
        <w:tabs>
          <w:tab w:leader="none" w:pos="800" w:val="left"/>
        </w:tabs>
        <w:numPr>
          <w:ilvl w:val="1"/>
          <w:numId w:val="92"/>
        </w:numPr>
        <w:rPr>
          <w:rFonts w:ascii="Arial" w:cs="Arial" w:eastAsia="Arial" w:hAnsi="Arial"/>
          <w:sz w:val="17"/>
          <w:szCs w:val="17"/>
          <w:color w:val="345988"/>
        </w:rPr>
      </w:pPr>
      <w:r>
        <w:rPr>
          <w:rFonts w:ascii="Arial" w:cs="Arial" w:eastAsia="Arial" w:hAnsi="Arial"/>
          <w:sz w:val="18"/>
          <w:szCs w:val="18"/>
          <w:color w:val="auto"/>
        </w:rPr>
        <w:t>Eliminated stock option grants</w:t>
      </w:r>
    </w:p>
    <w:p>
      <w:pPr>
        <w:ind w:left="800" w:hanging="253"/>
        <w:spacing w:after="0" w:line="234" w:lineRule="auto"/>
        <w:tabs>
          <w:tab w:leader="none" w:pos="800" w:val="left"/>
        </w:tabs>
        <w:numPr>
          <w:ilvl w:val="1"/>
          <w:numId w:val="92"/>
        </w:numPr>
        <w:rPr>
          <w:rFonts w:ascii="Arial" w:cs="Arial" w:eastAsia="Arial" w:hAnsi="Arial"/>
          <w:sz w:val="17"/>
          <w:szCs w:val="17"/>
          <w:color w:val="345988"/>
        </w:rPr>
      </w:pPr>
      <w:r>
        <w:rPr>
          <w:rFonts w:ascii="Arial" w:cs="Arial" w:eastAsia="Arial" w:hAnsi="Arial"/>
          <w:sz w:val="18"/>
          <w:szCs w:val="18"/>
          <w:color w:val="auto"/>
        </w:rPr>
        <w:t>Eliminated employment agreement awards with fixed terms</w:t>
      </w:r>
    </w:p>
    <w:p>
      <w:pPr>
        <w:ind w:left="800" w:hanging="253"/>
        <w:spacing w:after="0" w:line="234" w:lineRule="auto"/>
        <w:tabs>
          <w:tab w:leader="none" w:pos="800" w:val="left"/>
        </w:tabs>
        <w:numPr>
          <w:ilvl w:val="1"/>
          <w:numId w:val="92"/>
        </w:numPr>
        <w:rPr>
          <w:rFonts w:ascii="Arial" w:cs="Arial" w:eastAsia="Arial" w:hAnsi="Arial"/>
          <w:sz w:val="17"/>
          <w:szCs w:val="17"/>
          <w:color w:val="345988"/>
        </w:rPr>
      </w:pPr>
      <w:r>
        <w:rPr>
          <w:rFonts w:ascii="Arial" w:cs="Arial" w:eastAsia="Arial" w:hAnsi="Arial"/>
          <w:sz w:val="18"/>
          <w:szCs w:val="18"/>
          <w:color w:val="auto"/>
        </w:rPr>
        <w:t>Eliminated performance-based awards with multiple alternative performance goals</w:t>
      </w:r>
    </w:p>
    <w:p>
      <w:pPr>
        <w:ind w:left="800" w:hanging="253"/>
        <w:spacing w:after="0"/>
        <w:tabs>
          <w:tab w:leader="none" w:pos="800" w:val="left"/>
        </w:tabs>
        <w:numPr>
          <w:ilvl w:val="1"/>
          <w:numId w:val="92"/>
        </w:numPr>
        <w:rPr>
          <w:rFonts w:ascii="Arial" w:cs="Arial" w:eastAsia="Arial" w:hAnsi="Arial"/>
          <w:sz w:val="17"/>
          <w:szCs w:val="17"/>
          <w:color w:val="345988"/>
        </w:rPr>
      </w:pPr>
      <w:r>
        <w:rPr>
          <w:rFonts w:ascii="Arial" w:cs="Arial" w:eastAsia="Arial" w:hAnsi="Arial"/>
          <w:sz w:val="18"/>
          <w:szCs w:val="18"/>
          <w:color w:val="auto"/>
        </w:rPr>
        <w:t>Replaced periodic outperformance plan awards with more regular annual performance-based LTIP units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Annual Performance-Based LTIP Units – 62.5% of target long-term incentive compensation</w:t>
      </w:r>
    </w:p>
    <w:p>
      <w:pPr>
        <w:spacing w:after="0" w:line="8" w:lineRule="exact"/>
        <w:rPr>
          <w:sz w:val="20"/>
          <w:szCs w:val="20"/>
          <w:color w:val="auto"/>
        </w:rPr>
      </w:pPr>
    </w:p>
    <w:p>
      <w:pPr>
        <w:ind w:left="800" w:hanging="253"/>
        <w:spacing w:after="0"/>
        <w:tabs>
          <w:tab w:leader="none" w:pos="800" w:val="left"/>
        </w:tabs>
        <w:numPr>
          <w:ilvl w:val="0"/>
          <w:numId w:val="93"/>
        </w:numPr>
        <w:rPr>
          <w:rFonts w:ascii="Arial" w:cs="Arial" w:eastAsia="Arial" w:hAnsi="Arial"/>
          <w:sz w:val="17"/>
          <w:szCs w:val="17"/>
          <w:color w:val="345988"/>
        </w:rPr>
      </w:pPr>
      <w:r>
        <w:rPr>
          <w:rFonts w:ascii="Arial" w:cs="Arial" w:eastAsia="Arial" w:hAnsi="Arial"/>
          <w:sz w:val="18"/>
          <w:szCs w:val="18"/>
          <w:color w:val="auto"/>
        </w:rPr>
        <w:t>Three-year aggregate performance period</w:t>
      </w:r>
    </w:p>
    <w:p>
      <w:pPr>
        <w:ind w:left="800" w:hanging="253"/>
        <w:spacing w:after="0" w:line="234" w:lineRule="auto"/>
        <w:tabs>
          <w:tab w:leader="none" w:pos="800" w:val="left"/>
        </w:tabs>
        <w:numPr>
          <w:ilvl w:val="0"/>
          <w:numId w:val="93"/>
        </w:numPr>
        <w:rPr>
          <w:rFonts w:ascii="Arial" w:cs="Arial" w:eastAsia="Arial" w:hAnsi="Arial"/>
          <w:sz w:val="17"/>
          <w:szCs w:val="17"/>
          <w:color w:val="345988"/>
        </w:rPr>
      </w:pPr>
      <w:r>
        <w:rPr>
          <w:rFonts w:ascii="Arial" w:cs="Arial" w:eastAsia="Arial" w:hAnsi="Arial"/>
          <w:sz w:val="18"/>
          <w:szCs w:val="18"/>
          <w:color w:val="auto"/>
        </w:rPr>
        <w:t>$7.5 million value at target performance, with 50% threshold and 225% maximum</w:t>
      </w:r>
    </w:p>
    <w:p>
      <w:pPr>
        <w:ind w:left="800" w:right="360" w:hanging="253"/>
        <w:spacing w:after="0" w:line="234" w:lineRule="auto"/>
        <w:tabs>
          <w:tab w:leader="none" w:pos="800" w:val="left"/>
        </w:tabs>
        <w:numPr>
          <w:ilvl w:val="0"/>
          <w:numId w:val="93"/>
        </w:numPr>
        <w:rPr>
          <w:rFonts w:ascii="Arial" w:cs="Arial" w:eastAsia="Arial" w:hAnsi="Arial"/>
          <w:sz w:val="17"/>
          <w:szCs w:val="17"/>
          <w:color w:val="345988"/>
        </w:rPr>
      </w:pPr>
      <w:r>
        <w:rPr>
          <w:rFonts w:ascii="Arial" w:cs="Arial" w:eastAsia="Arial" w:hAnsi="Arial"/>
          <w:sz w:val="18"/>
          <w:szCs w:val="18"/>
          <w:color w:val="auto"/>
        </w:rPr>
        <w:t>50% to be based on performance against annual operating goals (e.g., Manhattan same store occupancy, debt to EBITDA and/or FAD) determined by the Committee, subject to modifier measured on absolute TSR over three-year performance period</w:t>
      </w:r>
    </w:p>
    <w:p>
      <w:pPr>
        <w:ind w:left="800" w:hanging="253"/>
        <w:spacing w:after="0" w:line="234" w:lineRule="auto"/>
        <w:tabs>
          <w:tab w:leader="none" w:pos="800" w:val="left"/>
        </w:tabs>
        <w:numPr>
          <w:ilvl w:val="0"/>
          <w:numId w:val="93"/>
        </w:numPr>
        <w:rPr>
          <w:rFonts w:ascii="Arial" w:cs="Arial" w:eastAsia="Arial" w:hAnsi="Arial"/>
          <w:sz w:val="17"/>
          <w:szCs w:val="17"/>
          <w:color w:val="345988"/>
        </w:rPr>
      </w:pPr>
      <w:r>
        <w:rPr>
          <w:rFonts w:ascii="Arial" w:cs="Arial" w:eastAsia="Arial" w:hAnsi="Arial"/>
          <w:sz w:val="18"/>
          <w:szCs w:val="18"/>
          <w:color w:val="auto"/>
        </w:rPr>
        <w:t>50% to be based on relative TSR over three-year performance period</w:t>
      </w:r>
    </w:p>
    <w:p>
      <w:pPr>
        <w:ind w:left="800" w:hanging="253"/>
        <w:spacing w:after="0"/>
        <w:tabs>
          <w:tab w:leader="none" w:pos="800" w:val="left"/>
        </w:tabs>
        <w:numPr>
          <w:ilvl w:val="0"/>
          <w:numId w:val="93"/>
        </w:numPr>
        <w:rPr>
          <w:rFonts w:ascii="Arial" w:cs="Arial" w:eastAsia="Arial" w:hAnsi="Arial"/>
          <w:sz w:val="17"/>
          <w:szCs w:val="17"/>
          <w:color w:val="345988"/>
        </w:rPr>
      </w:pPr>
      <w:r>
        <w:rPr>
          <w:rFonts w:ascii="Arial" w:cs="Arial" w:eastAsia="Arial" w:hAnsi="Arial"/>
          <w:sz w:val="18"/>
          <w:szCs w:val="18"/>
          <w:color w:val="auto"/>
        </w:rPr>
        <w:t>Eliminated multiple alternative performance goal</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Annual Time-Based LTIP Units – 37.5% of target long-term incentive compensation</w:t>
      </w:r>
    </w:p>
    <w:p>
      <w:pPr>
        <w:spacing w:after="0" w:line="8" w:lineRule="exact"/>
        <w:rPr>
          <w:sz w:val="20"/>
          <w:szCs w:val="20"/>
          <w:color w:val="auto"/>
        </w:rPr>
      </w:pPr>
    </w:p>
    <w:p>
      <w:pPr>
        <w:ind w:left="800" w:hanging="253"/>
        <w:spacing w:after="0"/>
        <w:tabs>
          <w:tab w:leader="none" w:pos="800" w:val="left"/>
        </w:tabs>
        <w:numPr>
          <w:ilvl w:val="0"/>
          <w:numId w:val="94"/>
        </w:numPr>
        <w:rPr>
          <w:rFonts w:ascii="Arial" w:cs="Arial" w:eastAsia="Arial" w:hAnsi="Arial"/>
          <w:sz w:val="17"/>
          <w:szCs w:val="17"/>
          <w:color w:val="345988"/>
        </w:rPr>
      </w:pPr>
      <w:r>
        <w:rPr>
          <w:rFonts w:ascii="Arial" w:cs="Arial" w:eastAsia="Arial" w:hAnsi="Arial"/>
          <w:sz w:val="18"/>
          <w:szCs w:val="18"/>
          <w:color w:val="auto"/>
        </w:rPr>
        <w:t>Vest ratably over three-years from grant</w:t>
      </w:r>
    </w:p>
    <w:p>
      <w:pPr>
        <w:ind w:left="800" w:hanging="253"/>
        <w:spacing w:after="0" w:line="234" w:lineRule="auto"/>
        <w:tabs>
          <w:tab w:leader="none" w:pos="800" w:val="left"/>
        </w:tabs>
        <w:numPr>
          <w:ilvl w:val="0"/>
          <w:numId w:val="94"/>
        </w:numPr>
        <w:rPr>
          <w:rFonts w:ascii="Arial" w:cs="Arial" w:eastAsia="Arial" w:hAnsi="Arial"/>
          <w:sz w:val="17"/>
          <w:szCs w:val="17"/>
          <w:color w:val="345988"/>
        </w:rPr>
      </w:pPr>
      <w:r>
        <w:rPr>
          <w:rFonts w:ascii="Arial" w:cs="Arial" w:eastAsia="Arial" w:hAnsi="Arial"/>
          <w:sz w:val="18"/>
          <w:szCs w:val="18"/>
          <w:color w:val="auto"/>
        </w:rPr>
        <w:t>Three-year no-sale from grant</w:t>
      </w:r>
    </w:p>
    <w:p>
      <w:pPr>
        <w:ind w:left="800" w:hanging="253"/>
        <w:spacing w:after="0"/>
        <w:tabs>
          <w:tab w:leader="none" w:pos="800" w:val="left"/>
        </w:tabs>
        <w:numPr>
          <w:ilvl w:val="0"/>
          <w:numId w:val="94"/>
        </w:numPr>
        <w:rPr>
          <w:rFonts w:ascii="Arial" w:cs="Arial" w:eastAsia="Arial" w:hAnsi="Arial"/>
          <w:sz w:val="17"/>
          <w:szCs w:val="17"/>
          <w:color w:val="345988"/>
        </w:rPr>
      </w:pPr>
      <w:r>
        <w:rPr>
          <w:rFonts w:ascii="Arial" w:cs="Arial" w:eastAsia="Arial" w:hAnsi="Arial"/>
          <w:sz w:val="18"/>
          <w:szCs w:val="18"/>
          <w:color w:val="auto"/>
        </w:rPr>
        <w:t>$4.5 million annual target, with the Committee to determine actual award amount</w:t>
      </w:r>
    </w:p>
    <w:p>
      <w:pPr>
        <w:spacing w:after="0" w:line="1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Committee believes these changes are consistent with feedback we heard from our shareholders and tighten the link between performance and pay, and will continue to incentivize our CEO to lead sustainable, long-term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35F8C"/>
        </w:rPr>
        <w:t>Mr. DiLiberto</w:t>
      </w:r>
    </w:p>
    <w:p>
      <w:pPr>
        <w:spacing w:after="0" w:line="212"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At the December 2017 Compensation Committee meeting, the Committee approved the general terms of a new employment agreement for Mr. DiLiberto (which was determined before Mr. Holliday’s new employment agreement), for a term of three years from January 1, 2018 to January 1, 2021.</w:t>
      </w:r>
    </w:p>
    <w:p>
      <w:pPr>
        <w:spacing w:after="0" w:line="17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Under this new contract, Mr. DiLiberto will receive 30,000 LTIP units for his service over the three-year period. 15,000 of the LTIP units will be delivered as time-based awards that vest 33% on each of January 1, 2019, January 1, 2020 and January 1, 2021, and 15,000 of the LTIP units will be delivered as a performance-based award. Under the terms of the performance-based award, up to one-third of the award can vest each year based on the following performance hurdles:</w:t>
      </w:r>
    </w:p>
    <w:p>
      <w:pPr>
        <w:spacing w:after="0" w:line="175" w:lineRule="exact"/>
        <w:rPr>
          <w:sz w:val="20"/>
          <w:szCs w:val="20"/>
          <w:color w:val="auto"/>
        </w:rPr>
      </w:pPr>
    </w:p>
    <w:p>
      <w:pPr>
        <w:ind w:left="540" w:right="140" w:hanging="263"/>
        <w:spacing w:after="0" w:line="275" w:lineRule="auto"/>
        <w:tabs>
          <w:tab w:leader="none" w:pos="540" w:val="left"/>
        </w:tabs>
        <w:numPr>
          <w:ilvl w:val="0"/>
          <w:numId w:val="95"/>
        </w:numPr>
        <w:rPr>
          <w:rFonts w:ascii="Arial" w:cs="Arial" w:eastAsia="Arial" w:hAnsi="Arial"/>
          <w:sz w:val="17"/>
          <w:szCs w:val="17"/>
          <w:color w:val="345988"/>
        </w:rPr>
      </w:pPr>
      <w:r>
        <w:rPr>
          <w:rFonts w:ascii="Arial" w:cs="Arial" w:eastAsia="Arial" w:hAnsi="Arial"/>
          <w:sz w:val="18"/>
          <w:szCs w:val="18"/>
          <w:color w:val="auto"/>
        </w:rPr>
        <w:t>If the Company, for the year or cumulatively from 2018 through a subsequent quarter during the term, achieves either (A) an increase in FFO per share between 2.5% and 5% per year or (B) relative TSR between the top 67% and top 33% of the constituents</w:t>
      </w:r>
    </w:p>
    <w:p>
      <w:pPr>
        <w:spacing w:after="0" w:line="149" w:lineRule="exact"/>
        <w:rPr>
          <w:sz w:val="20"/>
          <w:szCs w:val="20"/>
          <w:color w:val="auto"/>
        </w:rPr>
      </w:pPr>
    </w:p>
    <w:p>
      <w:pPr>
        <w:ind w:left="300" w:hanging="292"/>
        <w:spacing w:after="0"/>
        <w:tabs>
          <w:tab w:leader="none" w:pos="300" w:val="left"/>
        </w:tabs>
        <w:numPr>
          <w:ilvl w:val="0"/>
          <w:numId w:val="96"/>
        </w:numPr>
        <w:rPr>
          <w:rFonts w:ascii="Arial" w:cs="Arial" w:eastAsia="Arial" w:hAnsi="Arial"/>
          <w:sz w:val="18"/>
          <w:szCs w:val="18"/>
          <w:color w:val="325889"/>
        </w:rPr>
      </w:pPr>
      <w:r>
        <w:rPr>
          <w:rFonts w:ascii="Arial" w:cs="Arial" w:eastAsia="Arial" w:hAnsi="Arial"/>
          <w:sz w:val="18"/>
          <w:szCs w:val="18"/>
          <w:color w:val="auto"/>
        </w:rPr>
        <w:t>SL Green Realty Corp.</w:t>
      </w:r>
    </w:p>
    <w:p>
      <w:pPr>
        <w:sectPr>
          <w:pgSz w:w="11900" w:h="16838" w:orient="portrait"/>
          <w:cols w:equalWidth="0" w:num="1">
            <w:col w:w="11420"/>
          </w:cols>
          <w:pgMar w:left="240" w:top="119" w:right="239" w:bottom="0" w:gutter="0" w:footer="0" w:header="0"/>
        </w:sectPr>
      </w:pPr>
    </w:p>
    <w:bookmarkStart w:id="44" w:name="page45"/>
    <w:bookmarkEnd w:id="44"/>
    <w:p>
      <w:pPr>
        <w:spacing w:after="0"/>
        <w:tabs>
          <w:tab w:leader="none" w:pos="3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8210"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821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8980"/>
        <w:spacing w:after="0"/>
        <w:rPr>
          <w:sz w:val="20"/>
          <w:szCs w:val="20"/>
          <w:color w:val="auto"/>
        </w:rPr>
      </w:pPr>
      <w:r>
        <w:rPr>
          <w:rFonts w:ascii="Arial" w:cs="Arial" w:eastAsia="Arial" w:hAnsi="Arial"/>
          <w:sz w:val="16"/>
          <w:szCs w:val="16"/>
          <w:u w:val="single" w:color="auto"/>
          <w:color w:val="345988"/>
        </w:rPr>
        <w:t>EXECUTIVE COMPENSATION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SNL Office REIT Index, awards will be earned as shown in the table below, with linear interpolation between performance levels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Level</w:t>
            </w:r>
          </w:p>
        </w:tc>
        <w:tc>
          <w:tcPr>
            <w:tcW w:w="8000" w:type="dxa"/>
            <w:vAlign w:val="bottom"/>
            <w:gridSpan w:val="2"/>
          </w:tcPr>
          <w:p>
            <w:pPr>
              <w:spacing w:after="0"/>
              <w:rPr>
                <w:sz w:val="20"/>
                <w:szCs w:val="20"/>
                <w:color w:val="auto"/>
              </w:rPr>
            </w:pPr>
            <w:r>
              <w:rPr>
                <w:rFonts w:ascii="Arial" w:cs="Arial" w:eastAsia="Arial" w:hAnsi="Arial"/>
                <w:sz w:val="13"/>
                <w:szCs w:val="13"/>
                <w:b w:val="1"/>
                <w:bCs w:val="1"/>
                <w:color w:val="345988"/>
              </w:rPr>
              <w:t>Performance Achieved</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345988"/>
              </w:rPr>
              <w:t>LTIP Units Earned</w:t>
            </w:r>
          </w:p>
        </w:tc>
      </w:tr>
      <w:tr>
        <w:trPr>
          <w:trHeight w:val="38"/>
        </w:trPr>
        <w:tc>
          <w:tcPr>
            <w:tcW w:w="2260" w:type="dxa"/>
            <w:vAlign w:val="bottom"/>
            <w:gridSpan w:val="2"/>
          </w:tcPr>
          <w:p>
            <w:pPr>
              <w:spacing w:after="0"/>
              <w:rPr>
                <w:sz w:val="3"/>
                <w:szCs w:val="3"/>
                <w:color w:val="auto"/>
              </w:rPr>
            </w:pPr>
          </w:p>
        </w:tc>
        <w:tc>
          <w:tcPr>
            <w:tcW w:w="800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r>
      <w:tr>
        <w:trPr>
          <w:trHeight w:val="237"/>
        </w:trPr>
        <w:tc>
          <w:tcPr>
            <w:tcW w:w="2140" w:type="dxa"/>
            <w:vAlign w:val="bottom"/>
            <w:tcBorders>
              <w:top w:val="single" w:sz="8" w:color="345988"/>
            </w:tcBorders>
          </w:tcPr>
          <w:p>
            <w:pPr>
              <w:spacing w:after="0"/>
              <w:rPr>
                <w:sz w:val="20"/>
                <w:szCs w:val="20"/>
                <w:color w:val="auto"/>
              </w:rPr>
            </w:pPr>
            <w:r>
              <w:rPr>
                <w:rFonts w:ascii="Arial" w:cs="Arial" w:eastAsia="Arial" w:hAnsi="Arial"/>
                <w:sz w:val="18"/>
                <w:szCs w:val="18"/>
                <w:color w:val="auto"/>
              </w:rPr>
              <w:t>Threshold</w:t>
            </w:r>
          </w:p>
        </w:tc>
        <w:tc>
          <w:tcPr>
            <w:tcW w:w="120" w:type="dxa"/>
            <w:vAlign w:val="bottom"/>
          </w:tcPr>
          <w:p>
            <w:pPr>
              <w:spacing w:after="0"/>
              <w:rPr>
                <w:sz w:val="20"/>
                <w:szCs w:val="20"/>
                <w:color w:val="auto"/>
              </w:rPr>
            </w:pPr>
          </w:p>
        </w:tc>
        <w:tc>
          <w:tcPr>
            <w:tcW w:w="7880" w:type="dxa"/>
            <w:vAlign w:val="bottom"/>
            <w:tcBorders>
              <w:top w:val="single" w:sz="8" w:color="345988"/>
            </w:tcBorders>
          </w:tcPr>
          <w:p>
            <w:pPr>
              <w:spacing w:after="0"/>
              <w:rPr>
                <w:sz w:val="20"/>
                <w:szCs w:val="20"/>
                <w:color w:val="auto"/>
              </w:rPr>
            </w:pPr>
            <w:r>
              <w:rPr>
                <w:rFonts w:ascii="Arial" w:cs="Arial" w:eastAsia="Arial" w:hAnsi="Arial"/>
                <w:sz w:val="18"/>
                <w:szCs w:val="18"/>
                <w:color w:val="auto"/>
              </w:rPr>
              <w:t>2.5% FFO growth or</w:t>
            </w:r>
          </w:p>
        </w:tc>
        <w:tc>
          <w:tcPr>
            <w:tcW w:w="120" w:type="dxa"/>
            <w:vAlign w:val="bottom"/>
          </w:tcPr>
          <w:p>
            <w:pPr>
              <w:spacing w:after="0"/>
              <w:rPr>
                <w:sz w:val="20"/>
                <w:szCs w:val="20"/>
                <w:color w:val="auto"/>
              </w:rPr>
            </w:pPr>
          </w:p>
        </w:tc>
        <w:tc>
          <w:tcPr>
            <w:tcW w:w="1160" w:type="dxa"/>
            <w:vAlign w:val="bottom"/>
            <w:tcBorders>
              <w:top w:val="single" w:sz="8" w:color="345988"/>
            </w:tcBorders>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Top 67% TSR*</w:t>
            </w:r>
          </w:p>
        </w:tc>
        <w:tc>
          <w:tcPr>
            <w:tcW w:w="1160" w:type="dxa"/>
            <w:vAlign w:val="bottom"/>
          </w:tcPr>
          <w:p>
            <w:pPr>
              <w:spacing w:after="0"/>
              <w:rPr>
                <w:sz w:val="21"/>
                <w:szCs w:val="21"/>
                <w:color w:val="auto"/>
              </w:rPr>
            </w:pPr>
          </w:p>
        </w:tc>
      </w:tr>
      <w:tr>
        <w:trPr>
          <w:trHeight w:val="236"/>
        </w:trPr>
        <w:tc>
          <w:tcPr>
            <w:tcW w:w="2140" w:type="dxa"/>
            <w:vAlign w:val="bottom"/>
            <w:tcBorders>
              <w:top w:val="single" w:sz="8" w:color="8590A9"/>
            </w:tcBorders>
          </w:tcPr>
          <w:p>
            <w:pPr>
              <w:spacing w:after="0"/>
              <w:rPr>
                <w:sz w:val="20"/>
                <w:szCs w:val="20"/>
                <w:color w:val="auto"/>
              </w:rPr>
            </w:pPr>
            <w:r>
              <w:rPr>
                <w:rFonts w:ascii="Arial" w:cs="Arial" w:eastAsia="Arial" w:hAnsi="Arial"/>
                <w:sz w:val="18"/>
                <w:szCs w:val="18"/>
                <w:color w:val="auto"/>
              </w:rPr>
              <w:t>Target</w:t>
            </w:r>
          </w:p>
        </w:tc>
        <w:tc>
          <w:tcPr>
            <w:tcW w:w="120" w:type="dxa"/>
            <w:vAlign w:val="bottom"/>
          </w:tcPr>
          <w:p>
            <w:pPr>
              <w:spacing w:after="0"/>
              <w:rPr>
                <w:sz w:val="20"/>
                <w:szCs w:val="20"/>
                <w:color w:val="auto"/>
              </w:rPr>
            </w:pPr>
          </w:p>
        </w:tc>
        <w:tc>
          <w:tcPr>
            <w:tcW w:w="7880" w:type="dxa"/>
            <w:vAlign w:val="bottom"/>
            <w:tcBorders>
              <w:top w:val="single" w:sz="8" w:color="8590A9"/>
            </w:tcBorders>
          </w:tcPr>
          <w:p>
            <w:pPr>
              <w:spacing w:after="0"/>
              <w:rPr>
                <w:sz w:val="20"/>
                <w:szCs w:val="20"/>
                <w:color w:val="auto"/>
              </w:rPr>
            </w:pPr>
            <w:r>
              <w:rPr>
                <w:rFonts w:ascii="Arial" w:cs="Arial" w:eastAsia="Arial" w:hAnsi="Arial"/>
                <w:sz w:val="18"/>
                <w:szCs w:val="18"/>
                <w:color w:val="auto"/>
              </w:rPr>
              <w:t>3.75% FFO growth or</w:t>
            </w:r>
          </w:p>
        </w:tc>
        <w:tc>
          <w:tcPr>
            <w:tcW w:w="120" w:type="dxa"/>
            <w:vAlign w:val="bottom"/>
          </w:tcPr>
          <w:p>
            <w:pPr>
              <w:spacing w:after="0"/>
              <w:rPr>
                <w:sz w:val="20"/>
                <w:szCs w:val="20"/>
                <w:color w:val="auto"/>
              </w:rPr>
            </w:pPr>
          </w:p>
        </w:tc>
        <w:tc>
          <w:tcPr>
            <w:tcW w:w="1160" w:type="dxa"/>
            <w:vAlign w:val="bottom"/>
            <w:tcBorders>
              <w:top w:val="single" w:sz="8" w:color="8590A9"/>
            </w:tcBorders>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Top 50% TSR*</w:t>
            </w:r>
          </w:p>
        </w:tc>
        <w:tc>
          <w:tcPr>
            <w:tcW w:w="1160" w:type="dxa"/>
            <w:vAlign w:val="bottom"/>
          </w:tcPr>
          <w:p>
            <w:pPr>
              <w:spacing w:after="0"/>
              <w:rPr>
                <w:sz w:val="21"/>
                <w:szCs w:val="21"/>
                <w:color w:val="auto"/>
              </w:rPr>
            </w:pPr>
          </w:p>
        </w:tc>
      </w:tr>
      <w:tr>
        <w:trPr>
          <w:trHeight w:val="236"/>
        </w:trPr>
        <w:tc>
          <w:tcPr>
            <w:tcW w:w="2140" w:type="dxa"/>
            <w:vAlign w:val="bottom"/>
            <w:tcBorders>
              <w:top w:val="single" w:sz="8" w:color="8590A9"/>
            </w:tcBorders>
          </w:tcPr>
          <w:p>
            <w:pPr>
              <w:spacing w:after="0"/>
              <w:rPr>
                <w:sz w:val="20"/>
                <w:szCs w:val="20"/>
                <w:color w:val="auto"/>
              </w:rPr>
            </w:pPr>
            <w:r>
              <w:rPr>
                <w:rFonts w:ascii="Arial" w:cs="Arial" w:eastAsia="Arial" w:hAnsi="Arial"/>
                <w:sz w:val="18"/>
                <w:szCs w:val="18"/>
                <w:color w:val="auto"/>
              </w:rPr>
              <w:t>Maximum</w:t>
            </w:r>
          </w:p>
        </w:tc>
        <w:tc>
          <w:tcPr>
            <w:tcW w:w="120" w:type="dxa"/>
            <w:vAlign w:val="bottom"/>
          </w:tcPr>
          <w:p>
            <w:pPr>
              <w:spacing w:after="0"/>
              <w:rPr>
                <w:sz w:val="20"/>
                <w:szCs w:val="20"/>
                <w:color w:val="auto"/>
              </w:rPr>
            </w:pPr>
          </w:p>
        </w:tc>
        <w:tc>
          <w:tcPr>
            <w:tcW w:w="7880" w:type="dxa"/>
            <w:vAlign w:val="bottom"/>
            <w:tcBorders>
              <w:top w:val="single" w:sz="8" w:color="8590A9"/>
            </w:tcBorders>
          </w:tcPr>
          <w:p>
            <w:pPr>
              <w:spacing w:after="0"/>
              <w:rPr>
                <w:sz w:val="20"/>
                <w:szCs w:val="20"/>
                <w:color w:val="auto"/>
              </w:rPr>
            </w:pPr>
            <w:r>
              <w:rPr>
                <w:rFonts w:ascii="Arial" w:cs="Arial" w:eastAsia="Arial" w:hAnsi="Arial"/>
                <w:sz w:val="18"/>
                <w:szCs w:val="18"/>
                <w:color w:val="auto"/>
              </w:rPr>
              <w:t>5% FFO growth or</w:t>
            </w:r>
          </w:p>
        </w:tc>
        <w:tc>
          <w:tcPr>
            <w:tcW w:w="120" w:type="dxa"/>
            <w:vAlign w:val="bottom"/>
          </w:tcPr>
          <w:p>
            <w:pPr>
              <w:spacing w:after="0"/>
              <w:rPr>
                <w:sz w:val="20"/>
                <w:szCs w:val="20"/>
                <w:color w:val="auto"/>
              </w:rPr>
            </w:pPr>
          </w:p>
        </w:tc>
        <w:tc>
          <w:tcPr>
            <w:tcW w:w="1160" w:type="dxa"/>
            <w:vAlign w:val="bottom"/>
            <w:tcBorders>
              <w:top w:val="single" w:sz="8" w:color="8590A9"/>
            </w:tcBorders>
          </w:tcPr>
          <w:p>
            <w:pPr>
              <w:jc w:val="right"/>
              <w:spacing w:after="0"/>
              <w:rPr>
                <w:sz w:val="20"/>
                <w:szCs w:val="20"/>
                <w:color w:val="auto"/>
              </w:rPr>
            </w:pPr>
            <w:r>
              <w:rPr>
                <w:rFonts w:ascii="Arial" w:cs="Arial" w:eastAsia="Arial" w:hAnsi="Arial"/>
                <w:sz w:val="18"/>
                <w:szCs w:val="18"/>
                <w:color w:val="auto"/>
              </w:rPr>
              <w:t>100%</w:t>
            </w:r>
          </w:p>
        </w:tc>
      </w:tr>
      <w:tr>
        <w:trPr>
          <w:trHeight w:val="255"/>
        </w:trPr>
        <w:tc>
          <w:tcPr>
            <w:tcW w:w="2140" w:type="dxa"/>
            <w:vAlign w:val="bottom"/>
            <w:tcBorders>
              <w:bottom w:val="single" w:sz="8" w:color="345988"/>
            </w:tcBorders>
          </w:tcPr>
          <w:p>
            <w:pPr>
              <w:spacing w:after="0"/>
              <w:rPr>
                <w:sz w:val="22"/>
                <w:szCs w:val="22"/>
                <w:color w:val="auto"/>
              </w:rPr>
            </w:pPr>
          </w:p>
        </w:tc>
        <w:tc>
          <w:tcPr>
            <w:tcW w:w="120" w:type="dxa"/>
            <w:vAlign w:val="bottom"/>
          </w:tcPr>
          <w:p>
            <w:pPr>
              <w:spacing w:after="0"/>
              <w:rPr>
                <w:sz w:val="22"/>
                <w:szCs w:val="22"/>
                <w:color w:val="auto"/>
              </w:rPr>
            </w:pPr>
          </w:p>
        </w:tc>
        <w:tc>
          <w:tcPr>
            <w:tcW w:w="788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Top 33% TSR*</w:t>
            </w:r>
          </w:p>
        </w:tc>
        <w:tc>
          <w:tcPr>
            <w:tcW w:w="120" w:type="dxa"/>
            <w:vAlign w:val="bottom"/>
          </w:tcPr>
          <w:p>
            <w:pPr>
              <w:spacing w:after="0"/>
              <w:rPr>
                <w:sz w:val="22"/>
                <w:szCs w:val="22"/>
                <w:color w:val="auto"/>
              </w:rPr>
            </w:pPr>
          </w:p>
        </w:tc>
        <w:tc>
          <w:tcPr>
            <w:tcW w:w="1160" w:type="dxa"/>
            <w:vAlign w:val="bottom"/>
            <w:tcBorders>
              <w:bottom w:val="single" w:sz="8" w:color="345988"/>
            </w:tcBorders>
          </w:tcPr>
          <w:p>
            <w:pPr>
              <w:spacing w:after="0"/>
              <w:rPr>
                <w:sz w:val="22"/>
                <w:szCs w:val="22"/>
                <w:color w:val="auto"/>
              </w:rPr>
            </w:pPr>
          </w:p>
        </w:tc>
      </w:tr>
    </w:tbl>
    <w:p>
      <w:pPr>
        <w:spacing w:after="0" w:line="91" w:lineRule="exact"/>
        <w:rPr>
          <w:sz w:val="20"/>
          <w:szCs w:val="20"/>
          <w:color w:val="auto"/>
        </w:rPr>
      </w:pPr>
    </w:p>
    <w:p>
      <w:pPr>
        <w:ind w:left="260" w:hanging="252"/>
        <w:spacing w:after="0"/>
        <w:tabs>
          <w:tab w:leader="none" w:pos="260" w:val="left"/>
        </w:tabs>
        <w:numPr>
          <w:ilvl w:val="0"/>
          <w:numId w:val="97"/>
        </w:numPr>
        <w:rPr>
          <w:rFonts w:ascii="Arial" w:cs="Arial" w:eastAsia="Arial" w:hAnsi="Arial"/>
          <w:sz w:val="13"/>
          <w:szCs w:val="13"/>
          <w:color w:val="auto"/>
        </w:rPr>
      </w:pPr>
      <w:r>
        <w:rPr>
          <w:rFonts w:ascii="Arial" w:cs="Arial" w:eastAsia="Arial" w:hAnsi="Arial"/>
          <w:sz w:val="13"/>
          <w:szCs w:val="13"/>
          <w:color w:val="auto"/>
        </w:rPr>
        <w:t>Relative TSR compared to the constituents of the SNL Office REIT Index</w:t>
      </w:r>
    </w:p>
    <w:p>
      <w:pPr>
        <w:spacing w:after="0" w:line="212"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Under Mr. DiLiberto’s new contract, there are two opportunities to earn 100% of the LTIP units, down from three in the prior agreement. Similarly, there are opportunities to earn 50% and 75% of granted shares for threshold and target performance, respectively. During our discussions with investors, we described how much of the long-term compensation paid to our NEOs is governed by their individual employment agreements that have staggered expiration dates. The Committee took this opportunity to simplify the long-term equity awards that are part of Mr. DiLiberto’s new contract in response to shareholder feedback.</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Other Compensation Policies and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How We Determine Executive Compensation</w:t>
      </w:r>
    </w:p>
    <w:p>
      <w:pPr>
        <w:spacing w:after="0" w:line="2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Committee determines compensation for our named executive officers and is comprised of four of our independent directors, Lauren B. Dillard (Chair), John H. Alschuler, Edwin Thomas Burton, III and John S. Levy.</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Independent Compensation Consultant/Compensation Process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Committee retained Gressle &amp; McGinley LLC as its independent outside compensation consulting firm and engaged Gressle &amp; McGinley LLC to provide the Committee with relevant data concerning the marketplace, our peer group and its own independent analysis and recommendations concerning executive compensation. Gressle &amp; McGinley LLC regularly participates in Compensation Committee meetings. Gressle &amp; McGinley LLC does not provide any additional services to the Committee and does not provide any services to the Company other than to the Committee. Its sole role is as an independent consulting firm to advise the Committee with respect to the compensation of our named executive officers. The ultimate determination of total compensation and the elements that comprise that total compensation is made solely by the Committee.</w:t>
      </w:r>
    </w:p>
    <w:p>
      <w:pPr>
        <w:spacing w:after="0" w:line="15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With respect to our named executive officers, the Committee solicits recommendations from our Chief Executive Officer regarding total compensation, the allocation of this compensation among base salary, annual bonus amounts and other long-term incentive compensation, as well as the portion of overall compensation to be provided in cash or equity. Our Chairman also advises the Committee on these matters as they pertain to the compensation of our Chief Executive Officer. FTI Consulting is retained by our management as a general business advisor and provides services to the Company in a number of areas, including compensation. FTI Consulting, which has relationships with certain officers of the Company, provides market data to our Chief Executive Officer and Chairman, which they review when considering their compensation recommendations. The recommendations with respect to compensation are formulated by our Chief Executive Officer and Chairman and are communicated to the Committee by them. The Committee is also provided with the market data compiled by FTI Consulting and its recommendations with respect to the compensation of our named executive officers. The other named executive officers do not play a role in determining their own compensation, other than discussing their performance with our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final determinations of compensation for our named executive officers are made solely by the Committee.</w:t>
      </w:r>
    </w:p>
    <w:p>
      <w:pPr>
        <w:spacing w:after="0" w:line="21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Committee meets during the year to evaluate executive performance, to monitor market conditions in light of our goals and objectives, to solicit input from our independent compensation consultant on market practices, including peer group pay practices and new developments, and to review our executive compensation practices. As part of these meetings, in formulation of its executive compensation policies and practices for 2017, the Committee reviewed then-existing policies of certain of our institutional investors, Institutional Shareholder Services, Inc., Glass Lewis &amp; Co LLC and other governance groups, as well as feedback provided by such groups in prior year proxy research reports. The Committee engaged with a significant number of stockholders holding a substantial percentage of outstanding shares as discussed above, and annually reviews our executive compensation policies and practices to ensure that such policies are in line with current market practices and stockholders’ best interests. The Committee makes regular reports to the Board.</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Peer Group Benchmarking</w:t>
      </w:r>
    </w:p>
    <w:p>
      <w:pPr>
        <w:spacing w:after="0" w:line="21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2017, as in prior years, the Committee reviewed various peer compensation information in connection with its compensation decisions, primarily focused on the chief executive officer’s compensation. The Committee did not use this peer information to target a particular percentile for our Chief Executive Officer’s total compensation for 2017, but rather used this information to confirm that our Chief Executive Officer’s total compensation for 2017 was within an appropriate range of the total compensation received by the chief executive officers of these peers, considering relative size and performance. With respect to size, we ranked above the median of these peers with respect to common equity market capitalization and total revenue.</w:t>
      </w:r>
    </w:p>
    <w:p>
      <w:pPr>
        <w:spacing w:after="0" w:line="181"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1"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For 2017, the Committee added four companies to the peer group, including Douglas Emmett, Inc., Empire State Realty Trust, Inc., Kilroy Realty Corporation, and Ventas, Inc. These companies were added because they are appropriately sized REITs specializing in office space or other comparable businesses.</w:t>
      </w:r>
    </w:p>
    <w:p>
      <w:pPr>
        <w:spacing w:after="0" w:line="172" w:lineRule="exact"/>
        <w:rPr>
          <w:sz w:val="20"/>
          <w:szCs w:val="20"/>
          <w:color w:val="auto"/>
        </w:rPr>
      </w:pPr>
    </w:p>
    <w:p>
      <w:pPr>
        <w:jc w:val="both"/>
        <w:ind w:right="100"/>
        <w:spacing w:after="0" w:line="280" w:lineRule="auto"/>
        <w:rPr>
          <w:sz w:val="20"/>
          <w:szCs w:val="20"/>
          <w:color w:val="auto"/>
        </w:rPr>
      </w:pPr>
      <w:r>
        <w:rPr>
          <w:rFonts w:ascii="Arial" w:cs="Arial" w:eastAsia="Arial" w:hAnsi="Arial"/>
          <w:sz w:val="16"/>
          <w:szCs w:val="16"/>
          <w:color w:val="auto"/>
        </w:rPr>
        <w:t>For 2017, the Committee also removed three companies from the peer group, including Brookfield Asset Management, Inc., iStar Financial, and NorthStar Asset Management Group Inc. Brookfield Asset Management, Inc. was removed from the peer group because the size and diversity of the company’s assets under management was no longer directly comparable on a larger scale to SL Green. iStar Financial was removed from the peer group because the company was no longer an appropriate size comparison. NorthStar Asset Management Group Inc. was removed from the peer group because the company merged with Colony Capital, Inc. and NorthStar Realty Finance Corp. in January 2017.</w:t>
      </w:r>
    </w:p>
    <w:p>
      <w:pPr>
        <w:spacing w:after="0" w:line="153"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The Committee reviewed 2017 total compensation information for the chief executive officers of a New York City traditional REIT peer group. The Committee utilized a New York City-based peer group given the unique characteristics of the New York City real estate marketplace in which we conduct substantially all of our business, which is one of the most competitive in the world from both a business and compensation perspective. The following companies were included in the New York City traditional REIT peer group that the Committee reviewed: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5988"/>
        </w:rPr>
        <w:t>NYC Traditional REIT Peer Group</w:t>
      </w:r>
    </w:p>
    <w:p>
      <w:pPr>
        <w:spacing w:after="0" w:line="10" w:lineRule="exact"/>
        <w:rPr>
          <w:sz w:val="20"/>
          <w:szCs w:val="20"/>
          <w:color w:val="auto"/>
        </w:rPr>
      </w:pPr>
    </w:p>
    <w:p>
      <w:pPr>
        <w:ind w:left="540" w:hanging="263"/>
        <w:spacing w:after="0"/>
        <w:tabs>
          <w:tab w:leader="none" w:pos="540" w:val="left"/>
        </w:tabs>
        <w:numPr>
          <w:ilvl w:val="0"/>
          <w:numId w:val="98"/>
        </w:numPr>
        <w:rPr>
          <w:rFonts w:ascii="Arial" w:cs="Arial" w:eastAsia="Arial" w:hAnsi="Arial"/>
          <w:sz w:val="17"/>
          <w:szCs w:val="17"/>
          <w:color w:val="345988"/>
        </w:rPr>
      </w:pPr>
      <w:r>
        <w:rPr>
          <w:rFonts w:ascii="Arial" w:cs="Arial" w:eastAsia="Arial" w:hAnsi="Arial"/>
          <w:sz w:val="18"/>
          <w:szCs w:val="18"/>
          <w:color w:val="auto"/>
        </w:rPr>
        <w:t>Alexandria Real Estate Equities, Inc.</w:t>
      </w:r>
    </w:p>
    <w:p>
      <w:pPr>
        <w:ind w:left="540" w:hanging="263"/>
        <w:spacing w:after="0" w:line="234" w:lineRule="auto"/>
        <w:tabs>
          <w:tab w:leader="none" w:pos="540" w:val="left"/>
        </w:tabs>
        <w:numPr>
          <w:ilvl w:val="0"/>
          <w:numId w:val="98"/>
        </w:numPr>
        <w:rPr>
          <w:rFonts w:ascii="Arial" w:cs="Arial" w:eastAsia="Arial" w:hAnsi="Arial"/>
          <w:sz w:val="17"/>
          <w:szCs w:val="17"/>
          <w:color w:val="345988"/>
        </w:rPr>
      </w:pPr>
      <w:r>
        <w:rPr>
          <w:rFonts w:ascii="Arial" w:cs="Arial" w:eastAsia="Arial" w:hAnsi="Arial"/>
          <w:sz w:val="18"/>
          <w:szCs w:val="18"/>
          <w:color w:val="auto"/>
        </w:rPr>
        <w:t>Boston Properties, Inc.</w:t>
      </w:r>
    </w:p>
    <w:p>
      <w:pPr>
        <w:ind w:left="540" w:hanging="263"/>
        <w:spacing w:after="0" w:line="234" w:lineRule="auto"/>
        <w:tabs>
          <w:tab w:leader="none" w:pos="540" w:val="left"/>
        </w:tabs>
        <w:numPr>
          <w:ilvl w:val="0"/>
          <w:numId w:val="98"/>
        </w:numPr>
        <w:rPr>
          <w:rFonts w:ascii="Arial" w:cs="Arial" w:eastAsia="Arial" w:hAnsi="Arial"/>
          <w:sz w:val="17"/>
          <w:szCs w:val="17"/>
          <w:color w:val="345988"/>
        </w:rPr>
      </w:pPr>
      <w:r>
        <w:rPr>
          <w:rFonts w:ascii="Arial" w:cs="Arial" w:eastAsia="Arial" w:hAnsi="Arial"/>
          <w:sz w:val="18"/>
          <w:szCs w:val="18"/>
          <w:color w:val="auto"/>
        </w:rPr>
        <w:t>Douglas Emmett, Inc.</w:t>
      </w:r>
    </w:p>
    <w:p>
      <w:pPr>
        <w:ind w:left="540" w:hanging="263"/>
        <w:spacing w:after="0" w:line="234" w:lineRule="auto"/>
        <w:tabs>
          <w:tab w:leader="none" w:pos="540" w:val="left"/>
        </w:tabs>
        <w:numPr>
          <w:ilvl w:val="0"/>
          <w:numId w:val="98"/>
        </w:numPr>
        <w:rPr>
          <w:rFonts w:ascii="Arial" w:cs="Arial" w:eastAsia="Arial" w:hAnsi="Arial"/>
          <w:sz w:val="17"/>
          <w:szCs w:val="17"/>
          <w:color w:val="345988"/>
        </w:rPr>
      </w:pPr>
      <w:r>
        <w:rPr>
          <w:rFonts w:ascii="Arial" w:cs="Arial" w:eastAsia="Arial" w:hAnsi="Arial"/>
          <w:sz w:val="18"/>
          <w:szCs w:val="18"/>
          <w:color w:val="auto"/>
        </w:rPr>
        <w:t>Empire State Realty Trust, Inc.</w:t>
      </w:r>
    </w:p>
    <w:p>
      <w:pPr>
        <w:ind w:left="540" w:hanging="263"/>
        <w:spacing w:after="0" w:line="234" w:lineRule="auto"/>
        <w:tabs>
          <w:tab w:leader="none" w:pos="540" w:val="left"/>
        </w:tabs>
        <w:numPr>
          <w:ilvl w:val="0"/>
          <w:numId w:val="98"/>
        </w:numPr>
        <w:rPr>
          <w:rFonts w:ascii="Arial" w:cs="Arial" w:eastAsia="Arial" w:hAnsi="Arial"/>
          <w:sz w:val="17"/>
          <w:szCs w:val="17"/>
          <w:color w:val="345988"/>
        </w:rPr>
      </w:pPr>
      <w:r>
        <w:rPr>
          <w:rFonts w:ascii="Arial" w:cs="Arial" w:eastAsia="Arial" w:hAnsi="Arial"/>
          <w:sz w:val="18"/>
          <w:szCs w:val="18"/>
          <w:color w:val="auto"/>
        </w:rPr>
        <w:t>General Growth Properties, Inc.</w:t>
      </w:r>
    </w:p>
    <w:p>
      <w:pPr>
        <w:ind w:left="540" w:hanging="263"/>
        <w:spacing w:after="0" w:line="234" w:lineRule="auto"/>
        <w:tabs>
          <w:tab w:leader="none" w:pos="540" w:val="left"/>
        </w:tabs>
        <w:numPr>
          <w:ilvl w:val="0"/>
          <w:numId w:val="98"/>
        </w:numPr>
        <w:rPr>
          <w:rFonts w:ascii="Arial" w:cs="Arial" w:eastAsia="Arial" w:hAnsi="Arial"/>
          <w:sz w:val="17"/>
          <w:szCs w:val="17"/>
          <w:color w:val="345988"/>
        </w:rPr>
      </w:pPr>
      <w:r>
        <w:rPr>
          <w:rFonts w:ascii="Arial" w:cs="Arial" w:eastAsia="Arial" w:hAnsi="Arial"/>
          <w:sz w:val="18"/>
          <w:szCs w:val="18"/>
          <w:color w:val="auto"/>
        </w:rPr>
        <w:t>Kennedy-Wilson Holdings, Inc.</w:t>
      </w:r>
    </w:p>
    <w:p>
      <w:pPr>
        <w:ind w:left="540" w:hanging="263"/>
        <w:spacing w:after="0" w:line="234" w:lineRule="auto"/>
        <w:tabs>
          <w:tab w:leader="none" w:pos="540" w:val="left"/>
        </w:tabs>
        <w:numPr>
          <w:ilvl w:val="0"/>
          <w:numId w:val="98"/>
        </w:numPr>
        <w:rPr>
          <w:rFonts w:ascii="Arial" w:cs="Arial" w:eastAsia="Arial" w:hAnsi="Arial"/>
          <w:sz w:val="17"/>
          <w:szCs w:val="17"/>
          <w:color w:val="345988"/>
        </w:rPr>
      </w:pPr>
      <w:r>
        <w:rPr>
          <w:rFonts w:ascii="Arial" w:cs="Arial" w:eastAsia="Arial" w:hAnsi="Arial"/>
          <w:sz w:val="18"/>
          <w:szCs w:val="18"/>
          <w:color w:val="auto"/>
        </w:rPr>
        <w:t>Kilroy Realty Corporation</w:t>
      </w:r>
    </w:p>
    <w:p>
      <w:pPr>
        <w:ind w:left="540" w:hanging="263"/>
        <w:spacing w:after="0" w:line="234" w:lineRule="auto"/>
        <w:tabs>
          <w:tab w:leader="none" w:pos="540" w:val="left"/>
        </w:tabs>
        <w:numPr>
          <w:ilvl w:val="0"/>
          <w:numId w:val="98"/>
        </w:numPr>
        <w:rPr>
          <w:rFonts w:ascii="Arial" w:cs="Arial" w:eastAsia="Arial" w:hAnsi="Arial"/>
          <w:sz w:val="17"/>
          <w:szCs w:val="17"/>
          <w:color w:val="345988"/>
        </w:rPr>
      </w:pPr>
      <w:r>
        <w:rPr>
          <w:rFonts w:ascii="Arial" w:cs="Arial" w:eastAsia="Arial" w:hAnsi="Arial"/>
          <w:sz w:val="18"/>
          <w:szCs w:val="18"/>
          <w:color w:val="auto"/>
        </w:rPr>
        <w:t>Ladder Capital Corp.</w:t>
      </w:r>
    </w:p>
    <w:p>
      <w:pPr>
        <w:ind w:left="540" w:hanging="263"/>
        <w:spacing w:after="0" w:line="234" w:lineRule="auto"/>
        <w:tabs>
          <w:tab w:leader="none" w:pos="540" w:val="left"/>
        </w:tabs>
        <w:numPr>
          <w:ilvl w:val="0"/>
          <w:numId w:val="98"/>
        </w:numPr>
        <w:rPr>
          <w:rFonts w:ascii="Arial" w:cs="Arial" w:eastAsia="Arial" w:hAnsi="Arial"/>
          <w:sz w:val="17"/>
          <w:szCs w:val="17"/>
          <w:color w:val="345988"/>
        </w:rPr>
      </w:pPr>
      <w:r>
        <w:rPr>
          <w:rFonts w:ascii="Arial" w:cs="Arial" w:eastAsia="Arial" w:hAnsi="Arial"/>
          <w:sz w:val="18"/>
          <w:szCs w:val="18"/>
          <w:color w:val="auto"/>
        </w:rPr>
        <w:t>Paramount Group, Inc.</w:t>
      </w:r>
    </w:p>
    <w:p>
      <w:pPr>
        <w:ind w:left="540" w:hanging="263"/>
        <w:spacing w:after="0" w:line="234" w:lineRule="auto"/>
        <w:tabs>
          <w:tab w:leader="none" w:pos="540" w:val="left"/>
        </w:tabs>
        <w:numPr>
          <w:ilvl w:val="0"/>
          <w:numId w:val="98"/>
        </w:numPr>
        <w:rPr>
          <w:rFonts w:ascii="Arial" w:cs="Arial" w:eastAsia="Arial" w:hAnsi="Arial"/>
          <w:sz w:val="17"/>
          <w:szCs w:val="17"/>
          <w:color w:val="345988"/>
        </w:rPr>
      </w:pPr>
      <w:r>
        <w:rPr>
          <w:rFonts w:ascii="Arial" w:cs="Arial" w:eastAsia="Arial" w:hAnsi="Arial"/>
          <w:sz w:val="18"/>
          <w:szCs w:val="18"/>
          <w:color w:val="auto"/>
        </w:rPr>
        <w:t>Ventas, Inc.</w:t>
      </w:r>
    </w:p>
    <w:p>
      <w:pPr>
        <w:ind w:left="540" w:hanging="263"/>
        <w:spacing w:after="0"/>
        <w:tabs>
          <w:tab w:leader="none" w:pos="540" w:val="left"/>
        </w:tabs>
        <w:numPr>
          <w:ilvl w:val="0"/>
          <w:numId w:val="98"/>
        </w:numPr>
        <w:rPr>
          <w:rFonts w:ascii="Arial" w:cs="Arial" w:eastAsia="Arial" w:hAnsi="Arial"/>
          <w:sz w:val="17"/>
          <w:szCs w:val="17"/>
          <w:color w:val="345988"/>
        </w:rPr>
      </w:pPr>
      <w:r>
        <w:rPr>
          <w:rFonts w:ascii="Arial" w:cs="Arial" w:eastAsia="Arial" w:hAnsi="Arial"/>
          <w:sz w:val="18"/>
          <w:szCs w:val="18"/>
          <w:color w:val="auto"/>
        </w:rPr>
        <w:t>Vornado Realty Trust</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direct New York City competitors, both in terms of real estate business and talent, are not limited to other public REITs doing business in New York City. Rather, the Committee also views our competitors as consisting of top performing hedge funds, international investors, large private firms and others that may have equal or greater financial resources, including access to cost-efficient capital. The Committee believes that the top real estate principals of these non-REIT companies typically receive substantially higher compensation than chief executive officers of public REITs.</w:t>
      </w:r>
    </w:p>
    <w:p>
      <w:pPr>
        <w:spacing w:after="0" w:line="14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However, based on feedback from our stockholders, we removed all New York City-based asset managers from our peer group beginning in 2015 and now review compensation based on our New York City traditional REIT peer group and a national office REIT index.</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Analysis of Risk Associated with Our Executive Compensation Plans</w:t>
      </w:r>
    </w:p>
    <w:p>
      <w:pPr>
        <w:spacing w:after="0" w:line="106" w:lineRule="exact"/>
        <w:rPr>
          <w:sz w:val="20"/>
          <w:szCs w:val="20"/>
          <w:color w:val="auto"/>
        </w:rPr>
      </w:pPr>
    </w:p>
    <w:p>
      <w:pPr>
        <w:jc w:val="both"/>
        <w:ind w:right="400"/>
        <w:spacing w:after="0" w:line="251" w:lineRule="auto"/>
        <w:rPr>
          <w:sz w:val="20"/>
          <w:szCs w:val="20"/>
          <w:color w:val="auto"/>
        </w:rPr>
      </w:pPr>
      <w:r>
        <w:rPr>
          <w:rFonts w:ascii="Arial" w:cs="Arial" w:eastAsia="Arial" w:hAnsi="Arial"/>
          <w:sz w:val="18"/>
          <w:szCs w:val="18"/>
          <w:color w:val="auto"/>
        </w:rPr>
        <w:t>In setting compensation, we also consider the risks to our stockholders and to achievement of our goals that may be inherent in the executive compensation program. We concluded that it is not reasonably likely that our compensation policies and practices will have a material adverse effect on us.</w:t>
      </w:r>
    </w:p>
    <w:p>
      <w:pPr>
        <w:spacing w:after="0" w:line="65" w:lineRule="exact"/>
        <w:rPr>
          <w:sz w:val="20"/>
          <w:szCs w:val="20"/>
          <w:color w:val="auto"/>
        </w:rPr>
      </w:pPr>
    </w:p>
    <w:p>
      <w:pPr>
        <w:ind w:right="420"/>
        <w:spacing w:after="0" w:line="297" w:lineRule="auto"/>
        <w:rPr>
          <w:sz w:val="20"/>
          <w:szCs w:val="20"/>
          <w:color w:val="auto"/>
        </w:rPr>
      </w:pPr>
      <w:r>
        <w:rPr>
          <w:rFonts w:ascii="Arial" w:cs="Arial" w:eastAsia="Arial" w:hAnsi="Arial"/>
          <w:sz w:val="16"/>
          <w:szCs w:val="16"/>
          <w:color w:val="auto"/>
        </w:rPr>
        <w:t>Although a significant portion of our executive’s compensation is performance-based and “at-risk,” we believe our executive compensation programs are appropriately structured and do not pose a material risk to the Company. We considered the following elements of our executive compensation plans and policies when evaluating whether such plans and policies encourage our executives to take unreasonable risks:</w:t>
      </w:r>
    </w:p>
    <w:p>
      <w:pPr>
        <w:spacing w:after="0" w:line="27" w:lineRule="exact"/>
        <w:rPr>
          <w:sz w:val="20"/>
          <w:szCs w:val="20"/>
          <w:color w:val="auto"/>
        </w:rPr>
      </w:pPr>
    </w:p>
    <w:p>
      <w:pPr>
        <w:ind w:left="540" w:right="80" w:hanging="263"/>
        <w:spacing w:after="0" w:line="248" w:lineRule="auto"/>
        <w:tabs>
          <w:tab w:leader="none" w:pos="540" w:val="left"/>
        </w:tabs>
        <w:numPr>
          <w:ilvl w:val="0"/>
          <w:numId w:val="99"/>
        </w:numPr>
        <w:rPr>
          <w:rFonts w:ascii="Arial" w:cs="Arial" w:eastAsia="Arial" w:hAnsi="Arial"/>
          <w:sz w:val="17"/>
          <w:szCs w:val="17"/>
          <w:color w:val="345988"/>
        </w:rPr>
      </w:pPr>
      <w:r>
        <w:rPr>
          <w:rFonts w:ascii="Arial" w:cs="Arial" w:eastAsia="Arial" w:hAnsi="Arial"/>
          <w:sz w:val="18"/>
          <w:szCs w:val="18"/>
          <w:color w:val="auto"/>
        </w:rPr>
        <w:t>We evaluate performance based upon the achievement of a variety of business objectives and goals including, by way of example, FFO growth, occupancy and leasing rates, TSR performance (both on an absolute and relative basis), real estate investment activity, the strength of our credit profile, prudent financial leverage and capital markets executions that we believe correlate to long-term creation of stockholder value and that are affected by management decisions;</w:t>
      </w:r>
    </w:p>
    <w:p>
      <w:pPr>
        <w:spacing w:after="0" w:line="60" w:lineRule="exact"/>
        <w:rPr>
          <w:rFonts w:ascii="Arial" w:cs="Arial" w:eastAsia="Arial" w:hAnsi="Arial"/>
          <w:sz w:val="17"/>
          <w:szCs w:val="17"/>
          <w:color w:val="345988"/>
        </w:rPr>
      </w:pPr>
    </w:p>
    <w:p>
      <w:pPr>
        <w:ind w:left="540" w:hanging="263"/>
        <w:spacing w:after="0" w:line="244" w:lineRule="auto"/>
        <w:tabs>
          <w:tab w:leader="none" w:pos="540" w:val="left"/>
        </w:tabs>
        <w:numPr>
          <w:ilvl w:val="0"/>
          <w:numId w:val="99"/>
        </w:numPr>
        <w:rPr>
          <w:rFonts w:ascii="Arial" w:cs="Arial" w:eastAsia="Arial" w:hAnsi="Arial"/>
          <w:sz w:val="17"/>
          <w:szCs w:val="17"/>
          <w:color w:val="345988"/>
        </w:rPr>
      </w:pPr>
      <w:r>
        <w:rPr>
          <w:rFonts w:ascii="Arial" w:cs="Arial" w:eastAsia="Arial" w:hAnsi="Arial"/>
          <w:sz w:val="18"/>
          <w:szCs w:val="18"/>
          <w:color w:val="auto"/>
        </w:rPr>
        <w:t>We adopted a balanced approach to equity compensation that incorporates the use of various equity-based compensation vehicles. By utilizing a balanced equity compensation mix comprised of several different types of equity-based compensation vehicles, including full value equity awards that retain value even in a depressed market, we lessen the likelihood that executives will take unreasonable risks to keep their equity awards “in-the-money,” as may be the case with equity compensation programs that rely solely on leveraged market-based equity compensation vehicles such as stock options;</w:t>
      </w:r>
    </w:p>
    <w:p>
      <w:pPr>
        <w:spacing w:after="0" w:line="66" w:lineRule="exact"/>
        <w:rPr>
          <w:rFonts w:ascii="Arial" w:cs="Arial" w:eastAsia="Arial" w:hAnsi="Arial"/>
          <w:sz w:val="17"/>
          <w:szCs w:val="17"/>
          <w:color w:val="345988"/>
        </w:rPr>
      </w:pPr>
    </w:p>
    <w:p>
      <w:pPr>
        <w:jc w:val="both"/>
        <w:ind w:left="540" w:right="200" w:hanging="263"/>
        <w:spacing w:after="0" w:line="254" w:lineRule="auto"/>
        <w:tabs>
          <w:tab w:leader="none" w:pos="540" w:val="left"/>
        </w:tabs>
        <w:numPr>
          <w:ilvl w:val="0"/>
          <w:numId w:val="99"/>
        </w:numPr>
        <w:rPr>
          <w:rFonts w:ascii="Arial" w:cs="Arial" w:eastAsia="Arial" w:hAnsi="Arial"/>
          <w:sz w:val="17"/>
          <w:szCs w:val="17"/>
          <w:color w:val="345988"/>
        </w:rPr>
      </w:pPr>
      <w:r>
        <w:rPr>
          <w:rFonts w:ascii="Arial" w:cs="Arial" w:eastAsia="Arial" w:hAnsi="Arial"/>
          <w:sz w:val="18"/>
          <w:szCs w:val="18"/>
          <w:color w:val="auto"/>
        </w:rPr>
        <w:t>We provide a significant portion of incentive compensation in the form of Long-Term Incentive Awards, such as awards under our 2014 Outperformance Plan. The amounts that ultimately may be earned are tied to how we perform over a multi-year period, which focuses management on sustaining our long-term performance;</w:t>
      </w:r>
    </w:p>
    <w:p>
      <w:pPr>
        <w:spacing w:after="0" w:line="56" w:lineRule="exact"/>
        <w:rPr>
          <w:rFonts w:ascii="Arial" w:cs="Arial" w:eastAsia="Arial" w:hAnsi="Arial"/>
          <w:sz w:val="17"/>
          <w:szCs w:val="17"/>
          <w:color w:val="345988"/>
        </w:rPr>
      </w:pPr>
    </w:p>
    <w:p>
      <w:pPr>
        <w:ind w:left="540" w:right="780" w:hanging="263"/>
        <w:spacing w:after="0" w:line="275" w:lineRule="auto"/>
        <w:tabs>
          <w:tab w:leader="none" w:pos="540" w:val="left"/>
        </w:tabs>
        <w:numPr>
          <w:ilvl w:val="0"/>
          <w:numId w:val="99"/>
        </w:numPr>
        <w:rPr>
          <w:rFonts w:ascii="Arial" w:cs="Arial" w:eastAsia="Arial" w:hAnsi="Arial"/>
          <w:sz w:val="17"/>
          <w:szCs w:val="17"/>
          <w:color w:val="345988"/>
        </w:rPr>
      </w:pPr>
      <w:r>
        <w:rPr>
          <w:rFonts w:ascii="Arial" w:cs="Arial" w:eastAsia="Arial" w:hAnsi="Arial"/>
          <w:sz w:val="18"/>
          <w:szCs w:val="18"/>
          <w:color w:val="auto"/>
        </w:rPr>
        <w:t>We structure payouts under our performance-based awards based on achieving a minimum level of performance, so that some compensation is awarded at levels below full target achievement rather than an “all-or-nothing” approach;</w:t>
      </w:r>
    </w:p>
    <w:p>
      <w:pPr>
        <w:spacing w:after="0" w:line="37" w:lineRule="exact"/>
        <w:rPr>
          <w:rFonts w:ascii="Arial" w:cs="Arial" w:eastAsia="Arial" w:hAnsi="Arial"/>
          <w:sz w:val="17"/>
          <w:szCs w:val="17"/>
          <w:color w:val="345988"/>
        </w:rPr>
      </w:pPr>
    </w:p>
    <w:p>
      <w:pPr>
        <w:ind w:left="540" w:hanging="263"/>
        <w:spacing w:after="0"/>
        <w:tabs>
          <w:tab w:leader="none" w:pos="540" w:val="left"/>
        </w:tabs>
        <w:numPr>
          <w:ilvl w:val="0"/>
          <w:numId w:val="99"/>
        </w:numPr>
        <w:rPr>
          <w:rFonts w:ascii="Arial" w:cs="Arial" w:eastAsia="Arial" w:hAnsi="Arial"/>
          <w:sz w:val="17"/>
          <w:szCs w:val="17"/>
          <w:color w:val="345988"/>
        </w:rPr>
      </w:pPr>
      <w:r>
        <w:rPr>
          <w:rFonts w:ascii="Arial" w:cs="Arial" w:eastAsia="Arial" w:hAnsi="Arial"/>
          <w:sz w:val="18"/>
          <w:szCs w:val="18"/>
          <w:color w:val="auto"/>
        </w:rPr>
        <w:t>We consider non-financial and other qualitative performance factors in determining actual compensation payouts;</w:t>
      </w:r>
    </w:p>
    <w:p>
      <w:pPr>
        <w:spacing w:after="0" w:line="102" w:lineRule="exact"/>
        <w:rPr>
          <w:rFonts w:ascii="Arial" w:cs="Arial" w:eastAsia="Arial" w:hAnsi="Arial"/>
          <w:sz w:val="17"/>
          <w:szCs w:val="17"/>
          <w:color w:val="345988"/>
        </w:rPr>
      </w:pPr>
    </w:p>
    <w:p>
      <w:pPr>
        <w:ind w:left="540" w:right="60" w:hanging="263"/>
        <w:spacing w:after="0" w:line="275" w:lineRule="auto"/>
        <w:tabs>
          <w:tab w:leader="none" w:pos="540" w:val="left"/>
        </w:tabs>
        <w:numPr>
          <w:ilvl w:val="0"/>
          <w:numId w:val="99"/>
        </w:numPr>
        <w:rPr>
          <w:rFonts w:ascii="Arial" w:cs="Arial" w:eastAsia="Arial" w:hAnsi="Arial"/>
          <w:sz w:val="17"/>
          <w:szCs w:val="17"/>
          <w:color w:val="345988"/>
        </w:rPr>
      </w:pPr>
      <w:r>
        <w:rPr>
          <w:rFonts w:ascii="Arial" w:cs="Arial" w:eastAsia="Arial" w:hAnsi="Arial"/>
          <w:sz w:val="18"/>
          <w:szCs w:val="18"/>
          <w:color w:val="auto"/>
        </w:rPr>
        <w:t>We provide a significant portion of each executive’s annual compensation in the form of equity-based compensation, which results in our executives having built sizable holdings of equity in the Company. We note that executives are required to maintain sizable</w:t>
      </w:r>
    </w:p>
    <w:p>
      <w:pPr>
        <w:spacing w:after="0" w:line="149" w:lineRule="exact"/>
        <w:rPr>
          <w:sz w:val="20"/>
          <w:szCs w:val="20"/>
          <w:color w:val="auto"/>
        </w:rPr>
      </w:pPr>
    </w:p>
    <w:p>
      <w:pPr>
        <w:ind w:left="300" w:hanging="292"/>
        <w:spacing w:after="0"/>
        <w:tabs>
          <w:tab w:leader="none" w:pos="300" w:val="left"/>
        </w:tabs>
        <w:numPr>
          <w:ilvl w:val="0"/>
          <w:numId w:val="100"/>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8980"/>
        <w:spacing w:after="0"/>
        <w:rPr>
          <w:sz w:val="20"/>
          <w:szCs w:val="20"/>
          <w:color w:val="auto"/>
        </w:rPr>
      </w:pPr>
      <w:r>
        <w:rPr>
          <w:rFonts w:ascii="Arial" w:cs="Arial" w:eastAsia="Arial" w:hAnsi="Arial"/>
          <w:sz w:val="16"/>
          <w:szCs w:val="16"/>
          <w:u w:val="single" w:color="auto"/>
          <w:color w:val="345988"/>
        </w:rPr>
        <w:t>EXECUTIVE COMPENSATION</w:t>
      </w:r>
    </w:p>
    <w:p>
      <w:pPr>
        <w:spacing w:after="0" w:line="234"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holdings of equity in the Company under the terms of our stock ownership guidelines, which aligns an appropriate portion of their personal wealth to our long-term performance; and</w:t>
      </w:r>
    </w:p>
    <w:p>
      <w:pPr>
        <w:spacing w:after="0" w:line="50" w:lineRule="exact"/>
        <w:rPr>
          <w:sz w:val="20"/>
          <w:szCs w:val="20"/>
          <w:color w:val="auto"/>
        </w:rPr>
      </w:pPr>
    </w:p>
    <w:p>
      <w:pPr>
        <w:ind w:left="540" w:right="140" w:hanging="263"/>
        <w:spacing w:after="0" w:line="332" w:lineRule="auto"/>
        <w:tabs>
          <w:tab w:leader="none" w:pos="540" w:val="left"/>
        </w:tabs>
        <w:numPr>
          <w:ilvl w:val="0"/>
          <w:numId w:val="101"/>
        </w:numPr>
        <w:rPr>
          <w:rFonts w:ascii="Arial" w:cs="Arial" w:eastAsia="Arial" w:hAnsi="Arial"/>
          <w:sz w:val="16"/>
          <w:szCs w:val="16"/>
          <w:color w:val="345988"/>
        </w:rPr>
      </w:pPr>
      <w:r>
        <w:rPr>
          <w:rFonts w:ascii="Arial" w:cs="Arial" w:eastAsia="Arial" w:hAnsi="Arial"/>
          <w:sz w:val="16"/>
          <w:szCs w:val="16"/>
          <w:color w:val="auto"/>
        </w:rPr>
        <w:t>We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11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conclusion, our executive compensation program is structured so that (i) we avoid the type of disproportionately large short-term incentives that could encourage executives to take risks that may not be in our long-term interests, (ii) we provide incentives to manage the Company for long-term performance, (iii) we have adopted a policy for recoupment of incentive payments under certain circumstances and (iv) a significant amount of the wealth of our executives is tied to our long-term success. We believe this combination of factors encourages our executives to manage the Company in a prudent manner.</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Executive and Director Stock Ownership Guidelines</w:t>
      </w:r>
    </w:p>
    <w:p>
      <w:pPr>
        <w:spacing w:after="0" w:line="21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furtherance of the Committee’s ongoing efforts to foster an ownership culture among our senior leadership team, we adopted stock ownership guidelines for our named executive officers and non-employee directors. We have subsequently revised these guidelines to increase the amount of equity in the Company or its operating partnership that our named executive officers are required to own in order to satisfy the guidelines, as set forth below:</w:t>
      </w:r>
    </w:p>
    <w:p>
      <w:pPr>
        <w:sectPr>
          <w:pgSz w:w="11900" w:h="16838" w:orient="portrait"/>
          <w:cols w:equalWidth="0" w:num="1">
            <w:col w:w="11420"/>
          </w:cols>
          <w:pgMar w:left="240" w:top="119" w:right="239" w:bottom="1084"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Named Executive Officers and</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09155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91555" cy="171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0915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91555"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0915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9155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09155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915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45988"/>
        </w:rPr>
        <w:t>Multiple of Base Salary or</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45988"/>
        </w:rPr>
        <w:t>Annual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16510</wp:posOffset>
            </wp:positionV>
            <wp:extent cx="105219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52195" cy="1714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8890</wp:posOffset>
            </wp:positionV>
            <wp:extent cx="10521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-3810</wp:posOffset>
            </wp:positionV>
            <wp:extent cx="10521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5x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-3810</wp:posOffset>
            </wp:positionV>
            <wp:extent cx="105219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52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60" w:space="720"/>
            <w:col w:w="1640"/>
          </w:cols>
          <w:pgMar w:left="240" w:top="119" w:right="239" w:bottom="1084" w:gutter="0" w:footer="0" w:header="0"/>
          <w:type w:val="continuous"/>
        </w:sectPr>
      </w:pPr>
    </w:p>
    <w:p>
      <w:pPr>
        <w:spacing w:after="0" w:line="17" w:lineRule="exact"/>
        <w:rPr>
          <w:sz w:val="20"/>
          <w:szCs w:val="20"/>
          <w:color w:val="auto"/>
        </w:rPr>
      </w:pPr>
    </w:p>
    <w:p>
      <w:pPr>
        <w:ind w:right="480"/>
        <w:spacing w:after="0" w:line="251" w:lineRule="auto"/>
        <w:rPr>
          <w:sz w:val="20"/>
          <w:szCs w:val="20"/>
          <w:color w:val="auto"/>
        </w:rPr>
      </w:pPr>
      <w:r>
        <w:rPr>
          <w:rFonts w:ascii="Arial" w:cs="Arial" w:eastAsia="Arial" w:hAnsi="Arial"/>
          <w:sz w:val="18"/>
          <w:szCs w:val="18"/>
          <w:color w:val="auto"/>
        </w:rPr>
        <w:t>All of our named executive officers hold at least double the amount of SLG stock required by our stock ownership guidelines. This further demonstrates that their financial interests are aligned with those of stockholders. They are highly incentivized to create sustainable, long-term shareholder value.</w:t>
      </w:r>
    </w:p>
    <w:p>
      <w:pPr>
        <w:sectPr>
          <w:pgSz w:w="11900" w:h="16838" w:orient="portrait"/>
          <w:cols w:equalWidth="0" w:num="1">
            <w:col w:w="11420"/>
          </w:cols>
          <w:pgMar w:left="240" w:top="119" w:right="239" w:bottom="1084"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10044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00445"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1004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00445"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Stephen 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1004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004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Andrew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1004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004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1004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004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10044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00445"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Perquisites and Other Personal Benefits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45988"/>
        </w:rPr>
        <w:t>Actual Stock Ownership -</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45988"/>
        </w:rPr>
        <w:t>Multiple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04394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43940" cy="1714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0439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0439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125x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0439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12x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0439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17x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04394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43940" cy="17145"/>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9060" w:space="720"/>
            <w:col w:w="1640"/>
          </w:cols>
          <w:pgMar w:left="240" w:top="119" w:right="239" w:bottom="1084" w:gutter="0" w:footer="0" w:header="0"/>
          <w:type w:val="continuous"/>
        </w:sectPr>
      </w:pPr>
    </w:p>
    <w:p>
      <w:pPr>
        <w:spacing w:after="0" w:line="1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do not provide significant perquisites or personal benefits to our named executive officers, except that we reimburse our Chairman for costs associated with an automobile he leases and provide leased automobiles for our Chief Executive Officer and President.</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Additionally, we provide our Chairman with a full-time driver and our Chief Executive Officer receives certain insurance benefits. The costs of these benefits constitute only a small percentage of the applicable executive’s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Employment Agreements</w:t>
      </w:r>
    </w:p>
    <w:p>
      <w:pPr>
        <w:spacing w:after="0" w:line="21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noted above, we have employment agreements with all of our named executive officers. All of the employment agreements with our named executive officers provide for, among other things, severance payments and benefits and acceleration of equity awards in connection with certain qualified terminations. In return, each of our named executive officers has agreed to non-compete, 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 benefits for all of our executives in the event they are terminated without cause or terminate their employment for good reason following a change in control helps to further align the interests of our executives and our stockholders in the event of a potentially attractive proposed change in control transaction following which one or more of our executives may be expected to be terminated. See “—Executive Compensation Tables— Potential Payments Upon Termination or Change in Control” for a summary of the employment agreements with our named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Clawback Policy</w:t>
      </w:r>
    </w:p>
    <w:p>
      <w:pPr>
        <w:spacing w:after="0" w:line="21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The Board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Anti-hedging Policy</w:t>
      </w:r>
    </w:p>
    <w:p>
      <w:pPr>
        <w:spacing w:after="0" w:line="21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Board has adopted a policy prohibiting all of our executive officers and directors from engaging in hedging transactions with respect to our securities. Pursuant to this policy, our executive officers and directors may not engage in hedging transactions with respect to our securities (including, without limitation, partnership interests in our operating partnership) through puts, calls, covered calls, synthetic purchases, collars, other derivative securities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2018 Proxy Statement </w:t>
      </w:r>
      <w:r>
        <w:rPr>
          <w:rFonts w:ascii="Arial" w:cs="Arial" w:eastAsia="Arial" w:hAnsi="Arial"/>
          <w:sz w:val="18"/>
          <w:szCs w:val="18"/>
          <w:color w:val="325889"/>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084"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1" w:lineRule="exact"/>
        <w:rPr>
          <w:sz w:val="20"/>
          <w:szCs w:val="20"/>
          <w:color w:val="auto"/>
        </w:rPr>
      </w:pPr>
    </w:p>
    <w:p>
      <w:pPr>
        <w:ind w:right="460"/>
        <w:spacing w:after="0" w:line="251" w:lineRule="auto"/>
        <w:rPr>
          <w:sz w:val="20"/>
          <w:szCs w:val="20"/>
          <w:color w:val="auto"/>
        </w:rPr>
      </w:pPr>
      <w:r>
        <w:rPr>
          <w:rFonts w:ascii="Arial" w:cs="Arial" w:eastAsia="Arial" w:hAnsi="Arial"/>
          <w:sz w:val="18"/>
          <w:szCs w:val="18"/>
          <w:color w:val="auto"/>
        </w:rPr>
        <w:t>of the Company or otherwise at any time. Prior to the adoption of this policy, none of our executive officers or directors were engaging in any hedging transactions with respect to our securities, and this policy was adopted to formally reflect the practices that our executive officers and directors had already been observing.</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Other Matters</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345988"/>
        </w:rPr>
        <w:t xml:space="preserve">LTIP units and Class O LTIP units. </w:t>
      </w:r>
      <w:r>
        <w:rPr>
          <w:rFonts w:ascii="Arial" w:cs="Arial" w:eastAsia="Arial" w:hAnsi="Arial"/>
          <w:sz w:val="16"/>
          <w:szCs w:val="16"/>
          <w:color w:val="000000"/>
        </w:rPr>
        <w:t>Under our 2014 Outperformance Plan, in lieu of issuing shares of restricted stock, we issued a separate class of</w:t>
      </w:r>
      <w:r>
        <w:rPr>
          <w:rFonts w:ascii="Arial" w:cs="Arial" w:eastAsia="Arial" w:hAnsi="Arial"/>
          <w:sz w:val="16"/>
          <w:szCs w:val="16"/>
          <w:i w:val="1"/>
          <w:iCs w:val="1"/>
          <w:color w:val="345988"/>
        </w:rPr>
        <w:t xml:space="preserve"> </w:t>
      </w:r>
      <w:r>
        <w:rPr>
          <w:rFonts w:ascii="Arial" w:cs="Arial" w:eastAsia="Arial" w:hAnsi="Arial"/>
          <w:sz w:val="16"/>
          <w:szCs w:val="16"/>
          <w:color w:val="000000"/>
        </w:rPr>
        <w:t>units of limited partnership interest in our operating partnership, which we refer to as LTIP units. We also used LTIP units for the equity bonuses that we granted to our named executive officers for 2017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36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addition to the LTIP units described above that we issued in lieu of shares of restricted stock, we also have issued another class of units of limited partnership interest in our operating partnership that are intended to be similar to stock options from an economic perspective, which we refer to as Class O LTIP units. Class O LTIP units are also intended to qualify as “profits interests” for U.S. federal income tax purposes. During 2017, we used Class O LTIP units as equity awards granted in connection with new or extended employment agreements or the provisions of such agreements, and we also used Class O LTIP units for annual bonuses that we granted to certain of our named executive officers in 2018 for 2017 performance.</w:t>
      </w:r>
    </w:p>
    <w:p>
      <w:pPr>
        <w:spacing w:after="0" w:line="18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Like stock options, Class O LTIP units operate in a manner that generally permits holders to realize the benefit of any increase in the per share value of our common stock above the value at the time the Class O LTIP units are granted. At the time of the grant of Class O LTIP units, the operating partnership establishes a conversion threshold, the vesting terms and the mandatory conversion date, if any, for the Class O LTIP units. The conversion threshold corresponds to the exercise price of a stock option while the mandatory conversion date corresponds to the expiration date of a stock option. Similar to the exercise price for stock options, the conversion threshold will equal the per unit value of the common units of our operating partnership on the grant date. Class O LTIP units will receive 10% distributions relating to periods between grant and vesting upon vesting, and will receive 10% distributions from vesting to their conversion as opposed to holders of non-qualified stock options who will not receive any distributions relating to periods between grant and exercise.</w:t>
      </w:r>
    </w:p>
    <w:p>
      <w:pPr>
        <w:spacing w:after="0" w:line="18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Once Class O LTIP units have vested, they may be converted into common units of our operating partnership by the holder at any time prior to their mandatory conversion date in a manner that is similar to a net exercise of stock options. Upon exercise of this conversion right, the Class O LTIP units will convert into a number of common units of the operating partnership that have an aggregate value equal to the aggregate spread of the Class O LTIP units that are converted. The “spread” for each Class O LTIP unit will equal the excess, if any, of the value of our operating partnership’s assets per common unit on the conversion date above the per unit value at the time the Class O LTIP unit was granted (i.e., the conversion threshold). Any Class O LTIP units that have not been voluntarily converted prior to the mandatory conversion date established at the time the Class O LTIP units were granted will automatically convert into common units on such mandatory conversion date, or be forfeited if the value of our operating partnership’s assets per common unit is less than the conversion threshold for the Class O LTIP units.</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LTIP units and Class O LTIP units are intended to offer executives substantially the same long-term incentive as shares of restricted stock and stock options, respectively,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Similarly, holders of non-qualified stock options are taxed upon exercise. Conversely, under current federal income tax law, an executive would generally not be subject to tax at the time of issuance or vesting of an LTIP unit or Class O LTIP unit or conversion into common units but only when he or she chooses to liquidate the common units into which his or her LTIP units or Class O LTIP units convert. Therefore, an executive who wishes to hold his or her equity awards for the long term can generally do so in a more tax-efficient manner with LTIP units or Class O LTIP units. In light of the increased tax efficiency, we have chosen to use LTIP units and Class O LTIP units for grants to our executives. We believe that the use of LTIP units and Class O LTIP units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w:t>
      </w:r>
    </w:p>
    <w:p>
      <w:pPr>
        <w:spacing w:after="0" w:line="190" w:lineRule="exact"/>
        <w:rPr>
          <w:sz w:val="20"/>
          <w:szCs w:val="20"/>
          <w:color w:val="auto"/>
        </w:rPr>
      </w:pPr>
    </w:p>
    <w:p>
      <w:pPr>
        <w:ind w:left="300" w:hanging="292"/>
        <w:spacing w:after="0"/>
        <w:tabs>
          <w:tab w:leader="none" w:pos="300" w:val="left"/>
        </w:tabs>
        <w:numPr>
          <w:ilvl w:val="0"/>
          <w:numId w:val="102"/>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8980"/>
        <w:spacing w:after="0"/>
        <w:rPr>
          <w:sz w:val="20"/>
          <w:szCs w:val="20"/>
          <w:color w:val="auto"/>
        </w:rPr>
      </w:pPr>
      <w:r>
        <w:rPr>
          <w:rFonts w:ascii="Arial" w:cs="Arial" w:eastAsia="Arial" w:hAnsi="Arial"/>
          <w:sz w:val="16"/>
          <w:szCs w:val="16"/>
          <w:u w:val="single" w:color="auto"/>
          <w:color w:val="345988"/>
        </w:rPr>
        <w:t>EXECUTIVE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Summary Compensation Table</w:t>
      </w:r>
    </w:p>
    <w:p>
      <w:pPr>
        <w:spacing w:after="0" w:line="21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following table sets forth information regarding the compensation paid to the individuals who served as our Chief Executive Officer and Chief Financial Officer during our 2017 fiscal year and each of our three most highly compensated executive officers, other than our Chief Executive Officer and Chief Financial Officer, whose total compensation exceeded $100,000 during the fiscal year ended December 31, 2017, or collectively, the “named executive officers.”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345988"/>
              </w:rPr>
              <w:t>Option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Non-Equity</w:t>
            </w:r>
          </w:p>
        </w:tc>
        <w:tc>
          <w:tcPr>
            <w:tcW w:w="280" w:type="dxa"/>
            <w:vAlign w:val="bottom"/>
          </w:tcPr>
          <w:p>
            <w:pPr>
              <w:spacing w:after="0"/>
              <w:rPr>
                <w:sz w:val="13"/>
                <w:szCs w:val="13"/>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345988"/>
              </w:rPr>
              <w:t>All Other</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345988"/>
              </w:rPr>
              <w:t>Salary</w:t>
            </w:r>
          </w:p>
        </w:tc>
        <w:tc>
          <w:tcPr>
            <w:tcW w:w="180" w:type="dxa"/>
            <w:vAlign w:val="bottom"/>
          </w:tcPr>
          <w:p>
            <w:pPr>
              <w:spacing w:after="0"/>
              <w:rPr>
                <w:sz w:val="12"/>
                <w:szCs w:val="12"/>
                <w:color w:val="auto"/>
              </w:rPr>
            </w:pPr>
          </w:p>
        </w:tc>
        <w:tc>
          <w:tcPr>
            <w:tcW w:w="102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345988"/>
              </w:rPr>
              <w:t>Bonus</w:t>
            </w: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345988"/>
                <w:w w:val="98"/>
              </w:rPr>
              <w:t>Stock Awards</w:t>
            </w:r>
            <w:r>
              <w:rPr>
                <w:rFonts w:ascii="Arial" w:cs="Arial" w:eastAsia="Arial" w:hAnsi="Arial"/>
                <w:sz w:val="22"/>
                <w:szCs w:val="22"/>
                <w:b w:val="1"/>
                <w:bCs w:val="1"/>
                <w:color w:val="345988"/>
                <w:w w:val="98"/>
                <w:vertAlign w:val="superscript"/>
              </w:rPr>
              <w:t>(1)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0" w:lineRule="exact"/>
              <w:rPr>
                <w:sz w:val="20"/>
                <w:szCs w:val="20"/>
                <w:color w:val="auto"/>
              </w:rPr>
            </w:pPr>
            <w:r>
              <w:rPr>
                <w:rFonts w:ascii="Arial" w:cs="Arial" w:eastAsia="Arial" w:hAnsi="Arial"/>
                <w:sz w:val="13"/>
                <w:szCs w:val="13"/>
                <w:b w:val="1"/>
                <w:bCs w:val="1"/>
                <w:color w:val="345988"/>
              </w:rPr>
              <w:t>Incentive Plan</w:t>
            </w: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345988"/>
              </w:rPr>
              <w:t>Total</w:t>
            </w:r>
          </w:p>
        </w:tc>
        <w:tc>
          <w:tcPr>
            <w:tcW w:w="0" w:type="dxa"/>
            <w:vAlign w:val="bottom"/>
          </w:tcPr>
          <w:p>
            <w:pPr>
              <w:spacing w:after="0"/>
              <w:rPr>
                <w:sz w:val="1"/>
                <w:szCs w:val="1"/>
                <w:color w:val="auto"/>
              </w:rPr>
            </w:pPr>
          </w:p>
        </w:tc>
      </w:tr>
      <w:tr>
        <w:trPr>
          <w:trHeight w:val="156"/>
        </w:trPr>
        <w:tc>
          <w:tcPr>
            <w:tcW w:w="2360" w:type="dxa"/>
            <w:vAlign w:val="bottom"/>
            <w:gridSpan w:val="2"/>
            <w:vMerge w:val="continue"/>
          </w:tcPr>
          <w:p>
            <w:pPr>
              <w:spacing w:after="0"/>
              <w:rPr>
                <w:sz w:val="13"/>
                <w:szCs w:val="13"/>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345988"/>
              </w:rPr>
              <w:t>Year</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80"/>
              <w:spacing w:after="0" w:line="157" w:lineRule="exact"/>
              <w:rPr>
                <w:sz w:val="20"/>
                <w:szCs w:val="20"/>
                <w:color w:val="auto"/>
              </w:rPr>
            </w:pPr>
            <w:r>
              <w:rPr>
                <w:rFonts w:ascii="Arial" w:cs="Arial" w:eastAsia="Arial" w:hAnsi="Arial"/>
                <w:sz w:val="11"/>
                <w:szCs w:val="11"/>
                <w:b w:val="1"/>
                <w:bCs w:val="1"/>
                <w:color w:val="345988"/>
              </w:rPr>
              <w:t>Awards</w:t>
            </w:r>
            <w:r>
              <w:rPr>
                <w:rFonts w:ascii="Arial" w:cs="Arial" w:eastAsia="Arial" w:hAnsi="Arial"/>
                <w:sz w:val="18"/>
                <w:szCs w:val="18"/>
                <w:b w:val="1"/>
                <w:bCs w:val="1"/>
                <w:color w:val="345988"/>
                <w:vertAlign w:val="superscript"/>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Compensation</w:t>
            </w:r>
          </w:p>
        </w:tc>
        <w:tc>
          <w:tcPr>
            <w:tcW w:w="1260" w:type="dxa"/>
            <w:vAlign w:val="bottom"/>
            <w:gridSpan w:val="3"/>
          </w:tcPr>
          <w:p>
            <w:pPr>
              <w:ind w:left="20"/>
              <w:spacing w:after="0" w:line="157" w:lineRule="exact"/>
              <w:rPr>
                <w:sz w:val="20"/>
                <w:szCs w:val="20"/>
                <w:color w:val="auto"/>
              </w:rPr>
            </w:pPr>
            <w:r>
              <w:rPr>
                <w:rFonts w:ascii="Arial" w:cs="Arial" w:eastAsia="Arial" w:hAnsi="Arial"/>
                <w:sz w:val="11"/>
                <w:szCs w:val="11"/>
                <w:b w:val="1"/>
                <w:bCs w:val="1"/>
                <w:color w:val="345988"/>
              </w:rPr>
              <w:t>Compensation</w:t>
            </w:r>
            <w:r>
              <w:rPr>
                <w:rFonts w:ascii="Arial" w:cs="Arial" w:eastAsia="Arial" w:hAnsi="Arial"/>
                <w:sz w:val="18"/>
                <w:szCs w:val="18"/>
                <w:b w:val="1"/>
                <w:bCs w:val="1"/>
                <w:color w:val="345988"/>
                <w:vertAlign w:val="superscript"/>
              </w:rPr>
              <w:t>(3)</w:t>
            </w:r>
          </w:p>
        </w:tc>
        <w:tc>
          <w:tcPr>
            <w:tcW w:w="1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45988"/>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0" w:type="dxa"/>
            <w:vAlign w:val="bottom"/>
          </w:tcPr>
          <w:p>
            <w:pPr>
              <w:spacing w:after="0"/>
              <w:rPr>
                <w:sz w:val="1"/>
                <w:szCs w:val="1"/>
                <w:color w:val="auto"/>
              </w:rPr>
            </w:pPr>
          </w:p>
        </w:tc>
      </w:tr>
      <w:tr>
        <w:trPr>
          <w:trHeight w:val="243"/>
        </w:trPr>
        <w:tc>
          <w:tcPr>
            <w:tcW w:w="2240" w:type="dxa"/>
            <w:vAlign w:val="bottom"/>
            <w:tcBorders>
              <w:top w:val="single" w:sz="8" w:color="345988"/>
            </w:tcBorders>
            <w:shd w:val="clear" w:color="auto" w:fill="D0D3DB"/>
          </w:tcPr>
          <w:p>
            <w:pPr>
              <w:spacing w:after="0"/>
              <w:rPr>
                <w:sz w:val="20"/>
                <w:szCs w:val="20"/>
                <w:color w:val="auto"/>
              </w:rPr>
            </w:pPr>
            <w:r>
              <w:rPr>
                <w:rFonts w:ascii="Arial" w:cs="Arial" w:eastAsia="Arial" w:hAnsi="Arial"/>
                <w:sz w:val="18"/>
                <w:szCs w:val="18"/>
                <w:color w:val="auto"/>
              </w:rPr>
              <w:t>Marc Holliday</w:t>
            </w:r>
          </w:p>
        </w:tc>
        <w:tc>
          <w:tcPr>
            <w:tcW w:w="120" w:type="dxa"/>
            <w:vAlign w:val="bottom"/>
            <w:tcBorders>
              <w:top w:val="single" w:sz="8" w:color="D0D3DB"/>
            </w:tcBorders>
            <w:shd w:val="clear" w:color="auto" w:fill="D0D3DB"/>
          </w:tcPr>
          <w:p>
            <w:pPr>
              <w:spacing w:after="0"/>
              <w:rPr>
                <w:sz w:val="21"/>
                <w:szCs w:val="21"/>
                <w:color w:val="auto"/>
              </w:rPr>
            </w:pPr>
          </w:p>
        </w:tc>
        <w:tc>
          <w:tcPr>
            <w:tcW w:w="40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94"/>
              </w:rPr>
              <w:t>2017</w:t>
            </w:r>
          </w:p>
        </w:tc>
        <w:tc>
          <w:tcPr>
            <w:tcW w:w="160" w:type="dxa"/>
            <w:vAlign w:val="bottom"/>
            <w:tcBorders>
              <w:top w:val="single" w:sz="8" w:color="D0D3DB"/>
            </w:tcBorders>
            <w:shd w:val="clear" w:color="auto" w:fill="D0D3DB"/>
          </w:tcPr>
          <w:p>
            <w:pPr>
              <w:spacing w:after="0"/>
              <w:rPr>
                <w:sz w:val="21"/>
                <w:szCs w:val="21"/>
                <w:color w:val="auto"/>
              </w:rPr>
            </w:pPr>
          </w:p>
        </w:tc>
        <w:tc>
          <w:tcPr>
            <w:tcW w:w="18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1,350,000</w:t>
            </w:r>
          </w:p>
        </w:tc>
        <w:tc>
          <w:tcPr>
            <w:tcW w:w="160" w:type="dxa"/>
            <w:vAlign w:val="bottom"/>
            <w:tcBorders>
              <w:top w:val="single" w:sz="8" w:color="D0D3DB"/>
            </w:tcBorders>
            <w:shd w:val="clear" w:color="auto" w:fill="D0D3DB"/>
          </w:tcPr>
          <w:p>
            <w:pPr>
              <w:spacing w:after="0"/>
              <w:rPr>
                <w:sz w:val="21"/>
                <w:szCs w:val="21"/>
                <w:color w:val="auto"/>
              </w:rPr>
            </w:pPr>
          </w:p>
        </w:tc>
        <w:tc>
          <w:tcPr>
            <w:tcW w:w="180" w:type="dxa"/>
            <w:vAlign w:val="bottom"/>
            <w:tcBorders>
              <w:top w:val="single" w:sz="8" w:color="345988"/>
              <w:bottom w:val="single" w:sz="8" w:color="8590A9"/>
            </w:tcBorders>
            <w:shd w:val="clear" w:color="auto" w:fill="D0D3DB"/>
          </w:tcPr>
          <w:p>
            <w:pPr>
              <w:spacing w:after="0"/>
              <w:rPr>
                <w:sz w:val="21"/>
                <w:szCs w:val="21"/>
                <w:color w:val="auto"/>
              </w:rPr>
            </w:pPr>
          </w:p>
        </w:tc>
        <w:tc>
          <w:tcPr>
            <w:tcW w:w="86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D0D3DB"/>
            </w:tcBorders>
            <w:shd w:val="clear" w:color="auto" w:fill="D0D3DB"/>
          </w:tcPr>
          <w:p>
            <w:pPr>
              <w:spacing w:after="0"/>
              <w:rPr>
                <w:sz w:val="21"/>
                <w:szCs w:val="21"/>
                <w:color w:val="auto"/>
              </w:rPr>
            </w:pPr>
          </w:p>
        </w:tc>
        <w:tc>
          <w:tcPr>
            <w:tcW w:w="10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11,878,395</w:t>
            </w:r>
          </w:p>
        </w:tc>
        <w:tc>
          <w:tcPr>
            <w:tcW w:w="160" w:type="dxa"/>
            <w:vAlign w:val="bottom"/>
            <w:tcBorders>
              <w:top w:val="single" w:sz="8" w:color="D0D3DB"/>
            </w:tcBorders>
            <w:shd w:val="clear" w:color="auto" w:fill="D0D3DB"/>
          </w:tcPr>
          <w:p>
            <w:pPr>
              <w:spacing w:after="0"/>
              <w:rPr>
                <w:sz w:val="21"/>
                <w:szCs w:val="21"/>
                <w:color w:val="auto"/>
              </w:rPr>
            </w:pPr>
          </w:p>
        </w:tc>
        <w:tc>
          <w:tcPr>
            <w:tcW w:w="18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2,196,857</w:t>
            </w:r>
          </w:p>
        </w:tc>
        <w:tc>
          <w:tcPr>
            <w:tcW w:w="80" w:type="dxa"/>
            <w:vAlign w:val="bottom"/>
            <w:tcBorders>
              <w:top w:val="single" w:sz="8" w:color="D0D3DB"/>
            </w:tcBorders>
            <w:shd w:val="clear" w:color="auto" w:fill="D0D3DB"/>
          </w:tcPr>
          <w:p>
            <w:pPr>
              <w:spacing w:after="0"/>
              <w:rPr>
                <w:sz w:val="21"/>
                <w:szCs w:val="21"/>
                <w:color w:val="auto"/>
              </w:rPr>
            </w:pPr>
          </w:p>
        </w:tc>
        <w:tc>
          <w:tcPr>
            <w:tcW w:w="80" w:type="dxa"/>
            <w:vAlign w:val="bottom"/>
            <w:tcBorders>
              <w:top w:val="single" w:sz="8" w:color="D0D3DB"/>
            </w:tcBorders>
            <w:shd w:val="clear" w:color="auto" w:fill="D0D3DB"/>
          </w:tcPr>
          <w:p>
            <w:pPr>
              <w:spacing w:after="0"/>
              <w:rPr>
                <w:sz w:val="21"/>
                <w:szCs w:val="21"/>
                <w:color w:val="auto"/>
              </w:rPr>
            </w:pPr>
          </w:p>
        </w:tc>
        <w:tc>
          <w:tcPr>
            <w:tcW w:w="10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1,937,250</w:t>
            </w:r>
          </w:p>
        </w:tc>
        <w:tc>
          <w:tcPr>
            <w:tcW w:w="160" w:type="dxa"/>
            <w:vAlign w:val="bottom"/>
            <w:tcBorders>
              <w:top w:val="single" w:sz="8" w:color="D0D3DB"/>
            </w:tcBorders>
            <w:shd w:val="clear" w:color="auto" w:fill="D0D3DB"/>
          </w:tcPr>
          <w:p>
            <w:pPr>
              <w:spacing w:after="0"/>
              <w:rPr>
                <w:sz w:val="21"/>
                <w:szCs w:val="21"/>
                <w:color w:val="auto"/>
              </w:rPr>
            </w:pPr>
          </w:p>
        </w:tc>
        <w:tc>
          <w:tcPr>
            <w:tcW w:w="280" w:type="dxa"/>
            <w:vAlign w:val="bottom"/>
            <w:tcBorders>
              <w:top w:val="single" w:sz="8" w:color="345988"/>
              <w:bottom w:val="single" w:sz="8" w:color="8590A9"/>
            </w:tcBorders>
            <w:shd w:val="clear" w:color="auto" w:fill="D0D3DB"/>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45,319</w:t>
            </w:r>
          </w:p>
        </w:tc>
        <w:tc>
          <w:tcPr>
            <w:tcW w:w="160" w:type="dxa"/>
            <w:vAlign w:val="bottom"/>
            <w:tcBorders>
              <w:top w:val="single" w:sz="8" w:color="D0D3DB"/>
            </w:tcBorders>
            <w:shd w:val="clear" w:color="auto" w:fill="D0D3DB"/>
          </w:tcPr>
          <w:p>
            <w:pPr>
              <w:spacing w:after="0"/>
              <w:rPr>
                <w:sz w:val="21"/>
                <w:szCs w:val="21"/>
                <w:color w:val="auto"/>
              </w:rPr>
            </w:pPr>
          </w:p>
        </w:tc>
        <w:tc>
          <w:tcPr>
            <w:tcW w:w="18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17,407,821</w:t>
            </w: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Chief Executive</w:t>
            </w:r>
          </w:p>
        </w:tc>
        <w:tc>
          <w:tcPr>
            <w:tcW w:w="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4"/>
              </w:rPr>
              <w:t>2016</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1,350,000</w:t>
            </w:r>
          </w:p>
        </w:tc>
        <w:tc>
          <w:tcPr>
            <w:tcW w:w="160" w:type="dxa"/>
            <w:vAlign w:val="bottom"/>
          </w:tcPr>
          <w:p>
            <w:pPr>
              <w:spacing w:after="0"/>
              <w:rPr>
                <w:sz w:val="20"/>
                <w:szCs w:val="20"/>
                <w:color w:val="auto"/>
              </w:rPr>
            </w:pPr>
          </w:p>
        </w:tc>
        <w:tc>
          <w:tcPr>
            <w:tcW w:w="180" w:type="dxa"/>
            <w:vAlign w:val="bottom"/>
            <w:tcBorders>
              <w:bottom w:val="single" w:sz="8" w:color="8590A9"/>
            </w:tcBorders>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11,285,597</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2,173,500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2,473,125</w:t>
            </w:r>
          </w:p>
        </w:tc>
        <w:tc>
          <w:tcPr>
            <w:tcW w:w="16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44,149</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17,326,371</w:t>
            </w:r>
          </w:p>
        </w:tc>
        <w:tc>
          <w:tcPr>
            <w:tcW w:w="0" w:type="dxa"/>
            <w:vAlign w:val="bottom"/>
          </w:tcPr>
          <w:p>
            <w:pPr>
              <w:spacing w:after="0"/>
              <w:rPr>
                <w:sz w:val="1"/>
                <w:szCs w:val="1"/>
                <w:color w:val="auto"/>
              </w:rPr>
            </w:pPr>
          </w:p>
        </w:tc>
      </w:tr>
      <w:tr>
        <w:trPr>
          <w:trHeight w:val="239"/>
        </w:trPr>
        <w:tc>
          <w:tcPr>
            <w:tcW w:w="236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2015</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1,050,000</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787,500</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19,159,050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2,008,125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43,074</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23,047,749</w:t>
            </w:r>
          </w:p>
        </w:tc>
        <w:tc>
          <w:tcPr>
            <w:tcW w:w="0" w:type="dxa"/>
            <w:vAlign w:val="bottom"/>
          </w:tcPr>
          <w:p>
            <w:pPr>
              <w:spacing w:after="0"/>
              <w:rPr>
                <w:sz w:val="1"/>
                <w:szCs w:val="1"/>
                <w:color w:val="auto"/>
              </w:rPr>
            </w:pPr>
          </w:p>
        </w:tc>
      </w:tr>
      <w:tr>
        <w:trPr>
          <w:trHeight w:val="239"/>
        </w:trPr>
        <w:tc>
          <w:tcPr>
            <w:tcW w:w="2240" w:type="dxa"/>
            <w:vAlign w:val="bottom"/>
            <w:tcBorders>
              <w:top w:val="single" w:sz="8" w:color="8590A9"/>
            </w:tcBorders>
            <w:shd w:val="clear" w:color="auto" w:fill="D0D3DB"/>
          </w:tcPr>
          <w:p>
            <w:pPr>
              <w:spacing w:after="0"/>
              <w:rPr>
                <w:sz w:val="20"/>
                <w:szCs w:val="20"/>
                <w:color w:val="auto"/>
              </w:rPr>
            </w:pPr>
            <w:r>
              <w:rPr>
                <w:rFonts w:ascii="Arial" w:cs="Arial" w:eastAsia="Arial" w:hAnsi="Arial"/>
                <w:sz w:val="18"/>
                <w:szCs w:val="18"/>
                <w:color w:val="auto"/>
              </w:rPr>
              <w:t>Stephen L. Green</w:t>
            </w:r>
          </w:p>
        </w:tc>
        <w:tc>
          <w:tcPr>
            <w:tcW w:w="120" w:type="dxa"/>
            <w:vAlign w:val="bottom"/>
            <w:tcBorders>
              <w:top w:val="single" w:sz="8" w:color="D0D3DB"/>
            </w:tcBorders>
            <w:shd w:val="clear" w:color="auto" w:fill="D0D3DB"/>
          </w:tcPr>
          <w:p>
            <w:pPr>
              <w:spacing w:after="0"/>
              <w:rPr>
                <w:sz w:val="20"/>
                <w:szCs w:val="20"/>
                <w:color w:val="auto"/>
              </w:rPr>
            </w:pPr>
          </w:p>
        </w:tc>
        <w:tc>
          <w:tcPr>
            <w:tcW w:w="4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94"/>
              </w:rPr>
              <w:t>2017</w:t>
            </w:r>
          </w:p>
        </w:tc>
        <w:tc>
          <w:tcPr>
            <w:tcW w:w="160" w:type="dxa"/>
            <w:vAlign w:val="bottom"/>
            <w:tcBorders>
              <w:top w:val="single" w:sz="8" w:color="D0D3DB"/>
            </w:tcBorders>
            <w:shd w:val="clear" w:color="auto" w:fill="D0D3DB"/>
          </w:tcPr>
          <w:p>
            <w:pPr>
              <w:spacing w:after="0"/>
              <w:rPr>
                <w:sz w:val="20"/>
                <w:szCs w:val="20"/>
                <w:color w:val="auto"/>
              </w:rPr>
            </w:pPr>
          </w:p>
        </w:tc>
        <w:tc>
          <w:tcPr>
            <w:tcW w:w="1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Borders>
              <w:top w:val="single" w:sz="8" w:color="D0D3DB"/>
            </w:tcBorders>
            <w:shd w:val="clear" w:color="auto" w:fill="D0D3DB"/>
          </w:tcPr>
          <w:p>
            <w:pPr>
              <w:spacing w:after="0"/>
              <w:rPr>
                <w:sz w:val="20"/>
                <w:szCs w:val="20"/>
                <w:color w:val="auto"/>
              </w:rPr>
            </w:pPr>
          </w:p>
        </w:tc>
        <w:tc>
          <w:tcPr>
            <w:tcW w:w="180" w:type="dxa"/>
            <w:vAlign w:val="bottom"/>
            <w:tcBorders>
              <w:top w:val="single" w:sz="8" w:color="8590A9"/>
              <w:bottom w:val="single" w:sz="8" w:color="8590A9"/>
            </w:tcBorders>
            <w:shd w:val="clear" w:color="auto" w:fill="D0D3DB"/>
          </w:tcPr>
          <w:p>
            <w:pPr>
              <w:spacing w:after="0"/>
              <w:rPr>
                <w:sz w:val="20"/>
                <w:szCs w:val="20"/>
                <w:color w:val="auto"/>
              </w:rPr>
            </w:pPr>
          </w:p>
        </w:tc>
        <w:tc>
          <w:tcPr>
            <w:tcW w:w="8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D0D3DB"/>
            </w:tcBorders>
            <w:shd w:val="clear" w:color="auto" w:fill="D0D3DB"/>
          </w:tcPr>
          <w:p>
            <w:pPr>
              <w:spacing w:after="0"/>
              <w:rPr>
                <w:sz w:val="20"/>
                <w:szCs w:val="20"/>
                <w:color w:val="auto"/>
              </w:rPr>
            </w:pPr>
          </w:p>
        </w:tc>
        <w:tc>
          <w:tcPr>
            <w:tcW w:w="1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1,019,110</w:t>
            </w:r>
          </w:p>
        </w:tc>
        <w:tc>
          <w:tcPr>
            <w:tcW w:w="160" w:type="dxa"/>
            <w:vAlign w:val="bottom"/>
            <w:tcBorders>
              <w:top w:val="single" w:sz="8" w:color="D0D3DB"/>
            </w:tcBorders>
            <w:shd w:val="clear" w:color="auto" w:fill="D0D3DB"/>
          </w:tcPr>
          <w:p>
            <w:pPr>
              <w:spacing w:after="0"/>
              <w:rPr>
                <w:sz w:val="20"/>
                <w:szCs w:val="20"/>
                <w:color w:val="auto"/>
              </w:rPr>
            </w:pPr>
          </w:p>
        </w:tc>
        <w:tc>
          <w:tcPr>
            <w:tcW w:w="180" w:type="dxa"/>
            <w:vAlign w:val="bottom"/>
            <w:tcBorders>
              <w:top w:val="single" w:sz="8" w:color="8590A9"/>
              <w:bottom w:val="single" w:sz="8" w:color="8590A9"/>
            </w:tcBorders>
            <w:shd w:val="clear" w:color="auto" w:fill="D0D3DB"/>
          </w:tcPr>
          <w:p>
            <w:pPr>
              <w:spacing w:after="0"/>
              <w:rPr>
                <w:sz w:val="20"/>
                <w:szCs w:val="20"/>
                <w:color w:val="auto"/>
              </w:rPr>
            </w:pPr>
          </w:p>
        </w:tc>
        <w:tc>
          <w:tcPr>
            <w:tcW w:w="8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D0D3DB"/>
            </w:tcBorders>
            <w:shd w:val="clear" w:color="auto" w:fill="D0D3DB"/>
          </w:tcPr>
          <w:p>
            <w:pPr>
              <w:spacing w:after="0"/>
              <w:rPr>
                <w:sz w:val="20"/>
                <w:szCs w:val="20"/>
                <w:color w:val="auto"/>
              </w:rPr>
            </w:pPr>
          </w:p>
        </w:tc>
        <w:tc>
          <w:tcPr>
            <w:tcW w:w="80" w:type="dxa"/>
            <w:vAlign w:val="bottom"/>
            <w:tcBorders>
              <w:top w:val="single" w:sz="8" w:color="D0D3DB"/>
            </w:tcBorders>
            <w:shd w:val="clear" w:color="auto" w:fill="D0D3DB"/>
          </w:tcPr>
          <w:p>
            <w:pPr>
              <w:spacing w:after="0"/>
              <w:rPr>
                <w:sz w:val="20"/>
                <w:szCs w:val="20"/>
                <w:color w:val="auto"/>
              </w:rPr>
            </w:pPr>
          </w:p>
        </w:tc>
        <w:tc>
          <w:tcPr>
            <w:tcW w:w="1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938,437</w:t>
            </w:r>
          </w:p>
        </w:tc>
        <w:tc>
          <w:tcPr>
            <w:tcW w:w="160" w:type="dxa"/>
            <w:vAlign w:val="bottom"/>
            <w:tcBorders>
              <w:top w:val="single" w:sz="8" w:color="D0D3DB"/>
            </w:tcBorders>
            <w:shd w:val="clear" w:color="auto" w:fill="D0D3DB"/>
          </w:tcPr>
          <w:p>
            <w:pPr>
              <w:spacing w:after="0"/>
              <w:rPr>
                <w:sz w:val="20"/>
                <w:szCs w:val="20"/>
                <w:color w:val="auto"/>
              </w:rPr>
            </w:pPr>
          </w:p>
        </w:tc>
        <w:tc>
          <w:tcPr>
            <w:tcW w:w="280" w:type="dxa"/>
            <w:vAlign w:val="bottom"/>
            <w:tcBorders>
              <w:top w:val="single" w:sz="8" w:color="8590A9"/>
              <w:bottom w:val="single" w:sz="8" w:color="8590A9"/>
            </w:tcBorders>
            <w:shd w:val="clear" w:color="auto" w:fill="D0D3DB"/>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185,986</w:t>
            </w:r>
          </w:p>
        </w:tc>
        <w:tc>
          <w:tcPr>
            <w:tcW w:w="160" w:type="dxa"/>
            <w:vAlign w:val="bottom"/>
            <w:tcBorders>
              <w:top w:val="single" w:sz="8" w:color="D0D3DB"/>
            </w:tcBorders>
            <w:shd w:val="clear" w:color="auto" w:fill="D0D3DB"/>
          </w:tcPr>
          <w:p>
            <w:pPr>
              <w:spacing w:after="0"/>
              <w:rPr>
                <w:sz w:val="20"/>
                <w:szCs w:val="20"/>
                <w:color w:val="auto"/>
              </w:rPr>
            </w:pPr>
          </w:p>
        </w:tc>
        <w:tc>
          <w:tcPr>
            <w:tcW w:w="1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2,893,533</w:t>
            </w: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Chairman of the</w:t>
            </w:r>
          </w:p>
        </w:tc>
        <w:tc>
          <w:tcPr>
            <w:tcW w:w="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4"/>
              </w:rPr>
              <w:t>2016</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20"/>
                <w:szCs w:val="20"/>
                <w:color w:val="auto"/>
              </w:rPr>
            </w:pPr>
          </w:p>
        </w:tc>
        <w:tc>
          <w:tcPr>
            <w:tcW w:w="180" w:type="dxa"/>
            <w:vAlign w:val="bottom"/>
            <w:tcBorders>
              <w:bottom w:val="single" w:sz="8" w:color="8590A9"/>
            </w:tcBorders>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1,933,688</w:t>
            </w:r>
          </w:p>
        </w:tc>
        <w:tc>
          <w:tcPr>
            <w:tcW w:w="160" w:type="dxa"/>
            <w:vAlign w:val="bottom"/>
          </w:tcPr>
          <w:p>
            <w:pPr>
              <w:spacing w:after="0"/>
              <w:rPr>
                <w:sz w:val="20"/>
                <w:szCs w:val="20"/>
                <w:color w:val="auto"/>
              </w:rPr>
            </w:pPr>
          </w:p>
        </w:tc>
        <w:tc>
          <w:tcPr>
            <w:tcW w:w="180" w:type="dxa"/>
            <w:vAlign w:val="bottom"/>
            <w:tcBorders>
              <w:bottom w:val="single" w:sz="8" w:color="8590A9"/>
            </w:tcBorders>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1,161,718</w:t>
            </w:r>
          </w:p>
        </w:tc>
        <w:tc>
          <w:tcPr>
            <w:tcW w:w="16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179,800</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4,025,206</w:t>
            </w:r>
          </w:p>
        </w:tc>
        <w:tc>
          <w:tcPr>
            <w:tcW w:w="0" w:type="dxa"/>
            <w:vAlign w:val="bottom"/>
          </w:tcPr>
          <w:p>
            <w:pPr>
              <w:spacing w:after="0"/>
              <w:rPr>
                <w:sz w:val="1"/>
                <w:szCs w:val="1"/>
                <w:color w:val="auto"/>
              </w:rPr>
            </w:pPr>
          </w:p>
        </w:tc>
      </w:tr>
      <w:tr>
        <w:trPr>
          <w:trHeight w:val="239"/>
        </w:trPr>
        <w:tc>
          <w:tcPr>
            <w:tcW w:w="2360" w:type="dxa"/>
            <w:vAlign w:val="bottom"/>
            <w:gridSpan w:val="2"/>
          </w:tcPr>
          <w:p>
            <w:pPr>
              <w:spacing w:after="0"/>
              <w:rPr>
                <w:sz w:val="20"/>
                <w:szCs w:val="20"/>
                <w:color w:val="auto"/>
              </w:rPr>
            </w:pPr>
            <w:r>
              <w:rPr>
                <w:rFonts w:ascii="Arial" w:cs="Arial" w:eastAsia="Arial" w:hAnsi="Arial"/>
                <w:sz w:val="18"/>
                <w:szCs w:val="18"/>
                <w:color w:val="auto"/>
              </w:rPr>
              <w:t>Board</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2015</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468,750</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3,962,493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1,202,343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170,490</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6,554,076</w:t>
            </w:r>
          </w:p>
        </w:tc>
        <w:tc>
          <w:tcPr>
            <w:tcW w:w="0" w:type="dxa"/>
            <w:vAlign w:val="bottom"/>
          </w:tcPr>
          <w:p>
            <w:pPr>
              <w:spacing w:after="0"/>
              <w:rPr>
                <w:sz w:val="1"/>
                <w:szCs w:val="1"/>
                <w:color w:val="auto"/>
              </w:rPr>
            </w:pPr>
          </w:p>
        </w:tc>
      </w:tr>
      <w:tr>
        <w:trPr>
          <w:trHeight w:val="239"/>
        </w:trPr>
        <w:tc>
          <w:tcPr>
            <w:tcW w:w="2240" w:type="dxa"/>
            <w:vAlign w:val="bottom"/>
            <w:tcBorders>
              <w:top w:val="single" w:sz="8" w:color="8590A9"/>
            </w:tcBorders>
            <w:shd w:val="clear" w:color="auto" w:fill="D0D3DB"/>
          </w:tcPr>
          <w:p>
            <w:pPr>
              <w:spacing w:after="0"/>
              <w:rPr>
                <w:sz w:val="20"/>
                <w:szCs w:val="20"/>
                <w:color w:val="auto"/>
              </w:rPr>
            </w:pPr>
            <w:r>
              <w:rPr>
                <w:rFonts w:ascii="Arial" w:cs="Arial" w:eastAsia="Arial" w:hAnsi="Arial"/>
                <w:sz w:val="18"/>
                <w:szCs w:val="18"/>
                <w:color w:val="auto"/>
              </w:rPr>
              <w:t>Andrew Mathias</w:t>
            </w:r>
          </w:p>
        </w:tc>
        <w:tc>
          <w:tcPr>
            <w:tcW w:w="120" w:type="dxa"/>
            <w:vAlign w:val="bottom"/>
            <w:tcBorders>
              <w:top w:val="single" w:sz="8" w:color="D0D3DB"/>
            </w:tcBorders>
            <w:shd w:val="clear" w:color="auto" w:fill="D0D3DB"/>
          </w:tcPr>
          <w:p>
            <w:pPr>
              <w:spacing w:after="0"/>
              <w:rPr>
                <w:sz w:val="20"/>
                <w:szCs w:val="20"/>
                <w:color w:val="auto"/>
              </w:rPr>
            </w:pPr>
          </w:p>
        </w:tc>
        <w:tc>
          <w:tcPr>
            <w:tcW w:w="4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94"/>
              </w:rPr>
              <w:t>2017</w:t>
            </w:r>
          </w:p>
        </w:tc>
        <w:tc>
          <w:tcPr>
            <w:tcW w:w="160" w:type="dxa"/>
            <w:vAlign w:val="bottom"/>
            <w:tcBorders>
              <w:top w:val="single" w:sz="8" w:color="D0D3DB"/>
            </w:tcBorders>
            <w:shd w:val="clear" w:color="auto" w:fill="D0D3DB"/>
          </w:tcPr>
          <w:p>
            <w:pPr>
              <w:spacing w:after="0"/>
              <w:rPr>
                <w:sz w:val="20"/>
                <w:szCs w:val="20"/>
                <w:color w:val="auto"/>
              </w:rPr>
            </w:pPr>
          </w:p>
        </w:tc>
        <w:tc>
          <w:tcPr>
            <w:tcW w:w="1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800,000</w:t>
            </w:r>
          </w:p>
        </w:tc>
        <w:tc>
          <w:tcPr>
            <w:tcW w:w="160" w:type="dxa"/>
            <w:vAlign w:val="bottom"/>
            <w:tcBorders>
              <w:top w:val="single" w:sz="8" w:color="D0D3DB"/>
            </w:tcBorders>
            <w:shd w:val="clear" w:color="auto" w:fill="D0D3DB"/>
          </w:tcPr>
          <w:p>
            <w:pPr>
              <w:spacing w:after="0"/>
              <w:rPr>
                <w:sz w:val="20"/>
                <w:szCs w:val="20"/>
                <w:color w:val="auto"/>
              </w:rPr>
            </w:pPr>
          </w:p>
        </w:tc>
        <w:tc>
          <w:tcPr>
            <w:tcW w:w="180" w:type="dxa"/>
            <w:vAlign w:val="bottom"/>
            <w:tcBorders>
              <w:top w:val="single" w:sz="8" w:color="8590A9"/>
              <w:bottom w:val="single" w:sz="8" w:color="8590A9"/>
            </w:tcBorders>
            <w:shd w:val="clear" w:color="auto" w:fill="D0D3DB"/>
          </w:tcPr>
          <w:p>
            <w:pPr>
              <w:spacing w:after="0"/>
              <w:rPr>
                <w:sz w:val="20"/>
                <w:szCs w:val="20"/>
                <w:color w:val="auto"/>
              </w:rPr>
            </w:pPr>
          </w:p>
        </w:tc>
        <w:tc>
          <w:tcPr>
            <w:tcW w:w="8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D0D3DB"/>
            </w:tcBorders>
            <w:shd w:val="clear" w:color="auto" w:fill="D0D3DB"/>
          </w:tcPr>
          <w:p>
            <w:pPr>
              <w:spacing w:after="0"/>
              <w:rPr>
                <w:sz w:val="20"/>
                <w:szCs w:val="20"/>
                <w:color w:val="auto"/>
              </w:rPr>
            </w:pPr>
          </w:p>
        </w:tc>
        <w:tc>
          <w:tcPr>
            <w:tcW w:w="1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8,879,826</w:t>
            </w:r>
          </w:p>
        </w:tc>
        <w:tc>
          <w:tcPr>
            <w:tcW w:w="160" w:type="dxa"/>
            <w:vAlign w:val="bottom"/>
            <w:tcBorders>
              <w:top w:val="single" w:sz="8" w:color="D0D3DB"/>
            </w:tcBorders>
            <w:shd w:val="clear" w:color="auto" w:fill="D0D3DB"/>
          </w:tcPr>
          <w:p>
            <w:pPr>
              <w:spacing w:after="0"/>
              <w:rPr>
                <w:sz w:val="20"/>
                <w:szCs w:val="20"/>
                <w:color w:val="auto"/>
              </w:rPr>
            </w:pPr>
          </w:p>
        </w:tc>
        <w:tc>
          <w:tcPr>
            <w:tcW w:w="180" w:type="dxa"/>
            <w:vAlign w:val="bottom"/>
            <w:tcBorders>
              <w:top w:val="single" w:sz="8" w:color="8590A9"/>
              <w:bottom w:val="single" w:sz="8" w:color="8590A9"/>
            </w:tcBorders>
            <w:shd w:val="clear" w:color="auto" w:fill="D0D3DB"/>
          </w:tcPr>
          <w:p>
            <w:pPr>
              <w:spacing w:after="0"/>
              <w:rPr>
                <w:sz w:val="20"/>
                <w:szCs w:val="20"/>
                <w:color w:val="auto"/>
              </w:rPr>
            </w:pPr>
          </w:p>
        </w:tc>
        <w:tc>
          <w:tcPr>
            <w:tcW w:w="8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D0D3DB"/>
            </w:tcBorders>
            <w:shd w:val="clear" w:color="auto" w:fill="D0D3DB"/>
          </w:tcPr>
          <w:p>
            <w:pPr>
              <w:spacing w:after="0"/>
              <w:rPr>
                <w:sz w:val="20"/>
                <w:szCs w:val="20"/>
                <w:color w:val="auto"/>
              </w:rPr>
            </w:pPr>
          </w:p>
        </w:tc>
        <w:tc>
          <w:tcPr>
            <w:tcW w:w="80" w:type="dxa"/>
            <w:vAlign w:val="bottom"/>
            <w:tcBorders>
              <w:top w:val="single" w:sz="8" w:color="D0D3DB"/>
            </w:tcBorders>
            <w:shd w:val="clear" w:color="auto" w:fill="D0D3DB"/>
          </w:tcPr>
          <w:p>
            <w:pPr>
              <w:spacing w:after="0"/>
              <w:rPr>
                <w:sz w:val="20"/>
                <w:szCs w:val="20"/>
                <w:color w:val="auto"/>
              </w:rPr>
            </w:pPr>
          </w:p>
        </w:tc>
        <w:tc>
          <w:tcPr>
            <w:tcW w:w="1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1,001,000</w:t>
            </w:r>
          </w:p>
        </w:tc>
        <w:tc>
          <w:tcPr>
            <w:tcW w:w="160" w:type="dxa"/>
            <w:vAlign w:val="bottom"/>
            <w:tcBorders>
              <w:top w:val="single" w:sz="8" w:color="D0D3DB"/>
            </w:tcBorders>
            <w:shd w:val="clear" w:color="auto" w:fill="D0D3DB"/>
          </w:tcPr>
          <w:p>
            <w:pPr>
              <w:spacing w:after="0"/>
              <w:rPr>
                <w:sz w:val="20"/>
                <w:szCs w:val="20"/>
                <w:color w:val="auto"/>
              </w:rPr>
            </w:pPr>
          </w:p>
        </w:tc>
        <w:tc>
          <w:tcPr>
            <w:tcW w:w="280" w:type="dxa"/>
            <w:vAlign w:val="bottom"/>
            <w:tcBorders>
              <w:top w:val="single" w:sz="8" w:color="8590A9"/>
              <w:bottom w:val="single" w:sz="8" w:color="8590A9"/>
            </w:tcBorders>
            <w:shd w:val="clear" w:color="auto" w:fill="D0D3DB"/>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43,993</w:t>
            </w:r>
          </w:p>
        </w:tc>
        <w:tc>
          <w:tcPr>
            <w:tcW w:w="160" w:type="dxa"/>
            <w:vAlign w:val="bottom"/>
            <w:tcBorders>
              <w:top w:val="single" w:sz="8" w:color="D0D3DB"/>
            </w:tcBorders>
            <w:shd w:val="clear" w:color="auto" w:fill="D0D3DB"/>
          </w:tcPr>
          <w:p>
            <w:pPr>
              <w:spacing w:after="0"/>
              <w:rPr>
                <w:sz w:val="20"/>
                <w:szCs w:val="20"/>
                <w:color w:val="auto"/>
              </w:rPr>
            </w:pPr>
          </w:p>
        </w:tc>
        <w:tc>
          <w:tcPr>
            <w:tcW w:w="1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10,724,819</w:t>
            </w:r>
          </w:p>
        </w:tc>
        <w:tc>
          <w:tcPr>
            <w:tcW w:w="0" w:type="dxa"/>
            <w:vAlign w:val="bottom"/>
          </w:tcPr>
          <w:p>
            <w:pPr>
              <w:spacing w:after="0"/>
              <w:rPr>
                <w:sz w:val="1"/>
                <w:szCs w:val="1"/>
                <w:color w:val="auto"/>
              </w:rPr>
            </w:pPr>
          </w:p>
        </w:tc>
      </w:tr>
      <w:tr>
        <w:trPr>
          <w:trHeight w:val="233"/>
        </w:trPr>
        <w:tc>
          <w:tcPr>
            <w:tcW w:w="236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4"/>
              </w:rPr>
              <w:t>2016</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800,000</w:t>
            </w:r>
          </w:p>
        </w:tc>
        <w:tc>
          <w:tcPr>
            <w:tcW w:w="160" w:type="dxa"/>
            <w:vAlign w:val="bottom"/>
          </w:tcPr>
          <w:p>
            <w:pPr>
              <w:spacing w:after="0"/>
              <w:rPr>
                <w:sz w:val="20"/>
                <w:szCs w:val="20"/>
                <w:color w:val="auto"/>
              </w:rPr>
            </w:pPr>
          </w:p>
        </w:tc>
        <w:tc>
          <w:tcPr>
            <w:tcW w:w="180" w:type="dxa"/>
            <w:vAlign w:val="bottom"/>
            <w:tcBorders>
              <w:bottom w:val="single" w:sz="8" w:color="8590A9"/>
            </w:tcBorders>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9,120,896</w:t>
            </w:r>
          </w:p>
        </w:tc>
        <w:tc>
          <w:tcPr>
            <w:tcW w:w="160" w:type="dxa"/>
            <w:vAlign w:val="bottom"/>
          </w:tcPr>
          <w:p>
            <w:pPr>
              <w:spacing w:after="0"/>
              <w:rPr>
                <w:sz w:val="20"/>
                <w:szCs w:val="20"/>
                <w:color w:val="auto"/>
              </w:rPr>
            </w:pPr>
          </w:p>
        </w:tc>
        <w:tc>
          <w:tcPr>
            <w:tcW w:w="180" w:type="dxa"/>
            <w:vAlign w:val="bottom"/>
            <w:tcBorders>
              <w:bottom w:val="single" w:sz="8" w:color="8590A9"/>
            </w:tcBorders>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1,239,166</w:t>
            </w:r>
          </w:p>
        </w:tc>
        <w:tc>
          <w:tcPr>
            <w:tcW w:w="16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38,823</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11,198,885</w:t>
            </w:r>
          </w:p>
        </w:tc>
        <w:tc>
          <w:tcPr>
            <w:tcW w:w="0" w:type="dxa"/>
            <w:vAlign w:val="bottom"/>
          </w:tcPr>
          <w:p>
            <w:pPr>
              <w:spacing w:after="0"/>
              <w:rPr>
                <w:sz w:val="1"/>
                <w:szCs w:val="1"/>
                <w:color w:val="auto"/>
              </w:rPr>
            </w:pPr>
          </w:p>
        </w:tc>
      </w:tr>
      <w:tr>
        <w:trPr>
          <w:trHeight w:val="236"/>
        </w:trPr>
        <w:tc>
          <w:tcPr>
            <w:tcW w:w="2240" w:type="dxa"/>
            <w:vAlign w:val="bottom"/>
            <w:tcBorders>
              <w:bottom w:val="single" w:sz="8" w:color="8590A9"/>
            </w:tcBorders>
          </w:tcPr>
          <w:p>
            <w:pPr>
              <w:spacing w:after="0"/>
              <w:rPr>
                <w:sz w:val="20"/>
                <w:szCs w:val="20"/>
                <w:color w:val="auto"/>
              </w:rPr>
            </w:pPr>
          </w:p>
        </w:tc>
        <w:tc>
          <w:tcPr>
            <w:tcW w:w="120" w:type="dxa"/>
            <w:vAlign w:val="bottom"/>
            <w:tcBorders>
              <w:bottom w:val="single" w:sz="8" w:color="D0D3DB"/>
            </w:tcBorders>
          </w:tcPr>
          <w:p>
            <w:pPr>
              <w:spacing w:after="0"/>
              <w:rPr>
                <w:sz w:val="20"/>
                <w:szCs w:val="20"/>
                <w:color w:val="auto"/>
              </w:rPr>
            </w:pPr>
          </w:p>
        </w:tc>
        <w:tc>
          <w:tcPr>
            <w:tcW w:w="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4"/>
              </w:rPr>
              <w:t>2015</w:t>
            </w:r>
          </w:p>
        </w:tc>
        <w:tc>
          <w:tcPr>
            <w:tcW w:w="160" w:type="dxa"/>
            <w:vAlign w:val="bottom"/>
            <w:tcBorders>
              <w:bottom w:val="single" w:sz="8" w:color="D0D3DB"/>
            </w:tcBorders>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800,000</w:t>
            </w:r>
          </w:p>
        </w:tc>
        <w:tc>
          <w:tcPr>
            <w:tcW w:w="160" w:type="dxa"/>
            <w:vAlign w:val="bottom"/>
            <w:tcBorders>
              <w:bottom w:val="single" w:sz="8" w:color="D0D3DB"/>
            </w:tcBorders>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Borders>
              <w:bottom w:val="single" w:sz="8" w:color="D0D3DB"/>
            </w:tcBorders>
          </w:tcPr>
          <w:p>
            <w:pPr>
              <w:spacing w:after="0"/>
              <w:rPr>
                <w:sz w:val="20"/>
                <w:szCs w:val="20"/>
                <w:color w:val="auto"/>
              </w:rPr>
            </w:pPr>
          </w:p>
        </w:tc>
        <w:tc>
          <w:tcPr>
            <w:tcW w:w="1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13,436,852</w:t>
            </w:r>
          </w:p>
        </w:tc>
        <w:tc>
          <w:tcPr>
            <w:tcW w:w="160" w:type="dxa"/>
            <w:vAlign w:val="bottom"/>
            <w:tcBorders>
              <w:bottom w:val="single" w:sz="8" w:color="D0D3DB"/>
            </w:tcBorders>
          </w:tcPr>
          <w:p>
            <w:pPr>
              <w:spacing w:after="0"/>
              <w:rPr>
                <w:sz w:val="20"/>
                <w:szCs w:val="20"/>
                <w:color w:val="auto"/>
              </w:rPr>
            </w:pPr>
          </w:p>
        </w:tc>
        <w:tc>
          <w:tcPr>
            <w:tcW w:w="180" w:type="dxa"/>
            <w:vAlign w:val="bottom"/>
            <w:tcBorders>
              <w:bottom w:val="single" w:sz="8" w:color="8590A9"/>
            </w:tcBorders>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0D3DB"/>
            </w:tcBorders>
          </w:tcPr>
          <w:p>
            <w:pPr>
              <w:spacing w:after="0"/>
              <w:rPr>
                <w:sz w:val="20"/>
                <w:szCs w:val="20"/>
                <w:color w:val="auto"/>
              </w:rPr>
            </w:pPr>
          </w:p>
        </w:tc>
        <w:tc>
          <w:tcPr>
            <w:tcW w:w="80" w:type="dxa"/>
            <w:vAlign w:val="bottom"/>
            <w:tcBorders>
              <w:bottom w:val="single" w:sz="8" w:color="D0D3DB"/>
            </w:tcBorders>
          </w:tcPr>
          <w:p>
            <w:pPr>
              <w:spacing w:after="0"/>
              <w:rPr>
                <w:sz w:val="20"/>
                <w:szCs w:val="20"/>
                <w:color w:val="auto"/>
              </w:rPr>
            </w:pPr>
          </w:p>
        </w:tc>
        <w:tc>
          <w:tcPr>
            <w:tcW w:w="1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1,282,500</w:t>
            </w:r>
          </w:p>
        </w:tc>
        <w:tc>
          <w:tcPr>
            <w:tcW w:w="160" w:type="dxa"/>
            <w:vAlign w:val="bottom"/>
            <w:tcBorders>
              <w:bottom w:val="single" w:sz="8" w:color="D0D3DB"/>
            </w:tcBorders>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26,790</w:t>
            </w:r>
          </w:p>
        </w:tc>
        <w:tc>
          <w:tcPr>
            <w:tcW w:w="160" w:type="dxa"/>
            <w:vAlign w:val="bottom"/>
            <w:tcBorders>
              <w:bottom w:val="single" w:sz="8" w:color="D0D3DB"/>
            </w:tcBorders>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16,046,132</w:t>
            </w:r>
          </w:p>
        </w:tc>
        <w:tc>
          <w:tcPr>
            <w:tcW w:w="0" w:type="dxa"/>
            <w:vAlign w:val="bottom"/>
          </w:tcPr>
          <w:p>
            <w:pPr>
              <w:spacing w:after="0"/>
              <w:rPr>
                <w:sz w:val="1"/>
                <w:szCs w:val="1"/>
                <w:color w:val="auto"/>
              </w:rPr>
            </w:pPr>
          </w:p>
        </w:tc>
      </w:tr>
      <w:tr>
        <w:trPr>
          <w:trHeight w:val="239"/>
        </w:trPr>
        <w:tc>
          <w:tcPr>
            <w:tcW w:w="2240" w:type="dxa"/>
            <w:vAlign w:val="bottom"/>
            <w:shd w:val="clear" w:color="auto" w:fill="D0D3DB"/>
          </w:tcPr>
          <w:p>
            <w:pPr>
              <w:spacing w:after="0"/>
              <w:rPr>
                <w:sz w:val="20"/>
                <w:szCs w:val="20"/>
                <w:color w:val="auto"/>
              </w:rPr>
            </w:pPr>
            <w:r>
              <w:rPr>
                <w:rFonts w:ascii="Arial" w:cs="Arial" w:eastAsia="Arial" w:hAnsi="Arial"/>
                <w:sz w:val="18"/>
                <w:szCs w:val="18"/>
                <w:color w:val="auto"/>
              </w:rPr>
              <w:t>Matthew J. DiLiberto</w:t>
            </w:r>
          </w:p>
        </w:tc>
        <w:tc>
          <w:tcPr>
            <w:tcW w:w="120" w:type="dxa"/>
            <w:vAlign w:val="bottom"/>
            <w:shd w:val="clear" w:color="auto" w:fill="D0D3DB"/>
          </w:tcPr>
          <w:p>
            <w:pPr>
              <w:spacing w:after="0"/>
              <w:rPr>
                <w:sz w:val="20"/>
                <w:szCs w:val="20"/>
                <w:color w:val="auto"/>
              </w:rPr>
            </w:pPr>
          </w:p>
        </w:tc>
        <w:tc>
          <w:tcPr>
            <w:tcW w:w="40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94"/>
              </w:rPr>
              <w:t>2017</w:t>
            </w:r>
          </w:p>
        </w:tc>
        <w:tc>
          <w:tcPr>
            <w:tcW w:w="160" w:type="dxa"/>
            <w:vAlign w:val="bottom"/>
            <w:shd w:val="clear" w:color="auto" w:fill="D0D3DB"/>
          </w:tcPr>
          <w:p>
            <w:pPr>
              <w:spacing w:after="0"/>
              <w:rPr>
                <w:sz w:val="20"/>
                <w:szCs w:val="20"/>
                <w:color w:val="auto"/>
              </w:rPr>
            </w:pPr>
          </w:p>
        </w:tc>
        <w:tc>
          <w:tcPr>
            <w:tcW w:w="18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D0D3DB"/>
          </w:tcPr>
          <w:p>
            <w:pPr>
              <w:spacing w:after="0"/>
              <w:rPr>
                <w:sz w:val="20"/>
                <w:szCs w:val="20"/>
                <w:color w:val="auto"/>
              </w:rPr>
            </w:pPr>
          </w:p>
        </w:tc>
        <w:tc>
          <w:tcPr>
            <w:tcW w:w="18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1,600,000</w:t>
            </w:r>
          </w:p>
        </w:tc>
        <w:tc>
          <w:tcPr>
            <w:tcW w:w="160" w:type="dxa"/>
            <w:vAlign w:val="bottom"/>
            <w:shd w:val="clear" w:color="auto" w:fill="D0D3DB"/>
          </w:tcPr>
          <w:p>
            <w:pPr>
              <w:spacing w:after="0"/>
              <w:rPr>
                <w:sz w:val="20"/>
                <w:szCs w:val="20"/>
                <w:color w:val="auto"/>
              </w:rPr>
            </w:pPr>
          </w:p>
        </w:tc>
        <w:tc>
          <w:tcPr>
            <w:tcW w:w="10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255,013</w:t>
            </w:r>
          </w:p>
        </w:tc>
        <w:tc>
          <w:tcPr>
            <w:tcW w:w="160" w:type="dxa"/>
            <w:vAlign w:val="bottom"/>
            <w:shd w:val="clear" w:color="auto" w:fill="D0D3DB"/>
          </w:tcPr>
          <w:p>
            <w:pPr>
              <w:spacing w:after="0"/>
              <w:rPr>
                <w:sz w:val="20"/>
                <w:szCs w:val="20"/>
                <w:color w:val="auto"/>
              </w:rPr>
            </w:pPr>
          </w:p>
        </w:tc>
        <w:tc>
          <w:tcPr>
            <w:tcW w:w="18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748,419</w:t>
            </w:r>
          </w:p>
        </w:tc>
        <w:tc>
          <w:tcPr>
            <w:tcW w:w="80" w:type="dxa"/>
            <w:vAlign w:val="bottom"/>
            <w:shd w:val="clear" w:color="auto" w:fill="D0D3DB"/>
          </w:tcPr>
          <w:p>
            <w:pPr>
              <w:spacing w:after="0"/>
              <w:rPr>
                <w:sz w:val="20"/>
                <w:szCs w:val="20"/>
                <w:color w:val="auto"/>
              </w:rPr>
            </w:pPr>
          </w:p>
        </w:tc>
        <w:tc>
          <w:tcPr>
            <w:tcW w:w="80" w:type="dxa"/>
            <w:vAlign w:val="bottom"/>
            <w:shd w:val="clear" w:color="auto" w:fill="D0D3DB"/>
          </w:tcPr>
          <w:p>
            <w:pPr>
              <w:spacing w:after="0"/>
              <w:rPr>
                <w:sz w:val="20"/>
                <w:szCs w:val="20"/>
                <w:color w:val="auto"/>
              </w:rPr>
            </w:pPr>
          </w:p>
        </w:tc>
        <w:tc>
          <w:tcPr>
            <w:tcW w:w="100" w:type="dxa"/>
            <w:vAlign w:val="bottom"/>
            <w:tcBorders>
              <w:bottom w:val="single" w:sz="8" w:color="8590A9"/>
            </w:tcBorders>
            <w:shd w:val="clear" w:color="auto" w:fill="D0D3DB"/>
          </w:tcPr>
          <w:p>
            <w:pPr>
              <w:spacing w:after="0"/>
              <w:rPr>
                <w:sz w:val="20"/>
                <w:szCs w:val="20"/>
                <w:color w:val="auto"/>
              </w:rPr>
            </w:pPr>
          </w:p>
        </w:tc>
        <w:tc>
          <w:tcPr>
            <w:tcW w:w="94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0D3DB"/>
          </w:tcPr>
          <w:p>
            <w:pPr>
              <w:spacing w:after="0"/>
              <w:rPr>
                <w:sz w:val="20"/>
                <w:szCs w:val="20"/>
                <w:color w:val="auto"/>
              </w:rPr>
            </w:pPr>
          </w:p>
        </w:tc>
        <w:tc>
          <w:tcPr>
            <w:tcW w:w="280" w:type="dxa"/>
            <w:vAlign w:val="bottom"/>
            <w:tcBorders>
              <w:bottom w:val="single" w:sz="8" w:color="8590A9"/>
            </w:tcBorders>
            <w:shd w:val="clear" w:color="auto" w:fill="D0D3DB"/>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8,100</w:t>
            </w:r>
          </w:p>
        </w:tc>
        <w:tc>
          <w:tcPr>
            <w:tcW w:w="160" w:type="dxa"/>
            <w:vAlign w:val="bottom"/>
            <w:shd w:val="clear" w:color="auto" w:fill="D0D3DB"/>
          </w:tcPr>
          <w:p>
            <w:pPr>
              <w:spacing w:after="0"/>
              <w:rPr>
                <w:sz w:val="20"/>
                <w:szCs w:val="20"/>
                <w:color w:val="auto"/>
              </w:rPr>
            </w:pPr>
          </w:p>
        </w:tc>
        <w:tc>
          <w:tcPr>
            <w:tcW w:w="18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3,111,532</w:t>
            </w: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Chief Financial</w:t>
            </w:r>
          </w:p>
        </w:tc>
        <w:tc>
          <w:tcPr>
            <w:tcW w:w="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4"/>
              </w:rPr>
              <w:t>2016</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1,400,000</w:t>
            </w:r>
          </w:p>
        </w:tc>
        <w:tc>
          <w:tcPr>
            <w:tcW w:w="160" w:type="dxa"/>
            <w:vAlign w:val="bottom"/>
          </w:tcPr>
          <w:p>
            <w:pPr>
              <w:spacing w:after="0"/>
              <w:rPr>
                <w:sz w:val="20"/>
                <w:szCs w:val="20"/>
                <w:color w:val="auto"/>
              </w:rPr>
            </w:pPr>
          </w:p>
        </w:tc>
        <w:tc>
          <w:tcPr>
            <w:tcW w:w="100" w:type="dxa"/>
            <w:vAlign w:val="bottom"/>
            <w:tcBorders>
              <w:bottom w:val="single" w:sz="8" w:color="8590A9"/>
            </w:tcBorders>
          </w:tcPr>
          <w:p>
            <w:pPr>
              <w:spacing w:after="0"/>
              <w:rPr>
                <w:sz w:val="20"/>
                <w:szCs w:val="20"/>
                <w:color w:val="auto"/>
              </w:rPr>
            </w:pPr>
          </w:p>
        </w:tc>
        <w:tc>
          <w:tcPr>
            <w:tcW w:w="10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Borders>
              <w:bottom w:val="single" w:sz="8" w:color="8590A9"/>
            </w:tcBorders>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8590A9"/>
            </w:tcBorders>
          </w:tcPr>
          <w:p>
            <w:pPr>
              <w:spacing w:after="0"/>
              <w:rPr>
                <w:sz w:val="20"/>
                <w:szCs w:val="20"/>
                <w:color w:val="auto"/>
              </w:rPr>
            </w:pPr>
          </w:p>
        </w:tc>
        <w:tc>
          <w:tcPr>
            <w:tcW w:w="9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7,950</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1,807,950</w:t>
            </w:r>
          </w:p>
        </w:tc>
        <w:tc>
          <w:tcPr>
            <w:tcW w:w="0" w:type="dxa"/>
            <w:vAlign w:val="bottom"/>
          </w:tcPr>
          <w:p>
            <w:pPr>
              <w:spacing w:after="0"/>
              <w:rPr>
                <w:sz w:val="1"/>
                <w:szCs w:val="1"/>
                <w:color w:val="auto"/>
              </w:rPr>
            </w:pPr>
          </w:p>
        </w:tc>
      </w:tr>
      <w:tr>
        <w:trPr>
          <w:trHeight w:val="239"/>
        </w:trPr>
        <w:tc>
          <w:tcPr>
            <w:tcW w:w="236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2015</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1,400,000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7,950</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1,807,950</w:t>
            </w:r>
          </w:p>
        </w:tc>
        <w:tc>
          <w:tcPr>
            <w:tcW w:w="0" w:type="dxa"/>
            <w:vAlign w:val="bottom"/>
          </w:tcPr>
          <w:p>
            <w:pPr>
              <w:spacing w:after="0"/>
              <w:rPr>
                <w:sz w:val="1"/>
                <w:szCs w:val="1"/>
                <w:color w:val="auto"/>
              </w:rPr>
            </w:pPr>
          </w:p>
        </w:tc>
      </w:tr>
      <w:tr>
        <w:trPr>
          <w:trHeight w:val="239"/>
        </w:trPr>
        <w:tc>
          <w:tcPr>
            <w:tcW w:w="2240" w:type="dxa"/>
            <w:vAlign w:val="bottom"/>
            <w:tcBorders>
              <w:top w:val="single" w:sz="8" w:color="8590A9"/>
            </w:tcBorders>
            <w:shd w:val="clear" w:color="auto" w:fill="D0D3DB"/>
          </w:tcPr>
          <w:p>
            <w:pPr>
              <w:spacing w:after="0"/>
              <w:rPr>
                <w:sz w:val="20"/>
                <w:szCs w:val="20"/>
                <w:color w:val="auto"/>
              </w:rPr>
            </w:pPr>
            <w:r>
              <w:rPr>
                <w:rFonts w:ascii="Arial" w:cs="Arial" w:eastAsia="Arial" w:hAnsi="Arial"/>
                <w:sz w:val="18"/>
                <w:szCs w:val="18"/>
                <w:color w:val="auto"/>
              </w:rPr>
              <w:t>Andrew S. Levine</w:t>
            </w:r>
          </w:p>
        </w:tc>
        <w:tc>
          <w:tcPr>
            <w:tcW w:w="120" w:type="dxa"/>
            <w:vAlign w:val="bottom"/>
            <w:tcBorders>
              <w:top w:val="single" w:sz="8" w:color="D0D3DB"/>
            </w:tcBorders>
            <w:shd w:val="clear" w:color="auto" w:fill="D0D3DB"/>
          </w:tcPr>
          <w:p>
            <w:pPr>
              <w:spacing w:after="0"/>
              <w:rPr>
                <w:sz w:val="20"/>
                <w:szCs w:val="20"/>
                <w:color w:val="auto"/>
              </w:rPr>
            </w:pPr>
          </w:p>
        </w:tc>
        <w:tc>
          <w:tcPr>
            <w:tcW w:w="4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94"/>
              </w:rPr>
              <w:t>2017</w:t>
            </w:r>
          </w:p>
        </w:tc>
        <w:tc>
          <w:tcPr>
            <w:tcW w:w="160" w:type="dxa"/>
            <w:vAlign w:val="bottom"/>
            <w:tcBorders>
              <w:top w:val="single" w:sz="8" w:color="D0D3DB"/>
            </w:tcBorders>
            <w:shd w:val="clear" w:color="auto" w:fill="D0D3DB"/>
          </w:tcPr>
          <w:p>
            <w:pPr>
              <w:spacing w:after="0"/>
              <w:rPr>
                <w:sz w:val="20"/>
                <w:szCs w:val="20"/>
                <w:color w:val="auto"/>
              </w:rPr>
            </w:pPr>
          </w:p>
        </w:tc>
        <w:tc>
          <w:tcPr>
            <w:tcW w:w="1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550,000</w:t>
            </w:r>
          </w:p>
        </w:tc>
        <w:tc>
          <w:tcPr>
            <w:tcW w:w="160" w:type="dxa"/>
            <w:vAlign w:val="bottom"/>
            <w:tcBorders>
              <w:top w:val="single" w:sz="8" w:color="D0D3DB"/>
            </w:tcBorders>
            <w:shd w:val="clear" w:color="auto" w:fill="D0D3DB"/>
          </w:tcPr>
          <w:p>
            <w:pPr>
              <w:spacing w:after="0"/>
              <w:rPr>
                <w:sz w:val="20"/>
                <w:szCs w:val="20"/>
                <w:color w:val="auto"/>
              </w:rPr>
            </w:pPr>
          </w:p>
        </w:tc>
        <w:tc>
          <w:tcPr>
            <w:tcW w:w="180" w:type="dxa"/>
            <w:vAlign w:val="bottom"/>
            <w:tcBorders>
              <w:top w:val="single" w:sz="8" w:color="8590A9"/>
              <w:bottom w:val="single" w:sz="8" w:color="8590A9"/>
            </w:tcBorders>
            <w:shd w:val="clear" w:color="auto" w:fill="D0D3DB"/>
          </w:tcPr>
          <w:p>
            <w:pPr>
              <w:spacing w:after="0"/>
              <w:rPr>
                <w:sz w:val="20"/>
                <w:szCs w:val="20"/>
                <w:color w:val="auto"/>
              </w:rPr>
            </w:pPr>
          </w:p>
        </w:tc>
        <w:tc>
          <w:tcPr>
            <w:tcW w:w="8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D0D3DB"/>
            </w:tcBorders>
            <w:shd w:val="clear" w:color="auto" w:fill="D0D3DB"/>
          </w:tcPr>
          <w:p>
            <w:pPr>
              <w:spacing w:after="0"/>
              <w:rPr>
                <w:sz w:val="20"/>
                <w:szCs w:val="20"/>
                <w:color w:val="auto"/>
              </w:rPr>
            </w:pPr>
          </w:p>
        </w:tc>
        <w:tc>
          <w:tcPr>
            <w:tcW w:w="1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1,256,930</w:t>
            </w:r>
          </w:p>
        </w:tc>
        <w:tc>
          <w:tcPr>
            <w:tcW w:w="160" w:type="dxa"/>
            <w:vAlign w:val="bottom"/>
            <w:tcBorders>
              <w:top w:val="single" w:sz="8" w:color="D0D3DB"/>
            </w:tcBorders>
            <w:shd w:val="clear" w:color="auto" w:fill="D0D3DB"/>
          </w:tcPr>
          <w:p>
            <w:pPr>
              <w:spacing w:after="0"/>
              <w:rPr>
                <w:sz w:val="20"/>
                <w:szCs w:val="20"/>
                <w:color w:val="auto"/>
              </w:rPr>
            </w:pPr>
          </w:p>
        </w:tc>
        <w:tc>
          <w:tcPr>
            <w:tcW w:w="1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748,419</w:t>
            </w:r>
          </w:p>
        </w:tc>
        <w:tc>
          <w:tcPr>
            <w:tcW w:w="80" w:type="dxa"/>
            <w:vAlign w:val="bottom"/>
            <w:tcBorders>
              <w:top w:val="single" w:sz="8" w:color="D0D3DB"/>
            </w:tcBorders>
            <w:shd w:val="clear" w:color="auto" w:fill="D0D3DB"/>
          </w:tcPr>
          <w:p>
            <w:pPr>
              <w:spacing w:after="0"/>
              <w:rPr>
                <w:sz w:val="20"/>
                <w:szCs w:val="20"/>
                <w:color w:val="auto"/>
              </w:rPr>
            </w:pPr>
          </w:p>
        </w:tc>
        <w:tc>
          <w:tcPr>
            <w:tcW w:w="80" w:type="dxa"/>
            <w:vAlign w:val="bottom"/>
            <w:tcBorders>
              <w:top w:val="single" w:sz="8" w:color="D0D3DB"/>
            </w:tcBorders>
            <w:shd w:val="clear" w:color="auto" w:fill="D0D3DB"/>
          </w:tcPr>
          <w:p>
            <w:pPr>
              <w:spacing w:after="0"/>
              <w:rPr>
                <w:sz w:val="20"/>
                <w:szCs w:val="20"/>
                <w:color w:val="auto"/>
              </w:rPr>
            </w:pPr>
          </w:p>
        </w:tc>
        <w:tc>
          <w:tcPr>
            <w:tcW w:w="100" w:type="dxa"/>
            <w:vAlign w:val="bottom"/>
            <w:tcBorders>
              <w:top w:val="single" w:sz="8" w:color="8590A9"/>
              <w:bottom w:val="single" w:sz="8" w:color="8590A9"/>
            </w:tcBorders>
            <w:shd w:val="clear" w:color="auto" w:fill="D0D3DB"/>
          </w:tcPr>
          <w:p>
            <w:pPr>
              <w:spacing w:after="0"/>
              <w:rPr>
                <w:sz w:val="20"/>
                <w:szCs w:val="20"/>
                <w:color w:val="auto"/>
              </w:rPr>
            </w:pPr>
          </w:p>
        </w:tc>
        <w:tc>
          <w:tcPr>
            <w:tcW w:w="9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D0D3DB"/>
            </w:tcBorders>
            <w:shd w:val="clear" w:color="auto" w:fill="D0D3DB"/>
          </w:tcPr>
          <w:p>
            <w:pPr>
              <w:spacing w:after="0"/>
              <w:rPr>
                <w:sz w:val="20"/>
                <w:szCs w:val="20"/>
                <w:color w:val="auto"/>
              </w:rPr>
            </w:pPr>
          </w:p>
        </w:tc>
        <w:tc>
          <w:tcPr>
            <w:tcW w:w="280" w:type="dxa"/>
            <w:vAlign w:val="bottom"/>
            <w:tcBorders>
              <w:top w:val="single" w:sz="8" w:color="8590A9"/>
              <w:bottom w:val="single" w:sz="8" w:color="8590A9"/>
            </w:tcBorders>
            <w:shd w:val="clear" w:color="auto" w:fill="D0D3DB"/>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8,100</w:t>
            </w:r>
          </w:p>
        </w:tc>
        <w:tc>
          <w:tcPr>
            <w:tcW w:w="160" w:type="dxa"/>
            <w:vAlign w:val="bottom"/>
            <w:tcBorders>
              <w:top w:val="single" w:sz="8" w:color="D0D3DB"/>
            </w:tcBorders>
            <w:shd w:val="clear" w:color="auto" w:fill="D0D3DB"/>
          </w:tcPr>
          <w:p>
            <w:pPr>
              <w:spacing w:after="0"/>
              <w:rPr>
                <w:sz w:val="20"/>
                <w:szCs w:val="20"/>
                <w:color w:val="auto"/>
              </w:rPr>
            </w:pPr>
          </w:p>
        </w:tc>
        <w:tc>
          <w:tcPr>
            <w:tcW w:w="1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2,563,449</w:t>
            </w: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Chief Legal Officer</w:t>
            </w:r>
          </w:p>
        </w:tc>
        <w:tc>
          <w:tcPr>
            <w:tcW w:w="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4"/>
              </w:rPr>
              <w:t>2016</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550,000</w:t>
            </w:r>
          </w:p>
        </w:tc>
        <w:tc>
          <w:tcPr>
            <w:tcW w:w="160" w:type="dxa"/>
            <w:vAlign w:val="bottom"/>
          </w:tcPr>
          <w:p>
            <w:pPr>
              <w:spacing w:after="0"/>
              <w:rPr>
                <w:sz w:val="20"/>
                <w:szCs w:val="20"/>
                <w:color w:val="auto"/>
              </w:rPr>
            </w:pPr>
          </w:p>
        </w:tc>
        <w:tc>
          <w:tcPr>
            <w:tcW w:w="180" w:type="dxa"/>
            <w:vAlign w:val="bottom"/>
            <w:tcBorders>
              <w:bottom w:val="single" w:sz="8" w:color="8590A9"/>
            </w:tcBorders>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3,709,007</w:t>
            </w:r>
          </w:p>
        </w:tc>
        <w:tc>
          <w:tcPr>
            <w:tcW w:w="160" w:type="dxa"/>
            <w:vAlign w:val="bottom"/>
          </w:tcPr>
          <w:p>
            <w:pPr>
              <w:spacing w:after="0"/>
              <w:rPr>
                <w:sz w:val="20"/>
                <w:szCs w:val="20"/>
                <w:color w:val="auto"/>
              </w:rPr>
            </w:pPr>
          </w:p>
        </w:tc>
        <w:tc>
          <w:tcPr>
            <w:tcW w:w="180" w:type="dxa"/>
            <w:vAlign w:val="bottom"/>
            <w:tcBorders>
              <w:bottom w:val="single" w:sz="8" w:color="8590A9"/>
            </w:tcBorders>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8590A9"/>
            </w:tcBorders>
          </w:tcPr>
          <w:p>
            <w:pPr>
              <w:spacing w:after="0"/>
              <w:rPr>
                <w:sz w:val="20"/>
                <w:szCs w:val="20"/>
                <w:color w:val="auto"/>
              </w:rPr>
            </w:pPr>
          </w:p>
        </w:tc>
        <w:tc>
          <w:tcPr>
            <w:tcW w:w="9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7,950</w:t>
            </w:r>
          </w:p>
        </w:tc>
        <w:tc>
          <w:tcPr>
            <w:tcW w:w="160" w:type="dxa"/>
            <w:vAlign w:val="bottom"/>
          </w:tcPr>
          <w:p>
            <w:pPr>
              <w:spacing w:after="0"/>
              <w:rPr>
                <w:sz w:val="20"/>
                <w:szCs w:val="20"/>
                <w:color w:val="auto"/>
              </w:rPr>
            </w:pPr>
          </w:p>
        </w:tc>
        <w:tc>
          <w:tcPr>
            <w:tcW w:w="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4,266,957</w:t>
            </w:r>
          </w:p>
        </w:tc>
        <w:tc>
          <w:tcPr>
            <w:tcW w:w="0" w:type="dxa"/>
            <w:vAlign w:val="bottom"/>
          </w:tcPr>
          <w:p>
            <w:pPr>
              <w:spacing w:after="0"/>
              <w:rPr>
                <w:sz w:val="1"/>
                <w:szCs w:val="1"/>
                <w:color w:val="auto"/>
              </w:rPr>
            </w:pPr>
          </w:p>
        </w:tc>
      </w:tr>
      <w:tr>
        <w:trPr>
          <w:trHeight w:val="249"/>
        </w:trPr>
        <w:tc>
          <w:tcPr>
            <w:tcW w:w="224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and General Counsel</w:t>
            </w:r>
          </w:p>
        </w:tc>
        <w:tc>
          <w:tcPr>
            <w:tcW w:w="120" w:type="dxa"/>
            <w:vAlign w:val="bottom"/>
          </w:tcPr>
          <w:p>
            <w:pPr>
              <w:spacing w:after="0"/>
              <w:rPr>
                <w:sz w:val="21"/>
                <w:szCs w:val="21"/>
                <w:color w:val="auto"/>
              </w:rPr>
            </w:pPr>
          </w:p>
        </w:tc>
        <w:tc>
          <w:tcPr>
            <w:tcW w:w="4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94"/>
              </w:rPr>
              <w:t>2015</w:t>
            </w:r>
          </w:p>
        </w:tc>
        <w:tc>
          <w:tcPr>
            <w:tcW w:w="160" w:type="dxa"/>
            <w:vAlign w:val="bottom"/>
          </w:tcPr>
          <w:p>
            <w:pPr>
              <w:spacing w:after="0"/>
              <w:rPr>
                <w:sz w:val="21"/>
                <w:szCs w:val="21"/>
                <w:color w:val="auto"/>
              </w:rPr>
            </w:pPr>
          </w:p>
        </w:tc>
        <w:tc>
          <w:tcPr>
            <w:tcW w:w="1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1"/>
                <w:szCs w:val="21"/>
                <w:color w:val="auto"/>
              </w:rPr>
            </w:pPr>
          </w:p>
        </w:tc>
        <w:tc>
          <w:tcPr>
            <w:tcW w:w="180" w:type="dxa"/>
            <w:vAlign w:val="bottom"/>
            <w:tcBorders>
              <w:bottom w:val="single" w:sz="8" w:color="345988"/>
            </w:tcBorders>
          </w:tcPr>
          <w:p>
            <w:pPr>
              <w:spacing w:after="0"/>
              <w:rPr>
                <w:sz w:val="21"/>
                <w:szCs w:val="21"/>
                <w:color w:val="auto"/>
              </w:rPr>
            </w:pP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873,342</w:t>
            </w:r>
          </w:p>
        </w:tc>
        <w:tc>
          <w:tcPr>
            <w:tcW w:w="160" w:type="dxa"/>
            <w:vAlign w:val="bottom"/>
          </w:tcPr>
          <w:p>
            <w:pPr>
              <w:spacing w:after="0"/>
              <w:rPr>
                <w:sz w:val="21"/>
                <w:szCs w:val="21"/>
                <w:color w:val="auto"/>
              </w:rPr>
            </w:pPr>
          </w:p>
        </w:tc>
        <w:tc>
          <w:tcPr>
            <w:tcW w:w="180" w:type="dxa"/>
            <w:vAlign w:val="bottom"/>
            <w:tcBorders>
              <w:bottom w:val="single" w:sz="8" w:color="345988"/>
            </w:tcBorders>
          </w:tcPr>
          <w:p>
            <w:pPr>
              <w:spacing w:after="0"/>
              <w:rPr>
                <w:sz w:val="21"/>
                <w:szCs w:val="21"/>
                <w:color w:val="auto"/>
              </w:rPr>
            </w:pP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345988"/>
            </w:tcBorders>
          </w:tcPr>
          <w:p>
            <w:pPr>
              <w:spacing w:after="0"/>
              <w:rPr>
                <w:sz w:val="21"/>
                <w:szCs w:val="21"/>
                <w:color w:val="auto"/>
              </w:rPr>
            </w:pPr>
          </w:p>
        </w:tc>
        <w:tc>
          <w:tcPr>
            <w:tcW w:w="94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7,950</w:t>
            </w:r>
          </w:p>
        </w:tc>
        <w:tc>
          <w:tcPr>
            <w:tcW w:w="160" w:type="dxa"/>
            <w:vAlign w:val="bottom"/>
          </w:tcPr>
          <w:p>
            <w:pPr>
              <w:spacing w:after="0"/>
              <w:rPr>
                <w:sz w:val="21"/>
                <w:szCs w:val="21"/>
                <w:color w:val="auto"/>
              </w:rPr>
            </w:pPr>
          </w:p>
        </w:tc>
        <w:tc>
          <w:tcPr>
            <w:tcW w:w="1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1,381,292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-2856865</wp:posOffset>
            </wp:positionV>
            <wp:extent cx="6519545" cy="28492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19545" cy="2849245"/>
                    </a:xfrm>
                    <a:prstGeom prst="rect">
                      <a:avLst/>
                    </a:prstGeom>
                    <a:noFill/>
                  </pic:spPr>
                </pic:pic>
              </a:graphicData>
            </a:graphic>
          </wp:anchor>
        </w:drawing>
      </w:r>
    </w:p>
    <w:p>
      <w:pPr>
        <w:spacing w:after="0" w:line="71" w:lineRule="exact"/>
        <w:rPr>
          <w:sz w:val="20"/>
          <w:szCs w:val="20"/>
          <w:color w:val="auto"/>
        </w:rPr>
      </w:pPr>
    </w:p>
    <w:p>
      <w:pPr>
        <w:jc w:val="both"/>
        <w:ind w:left="360" w:right="60" w:hanging="352"/>
        <w:spacing w:after="0" w:line="246" w:lineRule="auto"/>
        <w:tabs>
          <w:tab w:leader="none" w:pos="3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Amounts shown do not reflect compensation actually received by the named executive officer. Instead, the amounts shown are the full grant date fair value of stock awards issued to the executives in 2017, 2016 and 2015, respectively. In accordance with SEC disclosure requirements, the amounts for 2017 and 2015 include the full grant date fair value of the executives’ allocations in our 2014 Outperformance Plan granted during 2017 and 2015, which were as follows for awards granted in 2017: Mr. Holliday—$612,001; Mr. Green—$198,941; Mr.</w:t>
      </w:r>
    </w:p>
    <w:p>
      <w:pPr>
        <w:ind w:left="360" w:right="60"/>
        <w:spacing w:after="0" w:line="243" w:lineRule="auto"/>
        <w:rPr>
          <w:rFonts w:ascii="Arial" w:cs="Arial" w:eastAsia="Arial" w:hAnsi="Arial"/>
          <w:sz w:val="13"/>
          <w:szCs w:val="13"/>
          <w:color w:val="auto"/>
        </w:rPr>
      </w:pPr>
      <w:r>
        <w:rPr>
          <w:rFonts w:ascii="Arial" w:cs="Arial" w:eastAsia="Arial" w:hAnsi="Arial"/>
          <w:sz w:val="13"/>
          <w:szCs w:val="13"/>
          <w:color w:val="auto"/>
        </w:rPr>
        <w:t>Mathias—$431,996; and Mr. Levine—$109,416, respectively. The grant date fair value of such awards is computed in accordance with ASC 718, “Compensation-Stock Compensation,” or “ASC 718,” by the use of Monte Carlo simulation models that consider the probable outcomes of the market-based performance conditions governing such awards. The Monte Carlo simulation model for the awards granted under our 2014 Outperformance Plan during 2017 used an assumed stock price volatility level of 25% on our common stock and a risk-free interest rate of 0.71%. The Monte Carlo simulation model for the awards granted under our 2014 Outperformance Plan during 2015 used an assumed stock price volatility level of 21.0% on our common stock and a risk-free interest rate of 0.88%.</w:t>
      </w:r>
    </w:p>
    <w:p>
      <w:pPr>
        <w:spacing w:after="0" w:line="76" w:lineRule="exact"/>
        <w:rPr>
          <w:rFonts w:ascii="Arial" w:cs="Arial" w:eastAsia="Arial" w:hAnsi="Arial"/>
          <w:sz w:val="13"/>
          <w:szCs w:val="13"/>
          <w:color w:val="auto"/>
        </w:rPr>
      </w:pPr>
    </w:p>
    <w:p>
      <w:pPr>
        <w:ind w:left="360" w:right="40"/>
        <w:spacing w:after="0" w:line="250" w:lineRule="auto"/>
        <w:rPr>
          <w:rFonts w:ascii="Arial" w:cs="Arial" w:eastAsia="Arial" w:hAnsi="Arial"/>
          <w:sz w:val="13"/>
          <w:szCs w:val="13"/>
          <w:color w:val="auto"/>
        </w:rPr>
      </w:pPr>
      <w:r>
        <w:rPr>
          <w:rFonts w:ascii="Arial" w:cs="Arial" w:eastAsia="Arial" w:hAnsi="Arial"/>
          <w:sz w:val="13"/>
          <w:szCs w:val="13"/>
          <w:color w:val="auto"/>
        </w:rPr>
        <w:t>The actual value of awards with respect to our 2014 Outperformance Plan was contingent upon the attainment of absolute and relative stockholder return metrics over a three-year measurement period that ended August 31, 2017. Assuming that maximum performance had been achieved under our 2014 Outperformance Plan, the value at the grant date of the awards made under our 2014 Outperformance Plan during 2017 would each have been as follows: Mr. Holliday—$7,177,778; Mr. Green—$2,333,333; Mr. Mathias—$5,066,667; and Mr. Levine—$1,283,333, respectively. Following the conclusion of the measurement period, our Compensation Committee determined that no awards were earned under our 2014 Outperformance Plan and all of the LTIP units granted under our 2014 Outperformance Plan in both 2017 and 2015 were forfeited.</w:t>
      </w:r>
    </w:p>
    <w:p>
      <w:pPr>
        <w:spacing w:after="0" w:line="70" w:lineRule="exact"/>
        <w:rPr>
          <w:rFonts w:ascii="Arial" w:cs="Arial" w:eastAsia="Arial" w:hAnsi="Arial"/>
          <w:sz w:val="13"/>
          <w:szCs w:val="13"/>
          <w:color w:val="auto"/>
        </w:rPr>
      </w:pPr>
    </w:p>
    <w:p>
      <w:pPr>
        <w:ind w:left="360" w:right="260" w:hanging="352"/>
        <w:spacing w:after="0" w:line="269" w:lineRule="auto"/>
        <w:tabs>
          <w:tab w:leader="none" w:pos="3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Amounts shown do not reflect compensation actually received by the named executive officer. Instead, the amounts shown are the full grant date fair value of Class O LTIP units as computed in accordance with ASC 718 by the use of the Black-Scholes option pricing model. The table below shows the assumptions for Class O LTIP units granted during 2017 and 2016.</w:t>
      </w:r>
    </w:p>
    <w:p>
      <w:pPr>
        <w:spacing w:after="0" w:line="349"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6680" w:type="dxa"/>
            <w:vAlign w:val="bottom"/>
            <w:vMerge w:val="restart"/>
          </w:tcPr>
          <w:p>
            <w:pPr>
              <w:spacing w:after="0"/>
              <w:rPr>
                <w:sz w:val="20"/>
                <w:szCs w:val="20"/>
                <w:color w:val="auto"/>
              </w:rPr>
            </w:pPr>
            <w:r>
              <w:rPr>
                <w:rFonts w:ascii="Arial" w:cs="Arial" w:eastAsia="Arial" w:hAnsi="Arial"/>
                <w:sz w:val="13"/>
                <w:szCs w:val="13"/>
                <w:b w:val="1"/>
                <w:bCs w:val="1"/>
                <w:color w:val="auto"/>
              </w:rPr>
              <w:t>Class O LTIP Unit Grants</w:t>
            </w:r>
          </w:p>
        </w:tc>
        <w:tc>
          <w:tcPr>
            <w:tcW w:w="160" w:type="dxa"/>
            <w:vAlign w:val="bottom"/>
            <w:vMerge w:val="restart"/>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345988"/>
              </w:rPr>
              <w:t>Volatility</w:t>
            </w:r>
          </w:p>
        </w:tc>
        <w:tc>
          <w:tcPr>
            <w:tcW w:w="15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345988"/>
              </w:rPr>
              <w:t>Annual Dividend Yield</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Risk Free</w:t>
            </w:r>
          </w:p>
        </w:tc>
        <w:tc>
          <w:tcPr>
            <w:tcW w:w="98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345988"/>
              </w:rPr>
              <w:t>Expected Term</w:t>
            </w:r>
          </w:p>
        </w:tc>
        <w:tc>
          <w:tcPr>
            <w:tcW w:w="0" w:type="dxa"/>
            <w:vAlign w:val="bottom"/>
          </w:tcPr>
          <w:p>
            <w:pPr>
              <w:spacing w:after="0"/>
              <w:rPr>
                <w:sz w:val="1"/>
                <w:szCs w:val="1"/>
                <w:color w:val="auto"/>
              </w:rPr>
            </w:pPr>
          </w:p>
        </w:tc>
      </w:tr>
      <w:tr>
        <w:trPr>
          <w:trHeight w:val="192"/>
        </w:trPr>
        <w:tc>
          <w:tcPr>
            <w:tcW w:w="66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Interest Rate</w:t>
            </w:r>
          </w:p>
        </w:tc>
        <w:tc>
          <w:tcPr>
            <w:tcW w:w="9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680" w:type="dxa"/>
            <w:vAlign w:val="bottom"/>
            <w:shd w:val="clear" w:color="auto" w:fill="345988"/>
          </w:tcPr>
          <w:p>
            <w:pPr>
              <w:spacing w:after="0"/>
              <w:rPr>
                <w:sz w:val="2"/>
                <w:szCs w:val="2"/>
                <w:color w:val="auto"/>
              </w:rPr>
            </w:pPr>
          </w:p>
        </w:tc>
        <w:tc>
          <w:tcPr>
            <w:tcW w:w="160" w:type="dxa"/>
            <w:vAlign w:val="bottom"/>
            <w:vMerge w:val="restart"/>
          </w:tcPr>
          <w:p>
            <w:pPr>
              <w:spacing w:after="0"/>
              <w:rPr>
                <w:sz w:val="2"/>
                <w:szCs w:val="2"/>
                <w:color w:val="auto"/>
              </w:rPr>
            </w:pPr>
          </w:p>
        </w:tc>
        <w:tc>
          <w:tcPr>
            <w:tcW w:w="540" w:type="dxa"/>
            <w:vAlign w:val="bottom"/>
            <w:shd w:val="clear" w:color="auto" w:fill="345988"/>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345988"/>
          </w:tcPr>
          <w:p>
            <w:pPr>
              <w:spacing w:after="0"/>
              <w:rPr>
                <w:sz w:val="2"/>
                <w:szCs w:val="2"/>
                <w:color w:val="auto"/>
              </w:rPr>
            </w:pPr>
          </w:p>
        </w:tc>
        <w:tc>
          <w:tcPr>
            <w:tcW w:w="460" w:type="dxa"/>
            <w:vAlign w:val="bottom"/>
            <w:shd w:val="clear" w:color="auto" w:fill="345988"/>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680" w:type="dxa"/>
            <w:vAlign w:val="bottom"/>
            <w:tcBorders>
              <w:bottom w:val="single" w:sz="8" w:color="8590A9"/>
            </w:tcBorders>
          </w:tcPr>
          <w:p>
            <w:pPr>
              <w:spacing w:after="0" w:line="202" w:lineRule="exact"/>
              <w:rPr>
                <w:sz w:val="20"/>
                <w:szCs w:val="20"/>
                <w:color w:val="auto"/>
              </w:rPr>
            </w:pPr>
            <w:r>
              <w:rPr>
                <w:rFonts w:ascii="Arial" w:cs="Arial" w:eastAsia="Arial" w:hAnsi="Arial"/>
                <w:sz w:val="18"/>
                <w:szCs w:val="18"/>
                <w:i w:val="1"/>
                <w:iCs w:val="1"/>
                <w:color w:val="auto"/>
              </w:rPr>
              <w:t>2017 Grants</w:t>
            </w:r>
          </w:p>
        </w:tc>
        <w:tc>
          <w:tcPr>
            <w:tcW w:w="160" w:type="dxa"/>
            <w:vAlign w:val="bottom"/>
            <w:vMerge w:val="continue"/>
          </w:tcPr>
          <w:p>
            <w:pPr>
              <w:spacing w:after="0"/>
              <w:rPr>
                <w:sz w:val="17"/>
                <w:szCs w:val="17"/>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8"/>
                <w:szCs w:val="18"/>
                <w:color w:val="auto"/>
              </w:rPr>
              <w:t>23%</w:t>
            </w:r>
          </w:p>
        </w:tc>
        <w:tc>
          <w:tcPr>
            <w:tcW w:w="1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2.5%</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3"/>
              </w:rPr>
              <w:t>Years</w:t>
            </w:r>
          </w:p>
        </w:tc>
        <w:tc>
          <w:tcPr>
            <w:tcW w:w="0" w:type="dxa"/>
            <w:vAlign w:val="bottom"/>
          </w:tcPr>
          <w:p>
            <w:pPr>
              <w:spacing w:after="0"/>
              <w:rPr>
                <w:sz w:val="1"/>
                <w:szCs w:val="1"/>
                <w:color w:val="auto"/>
              </w:rPr>
            </w:pPr>
          </w:p>
        </w:tc>
      </w:tr>
      <w:tr>
        <w:trPr>
          <w:trHeight w:val="196"/>
        </w:trPr>
        <w:tc>
          <w:tcPr>
            <w:tcW w:w="6680" w:type="dxa"/>
            <w:vAlign w:val="bottom"/>
          </w:tcPr>
          <w:p>
            <w:pPr>
              <w:ind w:left="260"/>
              <w:spacing w:after="0" w:line="195" w:lineRule="exact"/>
              <w:rPr>
                <w:sz w:val="20"/>
                <w:szCs w:val="20"/>
                <w:color w:val="auto"/>
              </w:rPr>
            </w:pPr>
            <w:r>
              <w:rPr>
                <w:rFonts w:ascii="Arial" w:cs="Arial" w:eastAsia="Arial" w:hAnsi="Arial"/>
                <w:sz w:val="18"/>
                <w:szCs w:val="18"/>
                <w:color w:val="auto"/>
              </w:rPr>
              <w:t>5 Year Mandatory Conversion</w:t>
            </w: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top w:val="single" w:sz="8" w:color="8590A9"/>
              <w:bottom w:val="single" w:sz="8" w:color="8590A9"/>
            </w:tcBorders>
          </w:tcPr>
          <w:p>
            <w:pPr>
              <w:ind w:left="260"/>
              <w:spacing w:after="0" w:line="195" w:lineRule="exact"/>
              <w:rPr>
                <w:sz w:val="20"/>
                <w:szCs w:val="20"/>
                <w:color w:val="auto"/>
              </w:rPr>
            </w:pPr>
            <w:r>
              <w:rPr>
                <w:rFonts w:ascii="Arial" w:cs="Arial" w:eastAsia="Arial" w:hAnsi="Arial"/>
                <w:sz w:val="18"/>
                <w:szCs w:val="18"/>
                <w:color w:val="auto"/>
              </w:rPr>
              <w:t>10 Year Mandatory Conversion</w:t>
            </w:r>
          </w:p>
        </w:tc>
        <w:tc>
          <w:tcPr>
            <w:tcW w:w="160" w:type="dxa"/>
            <w:vAlign w:val="bottom"/>
          </w:tcPr>
          <w:p>
            <w:pPr>
              <w:spacing w:after="0"/>
              <w:rPr>
                <w:sz w:val="17"/>
                <w:szCs w:val="17"/>
                <w:color w:val="auto"/>
              </w:rPr>
            </w:pPr>
          </w:p>
        </w:tc>
        <w:tc>
          <w:tcPr>
            <w:tcW w:w="540" w:type="dxa"/>
            <w:vAlign w:val="bottom"/>
            <w:tcBorders>
              <w:top w:val="single" w:sz="8" w:color="8590A9"/>
              <w:bottom w:val="single" w:sz="8" w:color="8590A9"/>
            </w:tcBorders>
          </w:tcPr>
          <w:p>
            <w:pPr>
              <w:ind w:left="200"/>
              <w:spacing w:after="0" w:line="195" w:lineRule="exact"/>
              <w:rPr>
                <w:sz w:val="20"/>
                <w:szCs w:val="20"/>
                <w:color w:val="auto"/>
              </w:rPr>
            </w:pPr>
            <w:r>
              <w:rPr>
                <w:rFonts w:ascii="Arial" w:cs="Arial" w:eastAsia="Arial" w:hAnsi="Arial"/>
                <w:sz w:val="18"/>
                <w:szCs w:val="18"/>
                <w:color w:val="auto"/>
                <w:w w:val="88"/>
              </w:rPr>
              <w:t>34%</w:t>
            </w:r>
          </w:p>
        </w:tc>
        <w:tc>
          <w:tcPr>
            <w:tcW w:w="180" w:type="dxa"/>
            <w:vAlign w:val="bottom"/>
          </w:tcPr>
          <w:p>
            <w:pPr>
              <w:spacing w:after="0"/>
              <w:rPr>
                <w:sz w:val="17"/>
                <w:szCs w:val="17"/>
                <w:color w:val="auto"/>
              </w:rPr>
            </w:pPr>
          </w:p>
        </w:tc>
        <w:tc>
          <w:tcPr>
            <w:tcW w:w="1420" w:type="dxa"/>
            <w:vAlign w:val="bottom"/>
            <w:tcBorders>
              <w:top w:val="single" w:sz="8" w:color="8590A9"/>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820" w:type="dxa"/>
            <w:vAlign w:val="bottom"/>
            <w:tcBorders>
              <w:top w:val="single" w:sz="8" w:color="8590A9"/>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1.93%</w:t>
            </w:r>
          </w:p>
        </w:tc>
        <w:tc>
          <w:tcPr>
            <w:tcW w:w="160" w:type="dxa"/>
            <w:vAlign w:val="bottom"/>
          </w:tcPr>
          <w:p>
            <w:pPr>
              <w:spacing w:after="0"/>
              <w:rPr>
                <w:sz w:val="17"/>
                <w:szCs w:val="17"/>
                <w:color w:val="auto"/>
              </w:rPr>
            </w:pPr>
          </w:p>
        </w:tc>
        <w:tc>
          <w:tcPr>
            <w:tcW w:w="500" w:type="dxa"/>
            <w:vAlign w:val="bottom"/>
            <w:tcBorders>
              <w:top w:val="single" w:sz="8" w:color="8590A9"/>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5.7</w:t>
            </w:r>
          </w:p>
        </w:tc>
        <w:tc>
          <w:tcPr>
            <w:tcW w:w="460" w:type="dxa"/>
            <w:vAlign w:val="bottom"/>
            <w:tcBorders>
              <w:top w:val="single" w:sz="8" w:color="8590A9"/>
              <w:bottom w:val="single" w:sz="8" w:color="8590A9"/>
            </w:tcBorders>
          </w:tcPr>
          <w:p>
            <w:pPr>
              <w:jc w:val="right"/>
              <w:spacing w:after="0" w:line="195" w:lineRule="exact"/>
              <w:rPr>
                <w:sz w:val="20"/>
                <w:szCs w:val="20"/>
                <w:color w:val="auto"/>
              </w:rPr>
            </w:pPr>
            <w:r>
              <w:rPr>
                <w:rFonts w:ascii="Arial" w:cs="Arial" w:eastAsia="Arial" w:hAnsi="Arial"/>
                <w:sz w:val="18"/>
                <w:szCs w:val="18"/>
                <w:color w:val="auto"/>
                <w:w w:val="93"/>
              </w:rPr>
              <w:t>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bottom w:val="single" w:sz="8" w:color="8590A9"/>
            </w:tcBorders>
          </w:tcPr>
          <w:p>
            <w:pPr>
              <w:spacing w:after="0" w:line="195" w:lineRule="exact"/>
              <w:rPr>
                <w:sz w:val="20"/>
                <w:szCs w:val="20"/>
                <w:color w:val="auto"/>
              </w:rPr>
            </w:pPr>
            <w:r>
              <w:rPr>
                <w:rFonts w:ascii="Arial" w:cs="Arial" w:eastAsia="Arial" w:hAnsi="Arial"/>
                <w:sz w:val="18"/>
                <w:szCs w:val="18"/>
                <w:i w:val="1"/>
                <w:iCs w:val="1"/>
                <w:color w:val="auto"/>
              </w:rPr>
              <w:t>2016 Grants</w:t>
            </w:r>
          </w:p>
        </w:tc>
        <w:tc>
          <w:tcPr>
            <w:tcW w:w="160" w:type="dxa"/>
            <w:vAlign w:val="bottom"/>
          </w:tcPr>
          <w:p>
            <w:pPr>
              <w:spacing w:after="0"/>
              <w:rPr>
                <w:sz w:val="17"/>
                <w:szCs w:val="17"/>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8"/>
                <w:szCs w:val="18"/>
                <w:color w:val="auto"/>
              </w:rPr>
              <w:t>23%</w:t>
            </w:r>
          </w:p>
        </w:tc>
        <w:tc>
          <w:tcPr>
            <w:tcW w:w="1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2.3%</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0.89%</w:t>
            </w:r>
          </w:p>
        </w:tc>
        <w:tc>
          <w:tcPr>
            <w:tcW w:w="16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3"/>
              </w:rPr>
              <w:t>Years</w:t>
            </w:r>
          </w:p>
        </w:tc>
        <w:tc>
          <w:tcPr>
            <w:tcW w:w="0" w:type="dxa"/>
            <w:vAlign w:val="bottom"/>
          </w:tcPr>
          <w:p>
            <w:pPr>
              <w:spacing w:after="0"/>
              <w:rPr>
                <w:sz w:val="1"/>
                <w:szCs w:val="1"/>
                <w:color w:val="auto"/>
              </w:rPr>
            </w:pPr>
          </w:p>
        </w:tc>
      </w:tr>
      <w:tr>
        <w:trPr>
          <w:trHeight w:val="196"/>
        </w:trPr>
        <w:tc>
          <w:tcPr>
            <w:tcW w:w="6680" w:type="dxa"/>
            <w:vAlign w:val="bottom"/>
          </w:tcPr>
          <w:p>
            <w:pPr>
              <w:ind w:left="260"/>
              <w:spacing w:after="0" w:line="195" w:lineRule="exact"/>
              <w:rPr>
                <w:sz w:val="20"/>
                <w:szCs w:val="20"/>
                <w:color w:val="auto"/>
              </w:rPr>
            </w:pPr>
            <w:r>
              <w:rPr>
                <w:rFonts w:ascii="Arial" w:cs="Arial" w:eastAsia="Arial" w:hAnsi="Arial"/>
                <w:sz w:val="18"/>
                <w:szCs w:val="18"/>
                <w:color w:val="auto"/>
              </w:rPr>
              <w:t>5 Year Mandatory Conversion</w:t>
            </w: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Borders>
              <w:top w:val="single" w:sz="8" w:color="8590A9"/>
              <w:bottom w:val="single" w:sz="8" w:color="345988"/>
            </w:tcBorders>
          </w:tcPr>
          <w:p>
            <w:pPr>
              <w:ind w:left="260"/>
              <w:spacing w:after="0" w:line="195" w:lineRule="exact"/>
              <w:rPr>
                <w:sz w:val="20"/>
                <w:szCs w:val="20"/>
                <w:color w:val="auto"/>
              </w:rPr>
            </w:pPr>
            <w:r>
              <w:rPr>
                <w:rFonts w:ascii="Arial" w:cs="Arial" w:eastAsia="Arial" w:hAnsi="Arial"/>
                <w:sz w:val="18"/>
                <w:szCs w:val="18"/>
                <w:color w:val="auto"/>
              </w:rPr>
              <w:t>10 Year Mandatory Conversion</w:t>
            </w:r>
          </w:p>
        </w:tc>
        <w:tc>
          <w:tcPr>
            <w:tcW w:w="160" w:type="dxa"/>
            <w:vAlign w:val="bottom"/>
          </w:tcPr>
          <w:p>
            <w:pPr>
              <w:spacing w:after="0"/>
              <w:rPr>
                <w:sz w:val="17"/>
                <w:szCs w:val="17"/>
                <w:color w:val="auto"/>
              </w:rPr>
            </w:pPr>
          </w:p>
        </w:tc>
        <w:tc>
          <w:tcPr>
            <w:tcW w:w="540" w:type="dxa"/>
            <w:vAlign w:val="bottom"/>
            <w:tcBorders>
              <w:top w:val="single" w:sz="8" w:color="8590A9"/>
              <w:bottom w:val="single" w:sz="8" w:color="345988"/>
            </w:tcBorders>
          </w:tcPr>
          <w:p>
            <w:pPr>
              <w:ind w:left="200"/>
              <w:spacing w:after="0" w:line="195" w:lineRule="exact"/>
              <w:rPr>
                <w:sz w:val="20"/>
                <w:szCs w:val="20"/>
                <w:color w:val="auto"/>
              </w:rPr>
            </w:pPr>
            <w:r>
              <w:rPr>
                <w:rFonts w:ascii="Arial" w:cs="Arial" w:eastAsia="Arial" w:hAnsi="Arial"/>
                <w:sz w:val="18"/>
                <w:szCs w:val="18"/>
                <w:color w:val="auto"/>
                <w:w w:val="88"/>
              </w:rPr>
              <w:t>35%</w:t>
            </w:r>
          </w:p>
        </w:tc>
        <w:tc>
          <w:tcPr>
            <w:tcW w:w="180" w:type="dxa"/>
            <w:vAlign w:val="bottom"/>
          </w:tcPr>
          <w:p>
            <w:pPr>
              <w:spacing w:after="0"/>
              <w:rPr>
                <w:sz w:val="17"/>
                <w:szCs w:val="17"/>
                <w:color w:val="auto"/>
              </w:rPr>
            </w:pPr>
          </w:p>
        </w:tc>
        <w:tc>
          <w:tcPr>
            <w:tcW w:w="1420" w:type="dxa"/>
            <w:vAlign w:val="bottom"/>
            <w:tcBorders>
              <w:top w:val="single" w:sz="8" w:color="8590A9"/>
              <w:bottom w:val="single" w:sz="8" w:color="345988"/>
            </w:tcBorders>
          </w:tcPr>
          <w:p>
            <w:pPr>
              <w:jc w:val="right"/>
              <w:spacing w:after="0" w:line="195"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7"/>
                <w:szCs w:val="17"/>
                <w:color w:val="auto"/>
              </w:rPr>
            </w:pPr>
          </w:p>
        </w:tc>
        <w:tc>
          <w:tcPr>
            <w:tcW w:w="820" w:type="dxa"/>
            <w:vAlign w:val="bottom"/>
            <w:tcBorders>
              <w:top w:val="single" w:sz="8" w:color="8590A9"/>
              <w:bottom w:val="single" w:sz="8" w:color="345988"/>
            </w:tcBorders>
          </w:tcPr>
          <w:p>
            <w:pPr>
              <w:jc w:val="right"/>
              <w:spacing w:after="0" w:line="195" w:lineRule="exact"/>
              <w:rPr>
                <w:sz w:val="20"/>
                <w:szCs w:val="20"/>
                <w:color w:val="auto"/>
              </w:rPr>
            </w:pPr>
            <w:r>
              <w:rPr>
                <w:rFonts w:ascii="Arial" w:cs="Arial" w:eastAsia="Arial" w:hAnsi="Arial"/>
                <w:sz w:val="18"/>
                <w:szCs w:val="18"/>
                <w:color w:val="auto"/>
              </w:rPr>
              <w:t>1.26%</w:t>
            </w:r>
          </w:p>
        </w:tc>
        <w:tc>
          <w:tcPr>
            <w:tcW w:w="160" w:type="dxa"/>
            <w:vAlign w:val="bottom"/>
          </w:tcPr>
          <w:p>
            <w:pPr>
              <w:spacing w:after="0"/>
              <w:rPr>
                <w:sz w:val="17"/>
                <w:szCs w:val="17"/>
                <w:color w:val="auto"/>
              </w:rPr>
            </w:pPr>
          </w:p>
        </w:tc>
        <w:tc>
          <w:tcPr>
            <w:tcW w:w="500" w:type="dxa"/>
            <w:vAlign w:val="bottom"/>
            <w:tcBorders>
              <w:top w:val="single" w:sz="8" w:color="8590A9"/>
              <w:bottom w:val="single" w:sz="8" w:color="345988"/>
            </w:tcBorders>
          </w:tcPr>
          <w:p>
            <w:pPr>
              <w:jc w:val="right"/>
              <w:spacing w:after="0" w:line="195" w:lineRule="exact"/>
              <w:rPr>
                <w:sz w:val="20"/>
                <w:szCs w:val="20"/>
                <w:color w:val="auto"/>
              </w:rPr>
            </w:pPr>
            <w:r>
              <w:rPr>
                <w:rFonts w:ascii="Arial" w:cs="Arial" w:eastAsia="Arial" w:hAnsi="Arial"/>
                <w:sz w:val="18"/>
                <w:szCs w:val="18"/>
                <w:color w:val="auto"/>
              </w:rPr>
              <w:t>5.5</w:t>
            </w:r>
          </w:p>
        </w:tc>
        <w:tc>
          <w:tcPr>
            <w:tcW w:w="460" w:type="dxa"/>
            <w:vAlign w:val="bottom"/>
            <w:tcBorders>
              <w:top w:val="single" w:sz="8" w:color="8590A9"/>
              <w:bottom w:val="single" w:sz="8" w:color="345988"/>
            </w:tcBorders>
          </w:tcPr>
          <w:p>
            <w:pPr>
              <w:jc w:val="right"/>
              <w:spacing w:after="0" w:line="195" w:lineRule="exact"/>
              <w:rPr>
                <w:sz w:val="20"/>
                <w:szCs w:val="20"/>
                <w:color w:val="auto"/>
              </w:rPr>
            </w:pPr>
            <w:r>
              <w:rPr>
                <w:rFonts w:ascii="Arial" w:cs="Arial" w:eastAsia="Arial" w:hAnsi="Arial"/>
                <w:sz w:val="18"/>
                <w:szCs w:val="18"/>
                <w:color w:val="auto"/>
                <w:w w:val="93"/>
              </w:rPr>
              <w:t>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53" w:lineRule="exact"/>
        <w:rPr>
          <w:sz w:val="20"/>
          <w:szCs w:val="20"/>
          <w:color w:val="auto"/>
        </w:rPr>
      </w:pPr>
    </w:p>
    <w:p>
      <w:pPr>
        <w:ind w:left="360" w:hanging="352"/>
        <w:spacing w:after="0"/>
        <w:tabs>
          <w:tab w:leader="none" w:pos="36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table and footnotes below show the components of this column for 2017, which include certain perquisites such as Company 401(k) matching contributions.</w:t>
      </w:r>
    </w:p>
    <w:p>
      <w:pPr>
        <w:sectPr>
          <w:pgSz w:w="11900" w:h="16838" w:orient="portrait"/>
          <w:cols w:equalWidth="0" w:num="1">
            <w:col w:w="11520"/>
          </w:cols>
          <w:pgMar w:left="240" w:top="119" w:right="139" w:bottom="918" w:gutter="0" w:footer="0" w:header="0"/>
        </w:sect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578358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83580" cy="17145"/>
                    </a:xfrm>
                    <a:prstGeom prst="rect">
                      <a:avLst/>
                    </a:prstGeom>
                    <a:noFill/>
                  </pic:spPr>
                </pic:pic>
              </a:graphicData>
            </a:graphic>
          </wp:anchor>
        </w:drawing>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26035</wp:posOffset>
            </wp:positionV>
            <wp:extent cx="5783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83580" cy="8255"/>
                    </a:xfrm>
                    <a:prstGeom prst="rect">
                      <a:avLst/>
                    </a:prstGeom>
                    <a:noFill/>
                  </pic:spPr>
                </pic:pic>
              </a:graphicData>
            </a:graphic>
          </wp:anchor>
        </w:drawing>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Stephen 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26035</wp:posOffset>
            </wp:positionV>
            <wp:extent cx="5783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83580" cy="8255"/>
                    </a:xfrm>
                    <a:prstGeom prst="rect">
                      <a:avLst/>
                    </a:prstGeom>
                    <a:noFill/>
                  </pic:spPr>
                </pic:pic>
              </a:graphicData>
            </a:graphic>
          </wp:anchor>
        </w:drawing>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Andrew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26035</wp:posOffset>
            </wp:positionV>
            <wp:extent cx="5783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83580" cy="8255"/>
                    </a:xfrm>
                    <a:prstGeom prst="rect">
                      <a:avLst/>
                    </a:prstGeom>
                    <a:noFill/>
                  </pic:spPr>
                </pic:pic>
              </a:graphicData>
            </a:graphic>
          </wp:anchor>
        </w:drawing>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40640</wp:posOffset>
            </wp:positionV>
            <wp:extent cx="5783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83580" cy="8255"/>
                    </a:xfrm>
                    <a:prstGeom prst="rect">
                      <a:avLst/>
                    </a:prstGeom>
                    <a:noFill/>
                  </pic:spPr>
                </pic:pic>
              </a:graphicData>
            </a:graphic>
          </wp:anchor>
        </w:drawing>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26035</wp:posOffset>
            </wp:positionV>
            <wp:extent cx="578358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835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right"/>
        <w:ind w:right="100"/>
        <w:spacing w:after="0"/>
        <w:rPr>
          <w:sz w:val="20"/>
          <w:szCs w:val="20"/>
          <w:color w:val="auto"/>
        </w:rPr>
      </w:pPr>
      <w:r>
        <w:rPr>
          <w:rFonts w:ascii="Arial" w:cs="Arial" w:eastAsia="Arial" w:hAnsi="Arial"/>
          <w:sz w:val="13"/>
          <w:szCs w:val="13"/>
          <w:b w:val="1"/>
          <w:bCs w:val="1"/>
          <w:color w:val="345988"/>
        </w:rPr>
        <w:t>All Other</w:t>
      </w:r>
    </w:p>
    <w:p>
      <w:pPr>
        <w:spacing w:after="0" w:line="17" w:lineRule="exact"/>
        <w:rPr>
          <w:sz w:val="20"/>
          <w:szCs w:val="20"/>
          <w:color w:val="auto"/>
        </w:rPr>
      </w:pPr>
    </w:p>
    <w:p>
      <w:pPr>
        <w:jc w:val="both"/>
        <w:ind w:left="100"/>
        <w:spacing w:after="0"/>
        <w:tabs>
          <w:tab w:leader="none" w:pos="660" w:val="left"/>
        </w:tabs>
        <w:rPr>
          <w:sz w:val="20"/>
          <w:szCs w:val="20"/>
          <w:color w:val="auto"/>
        </w:rPr>
      </w:pPr>
      <w:r>
        <w:rPr>
          <w:rFonts w:ascii="Arial" w:cs="Arial" w:eastAsia="Arial" w:hAnsi="Arial"/>
          <w:sz w:val="13"/>
          <w:szCs w:val="13"/>
          <w:b w:val="1"/>
          <w:bCs w:val="1"/>
          <w:color w:val="345988"/>
        </w:rPr>
        <w:t>Year</w:t>
      </w:r>
      <w:r>
        <w:rPr>
          <w:sz w:val="20"/>
          <w:szCs w:val="20"/>
          <w:color w:val="auto"/>
        </w:rPr>
        <w:tab/>
      </w:r>
      <w:r>
        <w:rPr>
          <w:rFonts w:ascii="Arial" w:cs="Arial" w:eastAsia="Arial" w:hAnsi="Arial"/>
          <w:sz w:val="13"/>
          <w:szCs w:val="13"/>
          <w:b w:val="1"/>
          <w:bCs w:val="1"/>
          <w:u w:val="single" w:color="auto"/>
          <w:color w:val="345988"/>
        </w:rPr>
        <w:t>Compensation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24828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8285"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33"/>
        </w:trPr>
        <w:tc>
          <w:tcPr>
            <w:tcW w:w="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4"/>
              </w:rPr>
              <w:t>2017</w:t>
            </w:r>
          </w:p>
        </w:tc>
        <w:tc>
          <w:tcPr>
            <w:tcW w:w="160" w:type="dxa"/>
            <w:vAlign w:val="bottom"/>
          </w:tcPr>
          <w:p>
            <w:pPr>
              <w:spacing w:after="0"/>
              <w:rPr>
                <w:sz w:val="24"/>
                <w:szCs w:val="24"/>
                <w:color w:val="auto"/>
              </w:rPr>
            </w:pPr>
          </w:p>
        </w:tc>
        <w:tc>
          <w:tcPr>
            <w:tcW w:w="280" w:type="dxa"/>
            <w:vAlign w:val="bottom"/>
            <w:tcBorders>
              <w:bottom w:val="single" w:sz="8" w:color="8590A9"/>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45,319</w:t>
            </w:r>
            <w:r>
              <w:rPr>
                <w:rFonts w:ascii="Arial" w:cs="Arial" w:eastAsia="Arial" w:hAnsi="Arial"/>
                <w:sz w:val="29"/>
                <w:szCs w:val="29"/>
                <w:color w:val="auto"/>
                <w:vertAlign w:val="superscript"/>
              </w:rPr>
              <w:t>(a)</w:t>
            </w:r>
          </w:p>
        </w:tc>
      </w:tr>
      <w:tr>
        <w:trPr>
          <w:trHeight w:val="303"/>
        </w:trPr>
        <w:tc>
          <w:tcPr>
            <w:tcW w:w="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4"/>
              </w:rPr>
              <w:t>2017</w:t>
            </w:r>
          </w:p>
        </w:tc>
        <w:tc>
          <w:tcPr>
            <w:tcW w:w="160" w:type="dxa"/>
            <w:vAlign w:val="bottom"/>
          </w:tcPr>
          <w:p>
            <w:pPr>
              <w:spacing w:after="0"/>
              <w:rPr>
                <w:sz w:val="24"/>
                <w:szCs w:val="24"/>
                <w:color w:val="auto"/>
              </w:rPr>
            </w:pPr>
          </w:p>
        </w:tc>
        <w:tc>
          <w:tcPr>
            <w:tcW w:w="280" w:type="dxa"/>
            <w:vAlign w:val="bottom"/>
            <w:tcBorders>
              <w:bottom w:val="single" w:sz="8" w:color="8590A9"/>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8590A9"/>
            </w:tcBorders>
          </w:tcPr>
          <w:p>
            <w:pPr>
              <w:jc w:val="right"/>
              <w:spacing w:after="0" w:line="303" w:lineRule="exact"/>
              <w:rPr>
                <w:sz w:val="20"/>
                <w:szCs w:val="20"/>
                <w:color w:val="auto"/>
              </w:rPr>
            </w:pPr>
            <w:r>
              <w:rPr>
                <w:rFonts w:ascii="Arial" w:cs="Arial" w:eastAsia="Arial" w:hAnsi="Arial"/>
                <w:sz w:val="18"/>
                <w:szCs w:val="18"/>
                <w:color w:val="auto"/>
              </w:rPr>
              <w:t>185,986</w:t>
            </w:r>
            <w:r>
              <w:rPr>
                <w:rFonts w:ascii="Arial" w:cs="Arial" w:eastAsia="Arial" w:hAnsi="Arial"/>
                <w:sz w:val="29"/>
                <w:szCs w:val="29"/>
                <w:color w:val="auto"/>
                <w:vertAlign w:val="superscript"/>
              </w:rPr>
              <w:t>(b)</w:t>
            </w:r>
          </w:p>
        </w:tc>
      </w:tr>
      <w:tr>
        <w:trPr>
          <w:trHeight w:val="303"/>
        </w:trPr>
        <w:tc>
          <w:tcPr>
            <w:tcW w:w="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4"/>
              </w:rPr>
              <w:t>2017</w:t>
            </w:r>
          </w:p>
        </w:tc>
        <w:tc>
          <w:tcPr>
            <w:tcW w:w="160" w:type="dxa"/>
            <w:vAlign w:val="bottom"/>
          </w:tcPr>
          <w:p>
            <w:pPr>
              <w:spacing w:after="0"/>
              <w:rPr>
                <w:sz w:val="24"/>
                <w:szCs w:val="24"/>
                <w:color w:val="auto"/>
              </w:rPr>
            </w:pPr>
          </w:p>
        </w:tc>
        <w:tc>
          <w:tcPr>
            <w:tcW w:w="280" w:type="dxa"/>
            <w:vAlign w:val="bottom"/>
            <w:tcBorders>
              <w:bottom w:val="single" w:sz="8" w:color="8590A9"/>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8590A9"/>
            </w:tcBorders>
          </w:tcPr>
          <w:p>
            <w:pPr>
              <w:jc w:val="right"/>
              <w:spacing w:after="0" w:line="303" w:lineRule="exact"/>
              <w:rPr>
                <w:sz w:val="20"/>
                <w:szCs w:val="20"/>
                <w:color w:val="auto"/>
              </w:rPr>
            </w:pPr>
            <w:r>
              <w:rPr>
                <w:rFonts w:ascii="Arial" w:cs="Arial" w:eastAsia="Arial" w:hAnsi="Arial"/>
                <w:sz w:val="18"/>
                <w:szCs w:val="18"/>
                <w:color w:val="auto"/>
              </w:rPr>
              <w:t>43,993</w:t>
            </w:r>
            <w:r>
              <w:rPr>
                <w:rFonts w:ascii="Arial" w:cs="Arial" w:eastAsia="Arial" w:hAnsi="Arial"/>
                <w:sz w:val="29"/>
                <w:szCs w:val="29"/>
                <w:color w:val="auto"/>
                <w:vertAlign w:val="superscript"/>
              </w:rPr>
              <w:t>(c)</w:t>
            </w:r>
          </w:p>
        </w:tc>
      </w:tr>
      <w:tr>
        <w:trPr>
          <w:trHeight w:val="303"/>
        </w:trPr>
        <w:tc>
          <w:tcPr>
            <w:tcW w:w="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4"/>
              </w:rPr>
              <w:t>2017</w:t>
            </w:r>
          </w:p>
        </w:tc>
        <w:tc>
          <w:tcPr>
            <w:tcW w:w="160" w:type="dxa"/>
            <w:vAlign w:val="bottom"/>
          </w:tcPr>
          <w:p>
            <w:pPr>
              <w:spacing w:after="0"/>
              <w:rPr>
                <w:sz w:val="24"/>
                <w:szCs w:val="24"/>
                <w:color w:val="auto"/>
              </w:rPr>
            </w:pPr>
          </w:p>
        </w:tc>
        <w:tc>
          <w:tcPr>
            <w:tcW w:w="280" w:type="dxa"/>
            <w:vAlign w:val="bottom"/>
            <w:tcBorders>
              <w:bottom w:val="single" w:sz="8" w:color="8590A9"/>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8590A9"/>
            </w:tcBorders>
          </w:tcPr>
          <w:p>
            <w:pPr>
              <w:jc w:val="right"/>
              <w:spacing w:after="0" w:line="303" w:lineRule="exact"/>
              <w:rPr>
                <w:sz w:val="20"/>
                <w:szCs w:val="20"/>
                <w:color w:val="auto"/>
              </w:rPr>
            </w:pPr>
            <w:r>
              <w:rPr>
                <w:rFonts w:ascii="Arial" w:cs="Arial" w:eastAsia="Arial" w:hAnsi="Arial"/>
                <w:sz w:val="18"/>
                <w:szCs w:val="18"/>
                <w:color w:val="auto"/>
              </w:rPr>
              <w:t>8,100</w:t>
            </w:r>
            <w:r>
              <w:rPr>
                <w:rFonts w:ascii="Arial" w:cs="Arial" w:eastAsia="Arial" w:hAnsi="Arial"/>
                <w:sz w:val="29"/>
                <w:szCs w:val="29"/>
                <w:color w:val="auto"/>
                <w:vertAlign w:val="superscript"/>
              </w:rPr>
              <w:t>(d)</w:t>
            </w:r>
          </w:p>
        </w:tc>
      </w:tr>
      <w:tr>
        <w:trPr>
          <w:trHeight w:val="310"/>
        </w:trPr>
        <w:tc>
          <w:tcPr>
            <w:tcW w:w="4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94"/>
              </w:rPr>
              <w:t>2017</w:t>
            </w:r>
          </w:p>
        </w:tc>
        <w:tc>
          <w:tcPr>
            <w:tcW w:w="160" w:type="dxa"/>
            <w:vAlign w:val="bottom"/>
          </w:tcPr>
          <w:p>
            <w:pPr>
              <w:spacing w:after="0"/>
              <w:rPr>
                <w:sz w:val="24"/>
                <w:szCs w:val="24"/>
                <w:color w:val="auto"/>
              </w:rPr>
            </w:pPr>
          </w:p>
        </w:tc>
        <w:tc>
          <w:tcPr>
            <w:tcW w:w="280" w:type="dxa"/>
            <w:vAlign w:val="bottom"/>
            <w:tcBorders>
              <w:bottom w:val="single" w:sz="8" w:color="345988"/>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345988"/>
            </w:tcBorders>
          </w:tcPr>
          <w:p>
            <w:pPr>
              <w:jc w:val="right"/>
              <w:spacing w:after="0" w:line="303" w:lineRule="exact"/>
              <w:rPr>
                <w:sz w:val="20"/>
                <w:szCs w:val="20"/>
                <w:color w:val="auto"/>
              </w:rPr>
            </w:pPr>
            <w:r>
              <w:rPr>
                <w:rFonts w:ascii="Arial" w:cs="Arial" w:eastAsia="Arial" w:hAnsi="Arial"/>
                <w:sz w:val="18"/>
                <w:szCs w:val="18"/>
                <w:color w:val="auto"/>
              </w:rPr>
              <w:t>8,100</w:t>
            </w:r>
            <w:r>
              <w:rPr>
                <w:rFonts w:ascii="Arial" w:cs="Arial" w:eastAsia="Arial" w:hAnsi="Arial"/>
                <w:sz w:val="29"/>
                <w:szCs w:val="29"/>
                <w:color w:val="auto"/>
                <w:vertAlign w:val="superscript"/>
              </w:rPr>
              <w:t>(d)</w:t>
            </w:r>
          </w:p>
        </w:tc>
      </w:tr>
    </w:tbl>
    <w:p>
      <w:pPr>
        <w:spacing w:after="0" w:line="91" w:lineRule="exact"/>
        <w:rPr>
          <w:sz w:val="20"/>
          <w:szCs w:val="20"/>
          <w:color w:val="auto"/>
        </w:rPr>
      </w:pPr>
    </w:p>
    <w:p>
      <w:pPr>
        <w:sectPr>
          <w:pgSz w:w="11900" w:h="16838" w:orient="portrait"/>
          <w:cols w:equalWidth="0" w:num="2">
            <w:col w:w="8880" w:space="720"/>
            <w:col w:w="1920"/>
          </w:cols>
          <w:pgMar w:left="240" w:top="119" w:right="139" w:bottom="918" w:gutter="0" w:footer="0" w:header="0"/>
          <w:type w:val="continuous"/>
        </w:sectPr>
      </w:pPr>
    </w:p>
    <w:p>
      <w:pPr>
        <w:ind w:left="660" w:right="540" w:hanging="347"/>
        <w:spacing w:after="0" w:line="262" w:lineRule="auto"/>
        <w:tabs>
          <w:tab w:leader="none" w:pos="66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Represents (i) the Company’s matching contributions with respect to amounts earned by the named executive officer under our 401(k) plan ($8,100), (ii) leased car payments ($22,802) and (iii) life insurance premiums ($14,417). The Company’s 401(k) matching contributions are credited in the year subsequent to which employees make their contributions.</w:t>
      </w:r>
    </w:p>
    <w:p>
      <w:pPr>
        <w:spacing w:after="0" w:line="62" w:lineRule="exact"/>
        <w:rPr>
          <w:rFonts w:ascii="Arial" w:cs="Arial" w:eastAsia="Arial" w:hAnsi="Arial"/>
          <w:sz w:val="13"/>
          <w:szCs w:val="13"/>
          <w:color w:val="auto"/>
        </w:rPr>
      </w:pPr>
    </w:p>
    <w:p>
      <w:pPr>
        <w:ind w:left="660" w:hanging="347"/>
        <w:spacing w:after="0"/>
        <w:tabs>
          <w:tab w:leader="none" w:pos="66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Represents leased car ($42,138) and full-time driver payments ($143,848).</w:t>
      </w:r>
    </w:p>
    <w:p>
      <w:pPr>
        <w:spacing w:after="0" w:line="106" w:lineRule="exact"/>
        <w:rPr>
          <w:rFonts w:ascii="Arial" w:cs="Arial" w:eastAsia="Arial" w:hAnsi="Arial"/>
          <w:sz w:val="13"/>
          <w:szCs w:val="13"/>
          <w:color w:val="auto"/>
        </w:rPr>
      </w:pPr>
    </w:p>
    <w:p>
      <w:pPr>
        <w:ind w:left="660" w:right="660" w:hanging="347"/>
        <w:spacing w:after="0" w:line="286" w:lineRule="auto"/>
        <w:tabs>
          <w:tab w:leader="none" w:pos="66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Represents the Company’s matching contributions with respect to amounts earned by the named executive officer under our 401(k) plan ($8,100) and leased car payments ($35,893). The Company’s 401(k) matching contributions are credited in the year subsequent to which employees make their contributions.</w:t>
      </w:r>
    </w:p>
    <w:p>
      <w:pPr>
        <w:spacing w:after="0" w:line="47" w:lineRule="exact"/>
        <w:rPr>
          <w:rFonts w:ascii="Arial" w:cs="Arial" w:eastAsia="Arial" w:hAnsi="Arial"/>
          <w:sz w:val="13"/>
          <w:szCs w:val="13"/>
          <w:color w:val="auto"/>
        </w:rPr>
      </w:pPr>
    </w:p>
    <w:p>
      <w:pPr>
        <w:ind w:left="660" w:right="180" w:hanging="347"/>
        <w:spacing w:after="0" w:line="286" w:lineRule="auto"/>
        <w:tabs>
          <w:tab w:leader="none" w:pos="66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Represents the Company’s matching contributions with respect to amounts earned by the named executive officer under our 401(k) plan ($8,100). The Company’s 401(k) matching contributions are credited in the year subsequent to which employees make their contributions.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2017 Grants of Plan-Based Awards</w:t>
      </w:r>
    </w:p>
    <w:p>
      <w:pPr>
        <w:spacing w:after="0" w:line="21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sets forth certain information with respect to each grant of an award made to a named executive officer in the fiscal year ended December 31,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All Other</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45988"/>
              </w:rPr>
              <w:t>All Other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345988"/>
              </w:rPr>
              <w:t>Grant</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Stock</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3"/>
                <w:szCs w:val="13"/>
                <w:b w:val="1"/>
                <w:bCs w:val="1"/>
                <w:color w:val="345988"/>
              </w:rPr>
              <w:t>Option</w:t>
            </w:r>
          </w:p>
        </w:tc>
        <w:tc>
          <w:tcPr>
            <w:tcW w:w="8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b w:val="1"/>
                <w:bCs w:val="1"/>
                <w:color w:val="345988"/>
              </w:rPr>
              <w:t>Exercise</w:t>
            </w: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Awards:</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3"/>
                <w:szCs w:val="13"/>
                <w:b w:val="1"/>
                <w:bCs w:val="1"/>
                <w:color w:val="345988"/>
              </w:rPr>
              <w:t>Awards:</w:t>
            </w: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b w:val="1"/>
                <w:bCs w:val="1"/>
                <w:color w:val="345988"/>
              </w:rPr>
              <w:t>Date Fair</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80" w:type="dxa"/>
            <w:vAlign w:val="bottom"/>
            <w:gridSpan w:val="9"/>
            <w:vMerge w:val="restart"/>
          </w:tcPr>
          <w:p>
            <w:pPr>
              <w:ind w:left="60"/>
              <w:spacing w:after="0"/>
              <w:rPr>
                <w:sz w:val="20"/>
                <w:szCs w:val="20"/>
                <w:color w:val="auto"/>
              </w:rPr>
            </w:pPr>
            <w:r>
              <w:rPr>
                <w:rFonts w:ascii="Arial" w:cs="Arial" w:eastAsia="Arial" w:hAnsi="Arial"/>
                <w:sz w:val="13"/>
                <w:szCs w:val="13"/>
                <w:b w:val="1"/>
                <w:bCs w:val="1"/>
                <w:color w:val="345988"/>
              </w:rPr>
              <w:t>Estimated Possible Payouts Under Non-Equity</w:t>
            </w:r>
          </w:p>
        </w:tc>
        <w:tc>
          <w:tcPr>
            <w:tcW w:w="2320" w:type="dxa"/>
            <w:vAlign w:val="bottom"/>
            <w:gridSpan w:val="6"/>
            <w:vMerge w:val="restart"/>
          </w:tcPr>
          <w:p>
            <w:pPr>
              <w:ind w:left="40"/>
              <w:spacing w:after="0"/>
              <w:rPr>
                <w:sz w:val="20"/>
                <w:szCs w:val="20"/>
                <w:color w:val="auto"/>
              </w:rPr>
            </w:pPr>
            <w:r>
              <w:rPr>
                <w:rFonts w:ascii="Arial" w:cs="Arial" w:eastAsia="Arial" w:hAnsi="Arial"/>
                <w:sz w:val="13"/>
                <w:szCs w:val="13"/>
                <w:b w:val="1"/>
                <w:bCs w:val="1"/>
                <w:color w:val="345988"/>
              </w:rPr>
              <w:t>Estimated Future Payouts Under</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Number</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3"/>
                <w:szCs w:val="13"/>
                <w:b w:val="1"/>
                <w:bCs w:val="1"/>
                <w:color w:val="345988"/>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or Base</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b w:val="1"/>
                <w:bCs w:val="1"/>
                <w:color w:val="345988"/>
              </w:rPr>
              <w:t>Value of</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80" w:type="dxa"/>
            <w:vAlign w:val="bottom"/>
            <w:gridSpan w:val="9"/>
            <w:vMerge w:val="continue"/>
          </w:tcPr>
          <w:p>
            <w:pPr>
              <w:spacing w:after="0"/>
              <w:rPr>
                <w:sz w:val="12"/>
                <w:szCs w:val="12"/>
                <w:color w:val="auto"/>
              </w:rPr>
            </w:pPr>
          </w:p>
        </w:tc>
        <w:tc>
          <w:tcPr>
            <w:tcW w:w="2320" w:type="dxa"/>
            <w:vAlign w:val="bottom"/>
            <w:gridSpan w:val="6"/>
            <w:vMerge w:val="continue"/>
          </w:tcPr>
          <w:p>
            <w:pPr>
              <w:spacing w:after="0"/>
              <w:rPr>
                <w:sz w:val="12"/>
                <w:szCs w:val="12"/>
                <w:color w:val="auto"/>
              </w:rPr>
            </w:pP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of Shares</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3"/>
                <w:szCs w:val="13"/>
                <w:b w:val="1"/>
                <w:bCs w:val="1"/>
                <w:color w:val="345988"/>
              </w:rPr>
              <w:t>Securities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Price of</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b w:val="1"/>
                <w:bCs w:val="1"/>
                <w:color w:val="345988"/>
              </w:rPr>
              <w:t>Stock and</w:t>
            </w: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345988"/>
            </w:tcBorders>
          </w:tcPr>
          <w:p>
            <w:pPr>
              <w:spacing w:after="0"/>
              <w:rPr>
                <w:sz w:val="11"/>
                <w:szCs w:val="11"/>
                <w:color w:val="auto"/>
              </w:rPr>
            </w:pPr>
          </w:p>
        </w:tc>
        <w:tc>
          <w:tcPr>
            <w:tcW w:w="2180" w:type="dxa"/>
            <w:vAlign w:val="bottom"/>
            <w:tcBorders>
              <w:bottom w:val="single" w:sz="8" w:color="345988"/>
            </w:tcBorders>
            <w:gridSpan w:val="6"/>
          </w:tcPr>
          <w:p>
            <w:pPr>
              <w:jc w:val="right"/>
              <w:spacing w:after="0" w:line="102" w:lineRule="exact"/>
              <w:rPr>
                <w:sz w:val="20"/>
                <w:szCs w:val="20"/>
                <w:color w:val="auto"/>
              </w:rPr>
            </w:pPr>
            <w:r>
              <w:rPr>
                <w:rFonts w:ascii="Arial" w:cs="Arial" w:eastAsia="Arial" w:hAnsi="Arial"/>
                <w:sz w:val="11"/>
                <w:szCs w:val="11"/>
                <w:b w:val="1"/>
                <w:bCs w:val="1"/>
                <w:color w:val="345988"/>
              </w:rPr>
              <w:t>Incentive Plan Awards</w:t>
            </w:r>
          </w:p>
        </w:tc>
        <w:tc>
          <w:tcPr>
            <w:tcW w:w="800" w:type="dxa"/>
            <w:vAlign w:val="bottom"/>
            <w:tcBorders>
              <w:bottom w:val="single" w:sz="8" w:color="345988"/>
            </w:tcBorders>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tcBorders>
              <w:bottom w:val="single" w:sz="8" w:color="345988"/>
            </w:tcBorders>
            <w:gridSpan w:val="5"/>
          </w:tcPr>
          <w:p>
            <w:pPr>
              <w:jc w:val="right"/>
              <w:ind w:right="73"/>
              <w:spacing w:after="0" w:line="102" w:lineRule="exact"/>
              <w:rPr>
                <w:sz w:val="20"/>
                <w:szCs w:val="20"/>
                <w:color w:val="auto"/>
              </w:rPr>
            </w:pPr>
            <w:r>
              <w:rPr>
                <w:rFonts w:ascii="Arial" w:cs="Arial" w:eastAsia="Arial" w:hAnsi="Arial"/>
                <w:sz w:val="11"/>
                <w:szCs w:val="11"/>
                <w:b w:val="1"/>
                <w:bCs w:val="1"/>
                <w:color w:val="345988"/>
              </w:rPr>
              <w:t>Equity Incentive Plan Awards</w:t>
            </w:r>
          </w:p>
        </w:tc>
        <w:tc>
          <w:tcPr>
            <w:tcW w:w="160" w:type="dxa"/>
            <w:vAlign w:val="bottom"/>
          </w:tcPr>
          <w:p>
            <w:pPr>
              <w:spacing w:after="0"/>
              <w:rPr>
                <w:sz w:val="11"/>
                <w:szCs w:val="11"/>
                <w:color w:val="auto"/>
              </w:rPr>
            </w:pPr>
          </w:p>
        </w:tc>
        <w:tc>
          <w:tcPr>
            <w:tcW w:w="780" w:type="dxa"/>
            <w:vAlign w:val="bottom"/>
            <w:gridSpan w:val="2"/>
          </w:tcPr>
          <w:p>
            <w:pPr>
              <w:jc w:val="right"/>
              <w:ind w:right="160"/>
              <w:spacing w:after="0" w:line="128" w:lineRule="exact"/>
              <w:rPr>
                <w:sz w:val="20"/>
                <w:szCs w:val="20"/>
                <w:color w:val="auto"/>
              </w:rPr>
            </w:pPr>
            <w:r>
              <w:rPr>
                <w:rFonts w:ascii="Arial" w:cs="Arial" w:eastAsia="Arial" w:hAnsi="Arial"/>
                <w:sz w:val="13"/>
                <w:szCs w:val="13"/>
                <w:b w:val="1"/>
                <w:bCs w:val="1"/>
                <w:color w:val="345988"/>
              </w:rPr>
              <w:t>of Stock</w:t>
            </w:r>
          </w:p>
        </w:tc>
        <w:tc>
          <w:tcPr>
            <w:tcW w:w="800" w:type="dxa"/>
            <w:vAlign w:val="bottom"/>
            <w:gridSpan w:val="2"/>
          </w:tcPr>
          <w:p>
            <w:pPr>
              <w:jc w:val="right"/>
              <w:ind w:right="80"/>
              <w:spacing w:after="0" w:line="128" w:lineRule="exact"/>
              <w:rPr>
                <w:sz w:val="20"/>
                <w:szCs w:val="20"/>
                <w:color w:val="auto"/>
              </w:rPr>
            </w:pPr>
            <w:r>
              <w:rPr>
                <w:rFonts w:ascii="Arial" w:cs="Arial" w:eastAsia="Arial" w:hAnsi="Arial"/>
                <w:sz w:val="13"/>
                <w:szCs w:val="13"/>
                <w:b w:val="1"/>
                <w:bCs w:val="1"/>
                <w:color w:val="345988"/>
              </w:rPr>
              <w:t>Underlying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line="128" w:lineRule="exact"/>
              <w:rPr>
                <w:sz w:val="20"/>
                <w:szCs w:val="20"/>
                <w:color w:val="auto"/>
              </w:rPr>
            </w:pPr>
            <w:r>
              <w:rPr>
                <w:rFonts w:ascii="Arial" w:cs="Arial" w:eastAsia="Arial" w:hAnsi="Arial"/>
                <w:sz w:val="13"/>
                <w:szCs w:val="13"/>
                <w:b w:val="1"/>
                <w:bCs w:val="1"/>
                <w:color w:val="345988"/>
              </w:rPr>
              <w:t>Option</w:t>
            </w:r>
          </w:p>
        </w:tc>
        <w:tc>
          <w:tcPr>
            <w:tcW w:w="10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Arial" w:cs="Arial" w:eastAsia="Arial" w:hAnsi="Arial"/>
                <w:sz w:val="13"/>
                <w:szCs w:val="13"/>
                <w:b w:val="1"/>
                <w:bCs w:val="1"/>
                <w:color w:val="345988"/>
              </w:rPr>
              <w:t>Option</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345988"/>
              </w:rPr>
              <w:t>Grant Date</w:t>
            </w:r>
          </w:p>
        </w:tc>
        <w:tc>
          <w:tcPr>
            <w:tcW w:w="160" w:type="dxa"/>
            <w:vAlign w:val="bottom"/>
            <w:vMerge w:val="restart"/>
          </w:tcPr>
          <w:p>
            <w:pPr>
              <w:spacing w:after="0"/>
              <w:rPr>
                <w:sz w:val="12"/>
                <w:szCs w:val="12"/>
                <w:color w:val="auto"/>
              </w:rPr>
            </w:pP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Approval</w:t>
            </w:r>
          </w:p>
        </w:tc>
        <w:tc>
          <w:tcPr>
            <w:tcW w:w="140" w:type="dxa"/>
            <w:vAlign w:val="bottom"/>
          </w:tcPr>
          <w:p>
            <w:pPr>
              <w:spacing w:after="0"/>
              <w:rPr>
                <w:sz w:val="12"/>
                <w:szCs w:val="12"/>
                <w:color w:val="auto"/>
              </w:rPr>
            </w:pPr>
          </w:p>
        </w:tc>
        <w:tc>
          <w:tcPr>
            <w:tcW w:w="960" w:type="dxa"/>
            <w:vAlign w:val="bottom"/>
            <w:gridSpan w:val="2"/>
          </w:tcPr>
          <w:p>
            <w:pPr>
              <w:ind w:left="140"/>
              <w:spacing w:after="0" w:line="148" w:lineRule="exact"/>
              <w:rPr>
                <w:sz w:val="20"/>
                <w:szCs w:val="20"/>
                <w:color w:val="auto"/>
              </w:rPr>
            </w:pPr>
            <w:r>
              <w:rPr>
                <w:rFonts w:ascii="Arial" w:cs="Arial" w:eastAsia="Arial" w:hAnsi="Arial"/>
                <w:sz w:val="13"/>
                <w:szCs w:val="13"/>
                <w:b w:val="1"/>
                <w:bCs w:val="1"/>
                <w:color w:val="345988"/>
              </w:rPr>
              <w:t>Threshold</w:t>
            </w:r>
          </w:p>
        </w:tc>
        <w:tc>
          <w:tcPr>
            <w:tcW w:w="120" w:type="dxa"/>
            <w:vAlign w:val="bottom"/>
          </w:tcPr>
          <w:p>
            <w:pPr>
              <w:spacing w:after="0"/>
              <w:rPr>
                <w:sz w:val="12"/>
                <w:szCs w:val="12"/>
                <w:color w:val="auto"/>
              </w:rPr>
            </w:pPr>
          </w:p>
        </w:tc>
        <w:tc>
          <w:tcPr>
            <w:tcW w:w="96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Target</w:t>
            </w:r>
          </w:p>
        </w:tc>
        <w:tc>
          <w:tcPr>
            <w:tcW w:w="140" w:type="dxa"/>
            <w:vAlign w:val="bottom"/>
          </w:tcPr>
          <w:p>
            <w:pPr>
              <w:spacing w:after="0"/>
              <w:rPr>
                <w:sz w:val="12"/>
                <w:szCs w:val="12"/>
                <w:color w:val="auto"/>
              </w:rPr>
            </w:pPr>
          </w:p>
        </w:tc>
        <w:tc>
          <w:tcPr>
            <w:tcW w:w="960" w:type="dxa"/>
            <w:vAlign w:val="bottom"/>
            <w:gridSpan w:val="2"/>
          </w:tcPr>
          <w:p>
            <w:pPr>
              <w:ind w:left="180"/>
              <w:spacing w:after="0" w:line="148" w:lineRule="exact"/>
              <w:rPr>
                <w:sz w:val="20"/>
                <w:szCs w:val="20"/>
                <w:color w:val="auto"/>
              </w:rPr>
            </w:pPr>
            <w:r>
              <w:rPr>
                <w:rFonts w:ascii="Arial" w:cs="Arial" w:eastAsia="Arial" w:hAnsi="Arial"/>
                <w:sz w:val="13"/>
                <w:szCs w:val="13"/>
                <w:b w:val="1"/>
                <w:bCs w:val="1"/>
                <w:color w:val="345988"/>
              </w:rPr>
              <w:t>Maximum</w:t>
            </w:r>
          </w:p>
        </w:tc>
        <w:tc>
          <w:tcPr>
            <w:tcW w:w="820" w:type="dxa"/>
            <w:vAlign w:val="bottom"/>
            <w:gridSpan w:val="2"/>
          </w:tcPr>
          <w:p>
            <w:pPr>
              <w:spacing w:after="0" w:line="148" w:lineRule="exact"/>
              <w:rPr>
                <w:sz w:val="20"/>
                <w:szCs w:val="20"/>
                <w:color w:val="auto"/>
              </w:rPr>
            </w:pPr>
            <w:r>
              <w:rPr>
                <w:rFonts w:ascii="Arial" w:cs="Arial" w:eastAsia="Arial" w:hAnsi="Arial"/>
                <w:sz w:val="13"/>
                <w:szCs w:val="13"/>
                <w:b w:val="1"/>
                <w:bCs w:val="1"/>
                <w:color w:val="345988"/>
              </w:rPr>
              <w:t>Threshold</w:t>
            </w:r>
          </w:p>
        </w:tc>
        <w:tc>
          <w:tcPr>
            <w:tcW w:w="720" w:type="dxa"/>
            <w:vAlign w:val="bottom"/>
            <w:gridSpan w:val="2"/>
          </w:tcPr>
          <w:p>
            <w:pPr>
              <w:ind w:left="140"/>
              <w:spacing w:after="0" w:line="148" w:lineRule="exact"/>
              <w:rPr>
                <w:sz w:val="20"/>
                <w:szCs w:val="20"/>
                <w:color w:val="auto"/>
              </w:rPr>
            </w:pPr>
            <w:r>
              <w:rPr>
                <w:rFonts w:ascii="Arial" w:cs="Arial" w:eastAsia="Arial" w:hAnsi="Arial"/>
                <w:sz w:val="13"/>
                <w:szCs w:val="13"/>
                <w:b w:val="1"/>
                <w:bCs w:val="1"/>
                <w:color w:val="345988"/>
              </w:rPr>
              <w:t>Target</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w w:val="99"/>
              </w:rPr>
              <w:t>Maximum</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or Units</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3"/>
                <w:szCs w:val="13"/>
                <w:b w:val="1"/>
                <w:bCs w:val="1"/>
                <w:color w:val="345988"/>
              </w:rPr>
              <w:t>Options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Awards</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b w:val="1"/>
                <w:bCs w:val="1"/>
                <w:color w:val="345988"/>
              </w:rPr>
              <w:t>Awards</w:t>
            </w:r>
          </w:p>
        </w:tc>
        <w:tc>
          <w:tcPr>
            <w:tcW w:w="0" w:type="dxa"/>
            <w:vAlign w:val="bottom"/>
          </w:tcPr>
          <w:p>
            <w:pPr>
              <w:spacing w:after="0"/>
              <w:rPr>
                <w:sz w:val="1"/>
                <w:szCs w:val="1"/>
                <w:color w:val="auto"/>
              </w:rPr>
            </w:pPr>
          </w:p>
        </w:tc>
      </w:tr>
      <w:tr>
        <w:trPr>
          <w:trHeight w:val="202"/>
        </w:trPr>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Date</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23"/>
                <w:szCs w:val="23"/>
                <w:b w:val="1"/>
                <w:bCs w:val="1"/>
                <w:color w:val="345988"/>
                <w:vertAlign w:val="subscript"/>
              </w:rPr>
              <w:t>(#)</w:t>
            </w:r>
            <w:r>
              <w:rPr>
                <w:rFonts w:ascii="Arial" w:cs="Arial" w:eastAsia="Arial" w:hAnsi="Arial"/>
                <w:sz w:val="10"/>
                <w:szCs w:val="10"/>
                <w:b w:val="1"/>
                <w:bCs w:val="1"/>
                <w:color w:val="345988"/>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($/Sh)</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0" w:type="dxa"/>
            <w:vAlign w:val="bottom"/>
          </w:tcPr>
          <w:p>
            <w:pPr>
              <w:spacing w:after="0"/>
              <w:rPr>
                <w:sz w:val="1"/>
                <w:szCs w:val="1"/>
                <w:color w:val="auto"/>
              </w:rPr>
            </w:pPr>
          </w:p>
        </w:tc>
      </w:tr>
      <w:tr>
        <w:trPr>
          <w:trHeight w:val="27"/>
        </w:trPr>
        <w:tc>
          <w:tcPr>
            <w:tcW w:w="820" w:type="dxa"/>
            <w:vAlign w:val="bottom"/>
            <w:shd w:val="clear" w:color="auto" w:fill="345988"/>
          </w:tcPr>
          <w:p>
            <w:pPr>
              <w:spacing w:after="0"/>
              <w:rPr>
                <w:sz w:val="2"/>
                <w:szCs w:val="2"/>
                <w:color w:val="auto"/>
              </w:rPr>
            </w:pPr>
          </w:p>
        </w:tc>
        <w:tc>
          <w:tcPr>
            <w:tcW w:w="180" w:type="dxa"/>
            <w:vAlign w:val="bottom"/>
            <w:shd w:val="clear" w:color="auto" w:fill="D0D3DB"/>
          </w:tcPr>
          <w:p>
            <w:pPr>
              <w:spacing w:after="0"/>
              <w:rPr>
                <w:sz w:val="2"/>
                <w:szCs w:val="2"/>
                <w:color w:val="auto"/>
              </w:rPr>
            </w:pPr>
          </w:p>
        </w:tc>
        <w:tc>
          <w:tcPr>
            <w:tcW w:w="700" w:type="dxa"/>
            <w:vAlign w:val="bottom"/>
            <w:shd w:val="clear" w:color="auto" w:fill="345988"/>
          </w:tcPr>
          <w:p>
            <w:pPr>
              <w:spacing w:after="0"/>
              <w:rPr>
                <w:sz w:val="2"/>
                <w:szCs w:val="2"/>
                <w:color w:val="auto"/>
              </w:rPr>
            </w:pPr>
          </w:p>
        </w:tc>
        <w:tc>
          <w:tcPr>
            <w:tcW w:w="160" w:type="dxa"/>
            <w:vAlign w:val="bottom"/>
            <w:shd w:val="clear" w:color="auto" w:fill="D0D3DB"/>
          </w:tcPr>
          <w:p>
            <w:pPr>
              <w:spacing w:after="0"/>
              <w:rPr>
                <w:sz w:val="2"/>
                <w:szCs w:val="2"/>
                <w:color w:val="auto"/>
              </w:rPr>
            </w:pPr>
          </w:p>
        </w:tc>
        <w:tc>
          <w:tcPr>
            <w:tcW w:w="680" w:type="dxa"/>
            <w:vAlign w:val="bottom"/>
            <w:shd w:val="clear" w:color="auto" w:fill="345988"/>
          </w:tcPr>
          <w:p>
            <w:pPr>
              <w:spacing w:after="0"/>
              <w:rPr>
                <w:sz w:val="2"/>
                <w:szCs w:val="2"/>
                <w:color w:val="auto"/>
              </w:rPr>
            </w:pPr>
          </w:p>
        </w:tc>
        <w:tc>
          <w:tcPr>
            <w:tcW w:w="160" w:type="dxa"/>
            <w:vAlign w:val="bottom"/>
            <w:shd w:val="clear" w:color="auto" w:fill="D0D3DB"/>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800" w:type="dxa"/>
            <w:vAlign w:val="bottom"/>
            <w:shd w:val="clear" w:color="auto" w:fill="345988"/>
          </w:tcPr>
          <w:p>
            <w:pPr>
              <w:spacing w:after="0"/>
              <w:rPr>
                <w:sz w:val="2"/>
                <w:szCs w:val="2"/>
                <w:color w:val="auto"/>
              </w:rPr>
            </w:pPr>
          </w:p>
        </w:tc>
        <w:tc>
          <w:tcPr>
            <w:tcW w:w="160" w:type="dxa"/>
            <w:vAlign w:val="bottom"/>
            <w:shd w:val="clear" w:color="auto" w:fill="D0D3DB"/>
          </w:tcPr>
          <w:p>
            <w:pPr>
              <w:spacing w:after="0"/>
              <w:rPr>
                <w:sz w:val="2"/>
                <w:szCs w:val="2"/>
                <w:color w:val="auto"/>
              </w:rPr>
            </w:pPr>
          </w:p>
        </w:tc>
        <w:tc>
          <w:tcPr>
            <w:tcW w:w="120" w:type="dxa"/>
            <w:vAlign w:val="bottom"/>
            <w:shd w:val="clear" w:color="auto" w:fill="345988"/>
          </w:tcPr>
          <w:p>
            <w:pPr>
              <w:spacing w:after="0"/>
              <w:rPr>
                <w:sz w:val="2"/>
                <w:szCs w:val="2"/>
                <w:color w:val="auto"/>
              </w:rPr>
            </w:pPr>
          </w:p>
        </w:tc>
        <w:tc>
          <w:tcPr>
            <w:tcW w:w="800" w:type="dxa"/>
            <w:vAlign w:val="bottom"/>
            <w:shd w:val="clear" w:color="auto" w:fill="345988"/>
          </w:tcPr>
          <w:p>
            <w:pPr>
              <w:spacing w:after="0"/>
              <w:rPr>
                <w:sz w:val="2"/>
                <w:szCs w:val="2"/>
                <w:color w:val="auto"/>
              </w:rPr>
            </w:pPr>
          </w:p>
        </w:tc>
        <w:tc>
          <w:tcPr>
            <w:tcW w:w="160" w:type="dxa"/>
            <w:vAlign w:val="bottom"/>
            <w:shd w:val="clear" w:color="auto" w:fill="D0D3DB"/>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800" w:type="dxa"/>
            <w:vAlign w:val="bottom"/>
            <w:shd w:val="clear" w:color="auto" w:fill="345988"/>
          </w:tcPr>
          <w:p>
            <w:pPr>
              <w:spacing w:after="0"/>
              <w:rPr>
                <w:sz w:val="2"/>
                <w:szCs w:val="2"/>
                <w:color w:val="auto"/>
              </w:rPr>
            </w:pPr>
          </w:p>
        </w:tc>
        <w:tc>
          <w:tcPr>
            <w:tcW w:w="160" w:type="dxa"/>
            <w:vAlign w:val="bottom"/>
            <w:shd w:val="clear" w:color="auto" w:fill="D0D3DB"/>
          </w:tcPr>
          <w:p>
            <w:pPr>
              <w:spacing w:after="0"/>
              <w:rPr>
                <w:sz w:val="2"/>
                <w:szCs w:val="2"/>
                <w:color w:val="auto"/>
              </w:rPr>
            </w:pPr>
          </w:p>
        </w:tc>
        <w:tc>
          <w:tcPr>
            <w:tcW w:w="660" w:type="dxa"/>
            <w:vAlign w:val="bottom"/>
            <w:shd w:val="clear" w:color="auto" w:fill="345988"/>
          </w:tcPr>
          <w:p>
            <w:pPr>
              <w:spacing w:after="0"/>
              <w:rPr>
                <w:sz w:val="2"/>
                <w:szCs w:val="2"/>
                <w:color w:val="auto"/>
              </w:rPr>
            </w:pPr>
          </w:p>
        </w:tc>
        <w:tc>
          <w:tcPr>
            <w:tcW w:w="160" w:type="dxa"/>
            <w:vAlign w:val="bottom"/>
            <w:shd w:val="clear" w:color="auto" w:fill="D0D3DB"/>
          </w:tcPr>
          <w:p>
            <w:pPr>
              <w:spacing w:after="0"/>
              <w:rPr>
                <w:sz w:val="2"/>
                <w:szCs w:val="2"/>
                <w:color w:val="auto"/>
              </w:rPr>
            </w:pPr>
          </w:p>
        </w:tc>
        <w:tc>
          <w:tcPr>
            <w:tcW w:w="560" w:type="dxa"/>
            <w:vAlign w:val="bottom"/>
            <w:shd w:val="clear" w:color="auto" w:fill="345988"/>
          </w:tcPr>
          <w:p>
            <w:pPr>
              <w:spacing w:after="0"/>
              <w:rPr>
                <w:sz w:val="2"/>
                <w:szCs w:val="2"/>
                <w:color w:val="auto"/>
              </w:rPr>
            </w:pPr>
          </w:p>
        </w:tc>
        <w:tc>
          <w:tcPr>
            <w:tcW w:w="160" w:type="dxa"/>
            <w:vAlign w:val="bottom"/>
            <w:shd w:val="clear" w:color="auto" w:fill="D0D3DB"/>
          </w:tcPr>
          <w:p>
            <w:pPr>
              <w:spacing w:after="0"/>
              <w:rPr>
                <w:sz w:val="2"/>
                <w:szCs w:val="2"/>
                <w:color w:val="auto"/>
              </w:rPr>
            </w:pPr>
          </w:p>
        </w:tc>
        <w:tc>
          <w:tcPr>
            <w:tcW w:w="620" w:type="dxa"/>
            <w:vAlign w:val="bottom"/>
            <w:shd w:val="clear" w:color="auto" w:fill="345988"/>
          </w:tcPr>
          <w:p>
            <w:pPr>
              <w:spacing w:after="0"/>
              <w:rPr>
                <w:sz w:val="2"/>
                <w:szCs w:val="2"/>
                <w:color w:val="auto"/>
              </w:rPr>
            </w:pPr>
          </w:p>
        </w:tc>
        <w:tc>
          <w:tcPr>
            <w:tcW w:w="160" w:type="dxa"/>
            <w:vAlign w:val="bottom"/>
            <w:shd w:val="clear" w:color="auto" w:fill="D0D3DB"/>
          </w:tcPr>
          <w:p>
            <w:pPr>
              <w:spacing w:after="0"/>
              <w:rPr>
                <w:sz w:val="2"/>
                <w:szCs w:val="2"/>
                <w:color w:val="auto"/>
              </w:rPr>
            </w:pPr>
          </w:p>
        </w:tc>
        <w:tc>
          <w:tcPr>
            <w:tcW w:w="620" w:type="dxa"/>
            <w:vAlign w:val="bottom"/>
            <w:shd w:val="clear" w:color="auto" w:fill="345988"/>
          </w:tcPr>
          <w:p>
            <w:pPr>
              <w:spacing w:after="0"/>
              <w:rPr>
                <w:sz w:val="2"/>
                <w:szCs w:val="2"/>
                <w:color w:val="auto"/>
              </w:rPr>
            </w:pPr>
          </w:p>
        </w:tc>
        <w:tc>
          <w:tcPr>
            <w:tcW w:w="160" w:type="dxa"/>
            <w:vAlign w:val="bottom"/>
            <w:shd w:val="clear" w:color="auto" w:fill="D0D3DB"/>
          </w:tcPr>
          <w:p>
            <w:pPr>
              <w:spacing w:after="0"/>
              <w:rPr>
                <w:sz w:val="2"/>
                <w:szCs w:val="2"/>
                <w:color w:val="auto"/>
              </w:rPr>
            </w:pPr>
          </w:p>
        </w:tc>
        <w:tc>
          <w:tcPr>
            <w:tcW w:w="720" w:type="dxa"/>
            <w:vAlign w:val="bottom"/>
            <w:shd w:val="clear" w:color="auto" w:fill="345988"/>
          </w:tcPr>
          <w:p>
            <w:pPr>
              <w:spacing w:after="0"/>
              <w:rPr>
                <w:sz w:val="2"/>
                <w:szCs w:val="2"/>
                <w:color w:val="auto"/>
              </w:rPr>
            </w:pPr>
          </w:p>
        </w:tc>
        <w:tc>
          <w:tcPr>
            <w:tcW w:w="80" w:type="dxa"/>
            <w:vAlign w:val="bottom"/>
            <w:shd w:val="clear" w:color="auto" w:fill="D0D3DB"/>
          </w:tcPr>
          <w:p>
            <w:pPr>
              <w:spacing w:after="0"/>
              <w:rPr>
                <w:sz w:val="2"/>
                <w:szCs w:val="2"/>
                <w:color w:val="auto"/>
              </w:rPr>
            </w:pPr>
          </w:p>
        </w:tc>
        <w:tc>
          <w:tcPr>
            <w:tcW w:w="80" w:type="dxa"/>
            <w:vAlign w:val="bottom"/>
            <w:shd w:val="clear" w:color="auto" w:fill="D0D3DB"/>
          </w:tcPr>
          <w:p>
            <w:pPr>
              <w:spacing w:after="0"/>
              <w:rPr>
                <w:sz w:val="2"/>
                <w:szCs w:val="2"/>
                <w:color w:val="auto"/>
              </w:rPr>
            </w:pPr>
          </w:p>
        </w:tc>
        <w:tc>
          <w:tcPr>
            <w:tcW w:w="100" w:type="dxa"/>
            <w:vAlign w:val="bottom"/>
            <w:shd w:val="clear" w:color="auto" w:fill="345988"/>
          </w:tcPr>
          <w:p>
            <w:pPr>
              <w:spacing w:after="0"/>
              <w:rPr>
                <w:sz w:val="2"/>
                <w:szCs w:val="2"/>
                <w:color w:val="auto"/>
              </w:rPr>
            </w:pPr>
          </w:p>
        </w:tc>
        <w:tc>
          <w:tcPr>
            <w:tcW w:w="520" w:type="dxa"/>
            <w:vAlign w:val="bottom"/>
            <w:shd w:val="clear" w:color="auto" w:fill="345988"/>
          </w:tcPr>
          <w:p>
            <w:pPr>
              <w:spacing w:after="0"/>
              <w:rPr>
                <w:sz w:val="2"/>
                <w:szCs w:val="2"/>
                <w:color w:val="auto"/>
              </w:rPr>
            </w:pPr>
          </w:p>
        </w:tc>
        <w:tc>
          <w:tcPr>
            <w:tcW w:w="160" w:type="dxa"/>
            <w:vAlign w:val="bottom"/>
            <w:shd w:val="clear" w:color="auto" w:fill="D0D3DB"/>
          </w:tcPr>
          <w:p>
            <w:pPr>
              <w:spacing w:after="0"/>
              <w:rPr>
                <w:sz w:val="2"/>
                <w:szCs w:val="2"/>
                <w:color w:val="auto"/>
              </w:rPr>
            </w:pPr>
          </w:p>
        </w:tc>
        <w:tc>
          <w:tcPr>
            <w:tcW w:w="100" w:type="dxa"/>
            <w:vAlign w:val="bottom"/>
            <w:shd w:val="clear" w:color="auto" w:fill="345988"/>
          </w:tcPr>
          <w:p>
            <w:pPr>
              <w:spacing w:after="0"/>
              <w:rPr>
                <w:sz w:val="2"/>
                <w:szCs w:val="2"/>
                <w:color w:val="auto"/>
              </w:rPr>
            </w:pPr>
          </w:p>
        </w:tc>
        <w:tc>
          <w:tcPr>
            <w:tcW w:w="680" w:type="dxa"/>
            <w:vAlign w:val="bottom"/>
            <w:shd w:val="clear" w:color="auto" w:fill="34598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820" w:type="dxa"/>
            <w:vAlign w:val="bottom"/>
            <w:shd w:val="clear" w:color="auto" w:fill="D0D3DB"/>
          </w:tcPr>
          <w:p>
            <w:pPr>
              <w:spacing w:after="0"/>
              <w:rPr>
                <w:sz w:val="20"/>
                <w:szCs w:val="20"/>
                <w:color w:val="auto"/>
              </w:rPr>
            </w:pPr>
            <w:r>
              <w:rPr>
                <w:rFonts w:ascii="Arial" w:cs="Arial" w:eastAsia="Arial" w:hAnsi="Arial"/>
                <w:sz w:val="13"/>
                <w:szCs w:val="13"/>
                <w:color w:val="auto"/>
              </w:rPr>
              <w:t>Marc Holliday</w:t>
            </w:r>
          </w:p>
        </w:tc>
        <w:tc>
          <w:tcPr>
            <w:tcW w:w="180" w:type="dxa"/>
            <w:vAlign w:val="bottom"/>
            <w:shd w:val="clear" w:color="auto" w:fill="D0D3DB"/>
          </w:tcPr>
          <w:p>
            <w:pPr>
              <w:spacing w:after="0"/>
              <w:rPr>
                <w:sz w:val="24"/>
                <w:szCs w:val="24"/>
                <w:color w:val="auto"/>
              </w:rPr>
            </w:pPr>
          </w:p>
        </w:tc>
        <w:tc>
          <w:tcPr>
            <w:tcW w:w="700" w:type="dxa"/>
            <w:vAlign w:val="bottom"/>
            <w:shd w:val="clear" w:color="auto" w:fill="D0D3DB"/>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shd w:val="clear" w:color="auto" w:fill="D0D3DB"/>
          </w:tcPr>
          <w:p>
            <w:pPr>
              <w:spacing w:after="0"/>
              <w:rPr>
                <w:sz w:val="24"/>
                <w:szCs w:val="24"/>
                <w:color w:val="auto"/>
              </w:rPr>
            </w:pPr>
          </w:p>
        </w:tc>
        <w:tc>
          <w:tcPr>
            <w:tcW w:w="840" w:type="dxa"/>
            <w:vAlign w:val="bottom"/>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shd w:val="clear" w:color="auto" w:fill="D0D3DB"/>
          </w:tcPr>
          <w:p>
            <w:pPr>
              <w:spacing w:after="0"/>
              <w:rPr>
                <w:sz w:val="24"/>
                <w:szCs w:val="24"/>
                <w:color w:val="auto"/>
              </w:rPr>
            </w:pPr>
          </w:p>
        </w:tc>
        <w:tc>
          <w:tcPr>
            <w:tcW w:w="960" w:type="dxa"/>
            <w:vAlign w:val="bottom"/>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D0D3DB"/>
          </w:tcPr>
          <w:p>
            <w:pPr>
              <w:spacing w:after="0"/>
              <w:rPr>
                <w:sz w:val="24"/>
                <w:szCs w:val="24"/>
                <w:color w:val="auto"/>
              </w:rPr>
            </w:pPr>
          </w:p>
        </w:tc>
        <w:tc>
          <w:tcPr>
            <w:tcW w:w="960" w:type="dxa"/>
            <w:vAlign w:val="bottom"/>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0D3DB"/>
          </w:tcPr>
          <w:p>
            <w:pPr>
              <w:spacing w:after="0"/>
              <w:rPr>
                <w:sz w:val="24"/>
                <w:szCs w:val="24"/>
                <w:color w:val="auto"/>
              </w:rPr>
            </w:pPr>
          </w:p>
        </w:tc>
        <w:tc>
          <w:tcPr>
            <w:tcW w:w="960" w:type="dxa"/>
            <w:vAlign w:val="bottom"/>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40,329</w:t>
            </w:r>
            <w:r>
              <w:rPr>
                <w:rFonts w:ascii="Arial" w:cs="Arial" w:eastAsia="Arial" w:hAnsi="Arial"/>
                <w:sz w:val="22"/>
                <w:szCs w:val="22"/>
                <w:color w:val="auto"/>
                <w:vertAlign w:val="superscript"/>
              </w:rPr>
              <w:t>(1)</w:t>
            </w:r>
          </w:p>
        </w:tc>
        <w:tc>
          <w:tcPr>
            <w:tcW w:w="800" w:type="dxa"/>
            <w:vAlign w:val="bottom"/>
            <w:gridSpan w:val="2"/>
            <w:shd w:val="clear" w:color="auto" w:fill="D0D3DB"/>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D0D3DB"/>
          </w:tcPr>
          <w:p>
            <w:pPr>
              <w:spacing w:after="0"/>
              <w:rPr>
                <w:sz w:val="24"/>
                <w:szCs w:val="24"/>
                <w:color w:val="auto"/>
              </w:rPr>
            </w:pPr>
          </w:p>
        </w:tc>
        <w:tc>
          <w:tcPr>
            <w:tcW w:w="100" w:type="dxa"/>
            <w:vAlign w:val="bottom"/>
            <w:shd w:val="clear" w:color="auto" w:fill="D0D3DB"/>
          </w:tcPr>
          <w:p>
            <w:pPr>
              <w:spacing w:after="0"/>
              <w:rPr>
                <w:sz w:val="24"/>
                <w:szCs w:val="24"/>
                <w:color w:val="auto"/>
              </w:rPr>
            </w:pPr>
          </w:p>
        </w:tc>
        <w:tc>
          <w:tcPr>
            <w:tcW w:w="680" w:type="dxa"/>
            <w:vAlign w:val="bottom"/>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D0D3DB"/>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0D3DB"/>
          </w:tcPr>
          <w:p>
            <w:pPr>
              <w:jc w:val="right"/>
              <w:spacing w:after="0"/>
              <w:rPr>
                <w:sz w:val="20"/>
                <w:szCs w:val="20"/>
                <w:color w:val="auto"/>
              </w:rPr>
            </w:pPr>
            <w:r>
              <w:rPr>
                <w:rFonts w:ascii="Arial" w:cs="Arial" w:eastAsia="Arial" w:hAnsi="Arial"/>
                <w:sz w:val="13"/>
                <w:szCs w:val="13"/>
                <w:color w:val="auto"/>
              </w:rPr>
              <w:t>3,635,357</w:t>
            </w: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76,980</w:t>
            </w:r>
            <w:r>
              <w:rPr>
                <w:rFonts w:ascii="Arial" w:cs="Arial" w:eastAsia="Arial" w:hAnsi="Arial"/>
                <w:sz w:val="22"/>
                <w:szCs w:val="22"/>
                <w:color w:val="auto"/>
                <w:vertAlign w:val="superscript"/>
              </w:rPr>
              <w:t>(2)</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6,873,737</w:t>
            </w: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17,283</w:t>
            </w:r>
            <w:r>
              <w:rPr>
                <w:rFonts w:ascii="Arial" w:cs="Arial" w:eastAsia="Arial" w:hAnsi="Arial"/>
                <w:sz w:val="22"/>
                <w:szCs w:val="22"/>
                <w:color w:val="auto"/>
                <w:vertAlign w:val="superscript"/>
              </w:rPr>
              <w:t>(3)</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w w:val="93"/>
              </w:rPr>
              <w:t>17,283</w:t>
            </w:r>
            <w:r>
              <w:rPr>
                <w:rFonts w:ascii="Arial" w:cs="Arial" w:eastAsia="Arial" w:hAnsi="Arial"/>
                <w:sz w:val="22"/>
                <w:szCs w:val="22"/>
                <w:color w:val="auto"/>
                <w:w w:val="93"/>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46,089</w:t>
            </w:r>
            <w:r>
              <w:rPr>
                <w:rFonts w:ascii="Arial" w:cs="Arial" w:eastAsia="Arial" w:hAnsi="Arial"/>
                <w:sz w:val="22"/>
                <w:szCs w:val="22"/>
                <w:color w:val="auto"/>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612,001</w:t>
            </w: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01/18/2017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02/10/2016</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6,956</w:t>
            </w:r>
            <w:r>
              <w:rPr>
                <w:rFonts w:ascii="Arial" w:cs="Arial" w:eastAsia="Arial" w:hAnsi="Arial"/>
                <w:sz w:val="22"/>
                <w:szCs w:val="22"/>
                <w:color w:val="auto"/>
                <w:vertAlign w:val="superscript"/>
              </w:rPr>
              <w:t>(4)</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757,300</w:t>
            </w: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06/17/2017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06/17/2017</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52,500</w:t>
            </w:r>
            <w:r>
              <w:rPr>
                <w:rFonts w:ascii="Arial" w:cs="Arial" w:eastAsia="Arial" w:hAnsi="Arial"/>
                <w:sz w:val="22"/>
                <w:szCs w:val="22"/>
                <w:color w:val="auto"/>
                <w:vertAlign w:val="superscript"/>
              </w:rPr>
              <w:t>(5)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105.73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722,400</w:t>
            </w: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06/17/2017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06/17/2017</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52,500</w:t>
            </w:r>
            <w:r>
              <w:rPr>
                <w:rFonts w:ascii="Arial" w:cs="Arial" w:eastAsia="Arial" w:hAnsi="Arial"/>
                <w:sz w:val="22"/>
                <w:szCs w:val="22"/>
                <w:color w:val="auto"/>
                <w:vertAlign w:val="superscript"/>
              </w:rPr>
              <w:t>(5)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105.73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1,474,457</w:t>
            </w: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1,350,000</w:t>
            </w:r>
            <w:r>
              <w:rPr>
                <w:rFonts w:ascii="Arial" w:cs="Arial" w:eastAsia="Arial" w:hAnsi="Arial"/>
                <w:sz w:val="22"/>
                <w:szCs w:val="22"/>
                <w:color w:val="auto"/>
                <w:vertAlign w:val="superscript"/>
              </w:rPr>
              <w:t>(8)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2,700,000</w:t>
            </w:r>
            <w:r>
              <w:rPr>
                <w:rFonts w:ascii="Arial" w:cs="Arial" w:eastAsia="Arial" w:hAnsi="Arial"/>
                <w:sz w:val="22"/>
                <w:szCs w:val="22"/>
                <w:color w:val="auto"/>
                <w:vertAlign w:val="superscript"/>
              </w:rPr>
              <w:t>(8)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4,050,000</w:t>
            </w:r>
            <w:r>
              <w:rPr>
                <w:rFonts w:ascii="Arial" w:cs="Arial" w:eastAsia="Arial" w:hAnsi="Arial"/>
                <w:sz w:val="22"/>
                <w:szCs w:val="22"/>
                <w:color w:val="auto"/>
                <w:vertAlign w:val="superscript"/>
              </w:rPr>
              <w:t>(8)</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20" w:type="dxa"/>
            <w:vAlign w:val="bottom"/>
            <w:shd w:val="clear" w:color="auto" w:fill="8590A9"/>
          </w:tcPr>
          <w:p>
            <w:pPr>
              <w:spacing w:after="0" w:line="20" w:lineRule="exact"/>
              <w:rPr>
                <w:sz w:val="1"/>
                <w:szCs w:val="1"/>
                <w:color w:val="auto"/>
              </w:rPr>
            </w:pPr>
          </w:p>
        </w:tc>
        <w:tc>
          <w:tcPr>
            <w:tcW w:w="180" w:type="dxa"/>
            <w:vAlign w:val="bottom"/>
            <w:shd w:val="clear" w:color="auto" w:fill="D0D3DB"/>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20" w:type="dxa"/>
            <w:vAlign w:val="bottom"/>
            <w:tcBorders>
              <w:bottom w:val="single" w:sz="8" w:color="D0D3DB"/>
            </w:tcBorders>
            <w:shd w:val="clear" w:color="auto" w:fill="D0D3DB"/>
          </w:tcPr>
          <w:p>
            <w:pPr>
              <w:spacing w:after="0"/>
              <w:rPr>
                <w:sz w:val="20"/>
                <w:szCs w:val="20"/>
                <w:color w:val="auto"/>
              </w:rPr>
            </w:pPr>
            <w:r>
              <w:rPr>
                <w:rFonts w:ascii="Arial" w:cs="Arial" w:eastAsia="Arial" w:hAnsi="Arial"/>
                <w:sz w:val="13"/>
                <w:szCs w:val="13"/>
                <w:color w:val="auto"/>
              </w:rPr>
              <w:t>Stephen L.</w:t>
            </w:r>
          </w:p>
        </w:tc>
        <w:tc>
          <w:tcPr>
            <w:tcW w:w="180" w:type="dxa"/>
            <w:vAlign w:val="bottom"/>
            <w:tcBorders>
              <w:bottom w:val="single" w:sz="8" w:color="D0D3DB"/>
            </w:tcBorders>
            <w:shd w:val="clear" w:color="auto" w:fill="D0D3DB"/>
          </w:tcPr>
          <w:p>
            <w:pPr>
              <w:spacing w:after="0"/>
              <w:rPr>
                <w:sz w:val="23"/>
                <w:szCs w:val="23"/>
                <w:color w:val="auto"/>
              </w:rPr>
            </w:pPr>
          </w:p>
        </w:tc>
        <w:tc>
          <w:tcPr>
            <w:tcW w:w="700" w:type="dxa"/>
            <w:vAlign w:val="bottom"/>
            <w:tcBorders>
              <w:bottom w:val="single" w:sz="8" w:color="D0D3DB"/>
            </w:tcBorders>
            <w:shd w:val="clear" w:color="auto" w:fill="D0D3DB"/>
          </w:tcPr>
          <w:p>
            <w:pPr>
              <w:jc w:val="right"/>
              <w:spacing w:after="0"/>
              <w:rPr>
                <w:sz w:val="20"/>
                <w:szCs w:val="20"/>
                <w:color w:val="auto"/>
              </w:rPr>
            </w:pPr>
            <w:r>
              <w:rPr>
                <w:rFonts w:ascii="Arial" w:cs="Arial" w:eastAsia="Arial" w:hAnsi="Arial"/>
                <w:sz w:val="13"/>
                <w:szCs w:val="13"/>
                <w:color w:val="auto"/>
              </w:rPr>
              <w:t>01/01/2017</w:t>
            </w:r>
          </w:p>
        </w:tc>
        <w:tc>
          <w:tcPr>
            <w:tcW w:w="160" w:type="dxa"/>
            <w:vAlign w:val="bottom"/>
            <w:tcBorders>
              <w:bottom w:val="single" w:sz="8" w:color="D0D3DB"/>
            </w:tcBorders>
            <w:shd w:val="clear" w:color="auto" w:fill="D0D3DB"/>
          </w:tcPr>
          <w:p>
            <w:pPr>
              <w:spacing w:after="0"/>
              <w:rPr>
                <w:sz w:val="23"/>
                <w:szCs w:val="23"/>
                <w:color w:val="auto"/>
              </w:rPr>
            </w:pPr>
          </w:p>
        </w:tc>
        <w:tc>
          <w:tcPr>
            <w:tcW w:w="84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12/09/2009</w:t>
            </w:r>
          </w:p>
        </w:tc>
        <w:tc>
          <w:tcPr>
            <w:tcW w:w="140" w:type="dxa"/>
            <w:vAlign w:val="bottom"/>
            <w:tcBorders>
              <w:bottom w:val="single" w:sz="8" w:color="D0D3DB"/>
            </w:tcBorders>
            <w:shd w:val="clear" w:color="auto" w:fill="D0D3DB"/>
          </w:tcPr>
          <w:p>
            <w:pPr>
              <w:spacing w:after="0"/>
              <w:rPr>
                <w:sz w:val="23"/>
                <w:szCs w:val="23"/>
                <w:color w:val="auto"/>
              </w:rPr>
            </w:pPr>
          </w:p>
        </w:tc>
        <w:tc>
          <w:tcPr>
            <w:tcW w:w="96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0D3DB"/>
            </w:tcBorders>
            <w:shd w:val="clear" w:color="auto" w:fill="D0D3DB"/>
          </w:tcPr>
          <w:p>
            <w:pPr>
              <w:spacing w:after="0"/>
              <w:rPr>
                <w:sz w:val="23"/>
                <w:szCs w:val="23"/>
                <w:color w:val="auto"/>
              </w:rPr>
            </w:pPr>
          </w:p>
        </w:tc>
        <w:tc>
          <w:tcPr>
            <w:tcW w:w="96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D0D3DB"/>
            </w:tcBorders>
            <w:shd w:val="clear" w:color="auto" w:fill="D0D3DB"/>
          </w:tcPr>
          <w:p>
            <w:pPr>
              <w:spacing w:after="0"/>
              <w:rPr>
                <w:sz w:val="23"/>
                <w:szCs w:val="23"/>
                <w:color w:val="auto"/>
              </w:rPr>
            </w:pPr>
          </w:p>
        </w:tc>
        <w:tc>
          <w:tcPr>
            <w:tcW w:w="96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1,396</w:t>
            </w:r>
            <w:r>
              <w:rPr>
                <w:rFonts w:ascii="Arial" w:cs="Arial" w:eastAsia="Arial" w:hAnsi="Arial"/>
                <w:sz w:val="22"/>
                <w:szCs w:val="22"/>
                <w:color w:val="auto"/>
                <w:vertAlign w:val="superscript"/>
              </w:rPr>
              <w:t>(6)</w:t>
            </w:r>
          </w:p>
        </w:tc>
        <w:tc>
          <w:tcPr>
            <w:tcW w:w="800" w:type="dxa"/>
            <w:vAlign w:val="bottom"/>
            <w:tcBorders>
              <w:bottom w:val="single" w:sz="8" w:color="D0D3DB"/>
            </w:tcBorders>
            <w:gridSpan w:val="2"/>
            <w:shd w:val="clear" w:color="auto" w:fill="D0D3DB"/>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0D3DB"/>
            </w:tcBorders>
            <w:shd w:val="clear" w:color="auto" w:fill="D0D3DB"/>
          </w:tcPr>
          <w:p>
            <w:pPr>
              <w:spacing w:after="0"/>
              <w:rPr>
                <w:sz w:val="23"/>
                <w:szCs w:val="23"/>
                <w:color w:val="auto"/>
              </w:rPr>
            </w:pPr>
          </w:p>
        </w:tc>
        <w:tc>
          <w:tcPr>
            <w:tcW w:w="100" w:type="dxa"/>
            <w:vAlign w:val="bottom"/>
            <w:tcBorders>
              <w:bottom w:val="single" w:sz="8" w:color="D0D3DB"/>
            </w:tcBorders>
            <w:shd w:val="clear" w:color="auto" w:fill="D0D3DB"/>
          </w:tcPr>
          <w:p>
            <w:pPr>
              <w:spacing w:after="0"/>
              <w:rPr>
                <w:sz w:val="23"/>
                <w:szCs w:val="23"/>
                <w:color w:val="auto"/>
              </w:rPr>
            </w:pPr>
          </w:p>
        </w:tc>
        <w:tc>
          <w:tcPr>
            <w:tcW w:w="68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0D3DB"/>
            </w:tcBorders>
            <w:shd w:val="clear" w:color="auto" w:fill="D0D3DB"/>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0D3DB"/>
            </w:tcBorders>
            <w:shd w:val="clear" w:color="auto" w:fill="D0D3DB"/>
          </w:tcPr>
          <w:p>
            <w:pPr>
              <w:jc w:val="right"/>
              <w:spacing w:after="0"/>
              <w:rPr>
                <w:sz w:val="20"/>
                <w:szCs w:val="20"/>
                <w:color w:val="auto"/>
              </w:rPr>
            </w:pPr>
            <w:r>
              <w:rPr>
                <w:rFonts w:ascii="Arial" w:cs="Arial" w:eastAsia="Arial" w:hAnsi="Arial"/>
                <w:sz w:val="13"/>
                <w:szCs w:val="13"/>
                <w:color w:val="auto"/>
              </w:rPr>
              <w:t>150,140</w:t>
            </w:r>
          </w:p>
        </w:tc>
        <w:tc>
          <w:tcPr>
            <w:tcW w:w="0" w:type="dxa"/>
            <w:vAlign w:val="bottom"/>
          </w:tcPr>
          <w:p>
            <w:pPr>
              <w:spacing w:after="0"/>
              <w:rPr>
                <w:sz w:val="1"/>
                <w:szCs w:val="1"/>
                <w:color w:val="auto"/>
              </w:rPr>
            </w:pPr>
          </w:p>
        </w:tc>
      </w:tr>
      <w:tr>
        <w:trPr>
          <w:trHeight w:val="20"/>
        </w:trPr>
        <w:tc>
          <w:tcPr>
            <w:tcW w:w="820" w:type="dxa"/>
            <w:vAlign w:val="bottom"/>
            <w:vMerge w:val="restart"/>
            <w:shd w:val="clear" w:color="auto" w:fill="D0D3DB"/>
          </w:tcPr>
          <w:p>
            <w:pPr>
              <w:spacing w:after="0"/>
              <w:rPr>
                <w:sz w:val="20"/>
                <w:szCs w:val="20"/>
                <w:color w:val="auto"/>
              </w:rPr>
            </w:pPr>
            <w:r>
              <w:rPr>
                <w:rFonts w:ascii="Arial" w:cs="Arial" w:eastAsia="Arial" w:hAnsi="Arial"/>
                <w:sz w:val="13"/>
                <w:szCs w:val="13"/>
                <w:color w:val="auto"/>
              </w:rPr>
              <w:t>Green</w:t>
            </w: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20" w:type="dxa"/>
            <w:vAlign w:val="bottom"/>
            <w:vMerge w:val="continue"/>
            <w:shd w:val="clear" w:color="auto" w:fill="D0D3DB"/>
          </w:tcPr>
          <w:p>
            <w:pPr>
              <w:spacing w:after="0"/>
              <w:rPr>
                <w:sz w:val="11"/>
                <w:szCs w:val="11"/>
                <w:color w:val="auto"/>
              </w:rPr>
            </w:pPr>
          </w:p>
        </w:tc>
        <w:tc>
          <w:tcPr>
            <w:tcW w:w="18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vMerge w:val="restart"/>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7,433</w:t>
            </w:r>
            <w:r>
              <w:rPr>
                <w:rFonts w:ascii="Arial" w:cs="Arial" w:eastAsia="Arial" w:hAnsi="Arial"/>
                <w:sz w:val="22"/>
                <w:szCs w:val="22"/>
                <w:color w:val="auto"/>
                <w:vertAlign w:val="superscript"/>
              </w:rPr>
              <w:t>(1)</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670,029</w:t>
            </w:r>
          </w:p>
        </w:tc>
        <w:tc>
          <w:tcPr>
            <w:tcW w:w="0" w:type="dxa"/>
            <w:vAlign w:val="bottom"/>
          </w:tcPr>
          <w:p>
            <w:pPr>
              <w:spacing w:after="0"/>
              <w:rPr>
                <w:sz w:val="1"/>
                <w:szCs w:val="1"/>
                <w:color w:val="auto"/>
              </w:rPr>
            </w:pPr>
          </w:p>
        </w:tc>
      </w:tr>
      <w:tr>
        <w:trPr>
          <w:trHeight w:val="160"/>
        </w:trPr>
        <w:tc>
          <w:tcPr>
            <w:tcW w:w="820" w:type="dxa"/>
            <w:vAlign w:val="bottom"/>
            <w:shd w:val="clear" w:color="auto" w:fill="D0D3DB"/>
          </w:tcPr>
          <w:p>
            <w:pPr>
              <w:spacing w:after="0"/>
              <w:rPr>
                <w:sz w:val="13"/>
                <w:szCs w:val="13"/>
                <w:color w:val="auto"/>
              </w:rPr>
            </w:pPr>
          </w:p>
        </w:tc>
        <w:tc>
          <w:tcPr>
            <w:tcW w:w="1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5,618</w:t>
            </w:r>
            <w:r>
              <w:rPr>
                <w:rFonts w:ascii="Arial" w:cs="Arial" w:eastAsia="Arial" w:hAnsi="Arial"/>
                <w:sz w:val="22"/>
                <w:szCs w:val="22"/>
                <w:color w:val="auto"/>
                <w:vertAlign w:val="superscript"/>
              </w:rPr>
              <w:t>(3)</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5,618</w:t>
            </w:r>
            <w:r>
              <w:rPr>
                <w:rFonts w:ascii="Arial" w:cs="Arial" w:eastAsia="Arial" w:hAnsi="Arial"/>
                <w:sz w:val="22"/>
                <w:szCs w:val="22"/>
                <w:color w:val="auto"/>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14,982</w:t>
            </w:r>
            <w:r>
              <w:rPr>
                <w:rFonts w:ascii="Arial" w:cs="Arial" w:eastAsia="Arial" w:hAnsi="Arial"/>
                <w:sz w:val="22"/>
                <w:szCs w:val="22"/>
                <w:color w:val="auto"/>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198,941</w:t>
            </w: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750,000</w:t>
            </w:r>
            <w:r>
              <w:rPr>
                <w:rFonts w:ascii="Arial" w:cs="Arial" w:eastAsia="Arial" w:hAnsi="Arial"/>
                <w:sz w:val="22"/>
                <w:szCs w:val="22"/>
                <w:color w:val="auto"/>
                <w:vertAlign w:val="superscript"/>
              </w:rPr>
              <w:t>(8)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1,312,500</w:t>
            </w:r>
            <w:r>
              <w:rPr>
                <w:rFonts w:ascii="Arial" w:cs="Arial" w:eastAsia="Arial" w:hAnsi="Arial"/>
                <w:sz w:val="22"/>
                <w:szCs w:val="22"/>
                <w:color w:val="auto"/>
                <w:vertAlign w:val="superscript"/>
              </w:rPr>
              <w:t>(8)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1,875,000</w:t>
            </w:r>
            <w:r>
              <w:rPr>
                <w:rFonts w:ascii="Arial" w:cs="Arial" w:eastAsia="Arial" w:hAnsi="Arial"/>
                <w:sz w:val="22"/>
                <w:szCs w:val="22"/>
                <w:color w:val="auto"/>
                <w:vertAlign w:val="superscript"/>
              </w:rPr>
              <w:t>(8)</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20" w:type="dxa"/>
            <w:vAlign w:val="bottom"/>
            <w:shd w:val="clear" w:color="auto" w:fill="8590A9"/>
          </w:tcPr>
          <w:p>
            <w:pPr>
              <w:spacing w:after="0" w:line="20" w:lineRule="exact"/>
              <w:rPr>
                <w:sz w:val="1"/>
                <w:szCs w:val="1"/>
                <w:color w:val="auto"/>
              </w:rPr>
            </w:pPr>
          </w:p>
        </w:tc>
        <w:tc>
          <w:tcPr>
            <w:tcW w:w="180" w:type="dxa"/>
            <w:vAlign w:val="bottom"/>
            <w:shd w:val="clear" w:color="auto" w:fill="D0D3DB"/>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20" w:type="dxa"/>
            <w:vAlign w:val="bottom"/>
            <w:tcBorders>
              <w:bottom w:val="single" w:sz="8" w:color="D0D3DB"/>
            </w:tcBorders>
            <w:shd w:val="clear" w:color="auto" w:fill="D0D3DB"/>
          </w:tcPr>
          <w:p>
            <w:pPr>
              <w:spacing w:after="0"/>
              <w:rPr>
                <w:sz w:val="20"/>
                <w:szCs w:val="20"/>
                <w:color w:val="auto"/>
              </w:rPr>
            </w:pPr>
            <w:r>
              <w:rPr>
                <w:rFonts w:ascii="Arial" w:cs="Arial" w:eastAsia="Arial" w:hAnsi="Arial"/>
                <w:sz w:val="13"/>
                <w:szCs w:val="13"/>
                <w:color w:val="auto"/>
              </w:rPr>
              <w:t>Andrew</w:t>
            </w:r>
          </w:p>
        </w:tc>
        <w:tc>
          <w:tcPr>
            <w:tcW w:w="180" w:type="dxa"/>
            <w:vAlign w:val="bottom"/>
            <w:tcBorders>
              <w:bottom w:val="single" w:sz="8" w:color="D0D3DB"/>
            </w:tcBorders>
            <w:shd w:val="clear" w:color="auto" w:fill="D0D3DB"/>
          </w:tcPr>
          <w:p>
            <w:pPr>
              <w:spacing w:after="0"/>
              <w:rPr>
                <w:sz w:val="23"/>
                <w:szCs w:val="23"/>
                <w:color w:val="auto"/>
              </w:rPr>
            </w:pPr>
          </w:p>
        </w:tc>
        <w:tc>
          <w:tcPr>
            <w:tcW w:w="700" w:type="dxa"/>
            <w:vAlign w:val="bottom"/>
            <w:tcBorders>
              <w:bottom w:val="single" w:sz="8" w:color="D0D3DB"/>
            </w:tcBorders>
            <w:shd w:val="clear" w:color="auto" w:fill="D0D3DB"/>
          </w:tcPr>
          <w:p>
            <w:pPr>
              <w:jc w:val="right"/>
              <w:spacing w:after="0"/>
              <w:rPr>
                <w:sz w:val="20"/>
                <w:szCs w:val="20"/>
                <w:color w:val="auto"/>
              </w:rPr>
            </w:pPr>
            <w:r>
              <w:rPr>
                <w:rFonts w:ascii="Arial" w:cs="Arial" w:eastAsia="Arial" w:hAnsi="Arial"/>
                <w:sz w:val="13"/>
                <w:szCs w:val="13"/>
                <w:color w:val="auto"/>
              </w:rPr>
              <w:t>01/01/2017</w:t>
            </w:r>
          </w:p>
        </w:tc>
        <w:tc>
          <w:tcPr>
            <w:tcW w:w="160" w:type="dxa"/>
            <w:vAlign w:val="bottom"/>
            <w:tcBorders>
              <w:bottom w:val="single" w:sz="8" w:color="D0D3DB"/>
            </w:tcBorders>
            <w:shd w:val="clear" w:color="auto" w:fill="D0D3DB"/>
          </w:tcPr>
          <w:p>
            <w:pPr>
              <w:spacing w:after="0"/>
              <w:rPr>
                <w:sz w:val="23"/>
                <w:szCs w:val="23"/>
                <w:color w:val="auto"/>
              </w:rPr>
            </w:pPr>
          </w:p>
        </w:tc>
        <w:tc>
          <w:tcPr>
            <w:tcW w:w="84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12/13/2016</w:t>
            </w:r>
          </w:p>
        </w:tc>
        <w:tc>
          <w:tcPr>
            <w:tcW w:w="140" w:type="dxa"/>
            <w:vAlign w:val="bottom"/>
            <w:tcBorders>
              <w:bottom w:val="single" w:sz="8" w:color="D0D3DB"/>
            </w:tcBorders>
            <w:shd w:val="clear" w:color="auto" w:fill="D0D3DB"/>
          </w:tcPr>
          <w:p>
            <w:pPr>
              <w:spacing w:after="0"/>
              <w:rPr>
                <w:sz w:val="23"/>
                <w:szCs w:val="23"/>
                <w:color w:val="auto"/>
              </w:rPr>
            </w:pPr>
          </w:p>
        </w:tc>
        <w:tc>
          <w:tcPr>
            <w:tcW w:w="96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0D3DB"/>
            </w:tcBorders>
            <w:shd w:val="clear" w:color="auto" w:fill="D0D3DB"/>
          </w:tcPr>
          <w:p>
            <w:pPr>
              <w:spacing w:after="0"/>
              <w:rPr>
                <w:sz w:val="23"/>
                <w:szCs w:val="23"/>
                <w:color w:val="auto"/>
              </w:rPr>
            </w:pPr>
          </w:p>
        </w:tc>
        <w:tc>
          <w:tcPr>
            <w:tcW w:w="96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D0D3DB"/>
            </w:tcBorders>
            <w:shd w:val="clear" w:color="auto" w:fill="D0D3DB"/>
          </w:tcPr>
          <w:p>
            <w:pPr>
              <w:spacing w:after="0"/>
              <w:rPr>
                <w:sz w:val="23"/>
                <w:szCs w:val="23"/>
                <w:color w:val="auto"/>
              </w:rPr>
            </w:pPr>
          </w:p>
        </w:tc>
        <w:tc>
          <w:tcPr>
            <w:tcW w:w="96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5,120</w:t>
            </w:r>
            <w:r>
              <w:rPr>
                <w:rFonts w:ascii="Arial" w:cs="Arial" w:eastAsia="Arial" w:hAnsi="Arial"/>
                <w:sz w:val="22"/>
                <w:szCs w:val="22"/>
                <w:color w:val="auto"/>
                <w:vertAlign w:val="superscript"/>
              </w:rPr>
              <w:t>(6)</w:t>
            </w:r>
          </w:p>
        </w:tc>
        <w:tc>
          <w:tcPr>
            <w:tcW w:w="800" w:type="dxa"/>
            <w:vAlign w:val="bottom"/>
            <w:tcBorders>
              <w:bottom w:val="single" w:sz="8" w:color="D0D3DB"/>
            </w:tcBorders>
            <w:gridSpan w:val="2"/>
            <w:shd w:val="clear" w:color="auto" w:fill="D0D3DB"/>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0D3DB"/>
            </w:tcBorders>
            <w:shd w:val="clear" w:color="auto" w:fill="D0D3DB"/>
          </w:tcPr>
          <w:p>
            <w:pPr>
              <w:spacing w:after="0"/>
              <w:rPr>
                <w:sz w:val="23"/>
                <w:szCs w:val="23"/>
                <w:color w:val="auto"/>
              </w:rPr>
            </w:pPr>
          </w:p>
        </w:tc>
        <w:tc>
          <w:tcPr>
            <w:tcW w:w="100" w:type="dxa"/>
            <w:vAlign w:val="bottom"/>
            <w:tcBorders>
              <w:bottom w:val="single" w:sz="8" w:color="D0D3DB"/>
            </w:tcBorders>
            <w:shd w:val="clear" w:color="auto" w:fill="D0D3DB"/>
          </w:tcPr>
          <w:p>
            <w:pPr>
              <w:spacing w:after="0"/>
              <w:rPr>
                <w:sz w:val="23"/>
                <w:szCs w:val="23"/>
                <w:color w:val="auto"/>
              </w:rPr>
            </w:pPr>
          </w:p>
        </w:tc>
        <w:tc>
          <w:tcPr>
            <w:tcW w:w="68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0D3DB"/>
            </w:tcBorders>
            <w:shd w:val="clear" w:color="auto" w:fill="D0D3DB"/>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0D3DB"/>
            </w:tcBorders>
            <w:shd w:val="clear" w:color="auto" w:fill="D0D3DB"/>
          </w:tcPr>
          <w:p>
            <w:pPr>
              <w:jc w:val="right"/>
              <w:spacing w:after="0"/>
              <w:rPr>
                <w:sz w:val="20"/>
                <w:szCs w:val="20"/>
                <w:color w:val="auto"/>
              </w:rPr>
            </w:pPr>
            <w:r>
              <w:rPr>
                <w:rFonts w:ascii="Arial" w:cs="Arial" w:eastAsia="Arial" w:hAnsi="Arial"/>
                <w:sz w:val="13"/>
                <w:szCs w:val="13"/>
                <w:color w:val="auto"/>
              </w:rPr>
              <w:t>550,656</w:t>
            </w:r>
          </w:p>
        </w:tc>
        <w:tc>
          <w:tcPr>
            <w:tcW w:w="0" w:type="dxa"/>
            <w:vAlign w:val="bottom"/>
          </w:tcPr>
          <w:p>
            <w:pPr>
              <w:spacing w:after="0"/>
              <w:rPr>
                <w:sz w:val="1"/>
                <w:szCs w:val="1"/>
                <w:color w:val="auto"/>
              </w:rPr>
            </w:pPr>
          </w:p>
        </w:tc>
      </w:tr>
      <w:tr>
        <w:trPr>
          <w:trHeight w:val="20"/>
        </w:trPr>
        <w:tc>
          <w:tcPr>
            <w:tcW w:w="820" w:type="dxa"/>
            <w:vAlign w:val="bottom"/>
            <w:vMerge w:val="restart"/>
            <w:shd w:val="clear" w:color="auto" w:fill="D0D3DB"/>
          </w:tcPr>
          <w:p>
            <w:pPr>
              <w:spacing w:after="0"/>
              <w:rPr>
                <w:sz w:val="20"/>
                <w:szCs w:val="20"/>
                <w:color w:val="auto"/>
              </w:rPr>
            </w:pPr>
            <w:r>
              <w:rPr>
                <w:rFonts w:ascii="Arial" w:cs="Arial" w:eastAsia="Arial" w:hAnsi="Arial"/>
                <w:sz w:val="13"/>
                <w:szCs w:val="13"/>
                <w:color w:val="auto"/>
              </w:rPr>
              <w:t>Mathias</w:t>
            </w: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20" w:type="dxa"/>
            <w:vAlign w:val="bottom"/>
            <w:vMerge w:val="continue"/>
            <w:shd w:val="clear" w:color="auto" w:fill="D0D3DB"/>
          </w:tcPr>
          <w:p>
            <w:pPr>
              <w:spacing w:after="0"/>
              <w:rPr>
                <w:sz w:val="11"/>
                <w:szCs w:val="11"/>
                <w:color w:val="auto"/>
              </w:rPr>
            </w:pPr>
          </w:p>
        </w:tc>
        <w:tc>
          <w:tcPr>
            <w:tcW w:w="18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vMerge w:val="restart"/>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33,577</w:t>
            </w:r>
            <w:r>
              <w:rPr>
                <w:rFonts w:ascii="Arial" w:cs="Arial" w:eastAsia="Arial" w:hAnsi="Arial"/>
                <w:sz w:val="22"/>
                <w:szCs w:val="22"/>
                <w:color w:val="auto"/>
                <w:vertAlign w:val="superscript"/>
              </w:rPr>
              <w:t>(1)</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3,026,715</w:t>
            </w:r>
          </w:p>
        </w:tc>
        <w:tc>
          <w:tcPr>
            <w:tcW w:w="0" w:type="dxa"/>
            <w:vAlign w:val="bottom"/>
          </w:tcPr>
          <w:p>
            <w:pPr>
              <w:spacing w:after="0"/>
              <w:rPr>
                <w:sz w:val="1"/>
                <w:szCs w:val="1"/>
                <w:color w:val="auto"/>
              </w:rPr>
            </w:pPr>
          </w:p>
        </w:tc>
      </w:tr>
      <w:tr>
        <w:trPr>
          <w:trHeight w:val="160"/>
        </w:trPr>
        <w:tc>
          <w:tcPr>
            <w:tcW w:w="820" w:type="dxa"/>
            <w:vAlign w:val="bottom"/>
            <w:shd w:val="clear" w:color="auto" w:fill="D0D3DB"/>
          </w:tcPr>
          <w:p>
            <w:pPr>
              <w:spacing w:after="0"/>
              <w:rPr>
                <w:sz w:val="13"/>
                <w:szCs w:val="13"/>
                <w:color w:val="auto"/>
              </w:rPr>
            </w:pPr>
          </w:p>
        </w:tc>
        <w:tc>
          <w:tcPr>
            <w:tcW w:w="1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54,545</w:t>
            </w:r>
            <w:r>
              <w:rPr>
                <w:rFonts w:ascii="Arial" w:cs="Arial" w:eastAsia="Arial" w:hAnsi="Arial"/>
                <w:sz w:val="22"/>
                <w:szCs w:val="22"/>
                <w:color w:val="auto"/>
                <w:vertAlign w:val="superscript"/>
              </w:rPr>
              <w:t>(7)</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4,870,459</w:t>
            </w: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12,200</w:t>
            </w:r>
            <w:r>
              <w:rPr>
                <w:rFonts w:ascii="Arial" w:cs="Arial" w:eastAsia="Arial" w:hAnsi="Arial"/>
                <w:sz w:val="22"/>
                <w:szCs w:val="22"/>
                <w:color w:val="auto"/>
                <w:vertAlign w:val="superscript"/>
              </w:rPr>
              <w:t>(3)</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w w:val="93"/>
              </w:rPr>
              <w:t>12,200</w:t>
            </w:r>
            <w:r>
              <w:rPr>
                <w:rFonts w:ascii="Arial" w:cs="Arial" w:eastAsia="Arial" w:hAnsi="Arial"/>
                <w:sz w:val="22"/>
                <w:szCs w:val="22"/>
                <w:color w:val="auto"/>
                <w:w w:val="93"/>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32,533</w:t>
            </w:r>
            <w:r>
              <w:rPr>
                <w:rFonts w:ascii="Arial" w:cs="Arial" w:eastAsia="Arial" w:hAnsi="Arial"/>
                <w:sz w:val="22"/>
                <w:szCs w:val="22"/>
                <w:color w:val="auto"/>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431,996</w:t>
            </w: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800,000</w:t>
            </w:r>
            <w:r>
              <w:rPr>
                <w:rFonts w:ascii="Arial" w:cs="Arial" w:eastAsia="Arial" w:hAnsi="Arial"/>
                <w:sz w:val="22"/>
                <w:szCs w:val="22"/>
                <w:color w:val="auto"/>
                <w:vertAlign w:val="superscript"/>
              </w:rPr>
              <w:t>(8)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1,400,000</w:t>
            </w:r>
            <w:r>
              <w:rPr>
                <w:rFonts w:ascii="Arial" w:cs="Arial" w:eastAsia="Arial" w:hAnsi="Arial"/>
                <w:sz w:val="22"/>
                <w:szCs w:val="22"/>
                <w:color w:val="auto"/>
                <w:vertAlign w:val="superscript"/>
              </w:rPr>
              <w:t>(8)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2,000,000</w:t>
            </w:r>
            <w:r>
              <w:rPr>
                <w:rFonts w:ascii="Arial" w:cs="Arial" w:eastAsia="Arial" w:hAnsi="Arial"/>
                <w:sz w:val="22"/>
                <w:szCs w:val="22"/>
                <w:color w:val="auto"/>
                <w:vertAlign w:val="superscript"/>
              </w:rPr>
              <w:t>(8)</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20" w:type="dxa"/>
            <w:vAlign w:val="bottom"/>
            <w:shd w:val="clear" w:color="auto" w:fill="8590A9"/>
          </w:tcPr>
          <w:p>
            <w:pPr>
              <w:spacing w:after="0" w:line="20" w:lineRule="exact"/>
              <w:rPr>
                <w:sz w:val="1"/>
                <w:szCs w:val="1"/>
                <w:color w:val="auto"/>
              </w:rPr>
            </w:pPr>
          </w:p>
        </w:tc>
        <w:tc>
          <w:tcPr>
            <w:tcW w:w="180" w:type="dxa"/>
            <w:vAlign w:val="bottom"/>
            <w:shd w:val="clear" w:color="auto" w:fill="D0D3DB"/>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20" w:type="dxa"/>
            <w:vAlign w:val="bottom"/>
            <w:tcBorders>
              <w:bottom w:val="single" w:sz="8" w:color="D0D3DB"/>
            </w:tcBorders>
            <w:shd w:val="clear" w:color="auto" w:fill="D0D3DB"/>
          </w:tcPr>
          <w:p>
            <w:pPr>
              <w:spacing w:after="0"/>
              <w:rPr>
                <w:sz w:val="20"/>
                <w:szCs w:val="20"/>
                <w:color w:val="auto"/>
              </w:rPr>
            </w:pPr>
            <w:r>
              <w:rPr>
                <w:rFonts w:ascii="Arial" w:cs="Arial" w:eastAsia="Arial" w:hAnsi="Arial"/>
                <w:sz w:val="13"/>
                <w:szCs w:val="13"/>
                <w:color w:val="auto"/>
              </w:rPr>
              <w:t>Matthew J.</w:t>
            </w:r>
          </w:p>
        </w:tc>
        <w:tc>
          <w:tcPr>
            <w:tcW w:w="180" w:type="dxa"/>
            <w:vAlign w:val="bottom"/>
            <w:tcBorders>
              <w:bottom w:val="single" w:sz="8" w:color="D0D3DB"/>
            </w:tcBorders>
            <w:shd w:val="clear" w:color="auto" w:fill="D0D3DB"/>
          </w:tcPr>
          <w:p>
            <w:pPr>
              <w:spacing w:after="0"/>
              <w:rPr>
                <w:sz w:val="23"/>
                <w:szCs w:val="23"/>
                <w:color w:val="auto"/>
              </w:rPr>
            </w:pPr>
          </w:p>
        </w:tc>
        <w:tc>
          <w:tcPr>
            <w:tcW w:w="700" w:type="dxa"/>
            <w:vAlign w:val="bottom"/>
            <w:tcBorders>
              <w:bottom w:val="single" w:sz="8" w:color="D0D3DB"/>
            </w:tcBorders>
            <w:shd w:val="clear" w:color="auto" w:fill="D0D3DB"/>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tcBorders>
              <w:bottom w:val="single" w:sz="8" w:color="D0D3DB"/>
            </w:tcBorders>
            <w:shd w:val="clear" w:color="auto" w:fill="D0D3DB"/>
          </w:tcPr>
          <w:p>
            <w:pPr>
              <w:spacing w:after="0"/>
              <w:rPr>
                <w:sz w:val="23"/>
                <w:szCs w:val="23"/>
                <w:color w:val="auto"/>
              </w:rPr>
            </w:pPr>
          </w:p>
        </w:tc>
        <w:tc>
          <w:tcPr>
            <w:tcW w:w="84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Borders>
              <w:bottom w:val="single" w:sz="8" w:color="D0D3DB"/>
            </w:tcBorders>
            <w:shd w:val="clear" w:color="auto" w:fill="D0D3DB"/>
          </w:tcPr>
          <w:p>
            <w:pPr>
              <w:spacing w:after="0"/>
              <w:rPr>
                <w:sz w:val="23"/>
                <w:szCs w:val="23"/>
                <w:color w:val="auto"/>
              </w:rPr>
            </w:pPr>
          </w:p>
        </w:tc>
        <w:tc>
          <w:tcPr>
            <w:tcW w:w="96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0D3DB"/>
            </w:tcBorders>
            <w:shd w:val="clear" w:color="auto" w:fill="D0D3DB"/>
          </w:tcPr>
          <w:p>
            <w:pPr>
              <w:spacing w:after="0"/>
              <w:rPr>
                <w:sz w:val="23"/>
                <w:szCs w:val="23"/>
                <w:color w:val="auto"/>
              </w:rPr>
            </w:pPr>
          </w:p>
        </w:tc>
        <w:tc>
          <w:tcPr>
            <w:tcW w:w="96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D0D3DB"/>
            </w:tcBorders>
            <w:shd w:val="clear" w:color="auto" w:fill="D0D3DB"/>
          </w:tcPr>
          <w:p>
            <w:pPr>
              <w:spacing w:after="0"/>
              <w:rPr>
                <w:sz w:val="23"/>
                <w:szCs w:val="23"/>
                <w:color w:val="auto"/>
              </w:rPr>
            </w:pPr>
          </w:p>
        </w:tc>
        <w:tc>
          <w:tcPr>
            <w:tcW w:w="96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2,829</w:t>
            </w:r>
            <w:r>
              <w:rPr>
                <w:rFonts w:ascii="Arial" w:cs="Arial" w:eastAsia="Arial" w:hAnsi="Arial"/>
                <w:sz w:val="22"/>
                <w:szCs w:val="22"/>
                <w:color w:val="auto"/>
                <w:vertAlign w:val="superscript"/>
              </w:rPr>
              <w:t>(1)</w:t>
            </w:r>
          </w:p>
        </w:tc>
        <w:tc>
          <w:tcPr>
            <w:tcW w:w="800" w:type="dxa"/>
            <w:vAlign w:val="bottom"/>
            <w:tcBorders>
              <w:bottom w:val="single" w:sz="8" w:color="D0D3DB"/>
            </w:tcBorders>
            <w:gridSpan w:val="2"/>
            <w:shd w:val="clear" w:color="auto" w:fill="D0D3DB"/>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0D3DB"/>
            </w:tcBorders>
            <w:shd w:val="clear" w:color="auto" w:fill="D0D3DB"/>
          </w:tcPr>
          <w:p>
            <w:pPr>
              <w:spacing w:after="0"/>
              <w:rPr>
                <w:sz w:val="23"/>
                <w:szCs w:val="23"/>
                <w:color w:val="auto"/>
              </w:rPr>
            </w:pPr>
          </w:p>
        </w:tc>
        <w:tc>
          <w:tcPr>
            <w:tcW w:w="100" w:type="dxa"/>
            <w:vAlign w:val="bottom"/>
            <w:tcBorders>
              <w:bottom w:val="single" w:sz="8" w:color="D0D3DB"/>
            </w:tcBorders>
            <w:shd w:val="clear" w:color="auto" w:fill="D0D3DB"/>
          </w:tcPr>
          <w:p>
            <w:pPr>
              <w:spacing w:after="0"/>
              <w:rPr>
                <w:sz w:val="23"/>
                <w:szCs w:val="23"/>
                <w:color w:val="auto"/>
              </w:rPr>
            </w:pPr>
          </w:p>
        </w:tc>
        <w:tc>
          <w:tcPr>
            <w:tcW w:w="68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0D3DB"/>
            </w:tcBorders>
            <w:shd w:val="clear" w:color="auto" w:fill="D0D3DB"/>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0D3DB"/>
            </w:tcBorders>
            <w:shd w:val="clear" w:color="auto" w:fill="D0D3DB"/>
          </w:tcPr>
          <w:p>
            <w:pPr>
              <w:jc w:val="right"/>
              <w:spacing w:after="0"/>
              <w:rPr>
                <w:sz w:val="20"/>
                <w:szCs w:val="20"/>
                <w:color w:val="auto"/>
              </w:rPr>
            </w:pPr>
            <w:r>
              <w:rPr>
                <w:rFonts w:ascii="Arial" w:cs="Arial" w:eastAsia="Arial" w:hAnsi="Arial"/>
                <w:sz w:val="13"/>
                <w:szCs w:val="13"/>
                <w:color w:val="auto"/>
              </w:rPr>
              <w:t>255,013</w:t>
            </w:r>
          </w:p>
        </w:tc>
        <w:tc>
          <w:tcPr>
            <w:tcW w:w="0" w:type="dxa"/>
            <w:vAlign w:val="bottom"/>
          </w:tcPr>
          <w:p>
            <w:pPr>
              <w:spacing w:after="0"/>
              <w:rPr>
                <w:sz w:val="1"/>
                <w:szCs w:val="1"/>
                <w:color w:val="auto"/>
              </w:rPr>
            </w:pPr>
          </w:p>
        </w:tc>
      </w:tr>
      <w:tr>
        <w:trPr>
          <w:trHeight w:val="20"/>
        </w:trPr>
        <w:tc>
          <w:tcPr>
            <w:tcW w:w="820" w:type="dxa"/>
            <w:vAlign w:val="bottom"/>
            <w:vMerge w:val="restart"/>
            <w:shd w:val="clear" w:color="auto" w:fill="D0D3DB"/>
          </w:tcPr>
          <w:p>
            <w:pPr>
              <w:spacing w:after="0"/>
              <w:rPr>
                <w:sz w:val="20"/>
                <w:szCs w:val="20"/>
                <w:color w:val="auto"/>
              </w:rPr>
            </w:pPr>
            <w:r>
              <w:rPr>
                <w:rFonts w:ascii="Arial" w:cs="Arial" w:eastAsia="Arial" w:hAnsi="Arial"/>
                <w:sz w:val="13"/>
                <w:szCs w:val="13"/>
                <w:color w:val="auto"/>
              </w:rPr>
              <w:t>DiLiberto</w:t>
            </w: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20" w:type="dxa"/>
            <w:vAlign w:val="bottom"/>
            <w:vMerge w:val="continue"/>
            <w:shd w:val="clear" w:color="auto" w:fill="D0D3DB"/>
          </w:tcPr>
          <w:p>
            <w:pPr>
              <w:spacing w:after="0"/>
              <w:rPr>
                <w:sz w:val="11"/>
                <w:szCs w:val="11"/>
                <w:color w:val="auto"/>
              </w:rPr>
            </w:pPr>
          </w:p>
        </w:tc>
        <w:tc>
          <w:tcPr>
            <w:tcW w:w="18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vMerge w:val="restart"/>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15,000</w:t>
            </w:r>
            <w:r>
              <w:rPr>
                <w:rFonts w:ascii="Arial" w:cs="Arial" w:eastAsia="Arial" w:hAnsi="Arial"/>
                <w:sz w:val="22"/>
                <w:szCs w:val="22"/>
                <w:color w:val="auto"/>
                <w:vertAlign w:val="superscript"/>
              </w:rPr>
              <w:t>(9)</w:t>
            </w: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106.05</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272,913</w:t>
            </w:r>
          </w:p>
        </w:tc>
        <w:tc>
          <w:tcPr>
            <w:tcW w:w="0" w:type="dxa"/>
            <w:vAlign w:val="bottom"/>
          </w:tcPr>
          <w:p>
            <w:pPr>
              <w:spacing w:after="0"/>
              <w:rPr>
                <w:sz w:val="1"/>
                <w:szCs w:val="1"/>
                <w:color w:val="auto"/>
              </w:rPr>
            </w:pPr>
          </w:p>
        </w:tc>
      </w:tr>
      <w:tr>
        <w:trPr>
          <w:trHeight w:val="160"/>
        </w:trPr>
        <w:tc>
          <w:tcPr>
            <w:tcW w:w="820" w:type="dxa"/>
            <w:vAlign w:val="bottom"/>
            <w:shd w:val="clear" w:color="auto" w:fill="D0D3DB"/>
          </w:tcPr>
          <w:p>
            <w:pPr>
              <w:spacing w:after="0"/>
              <w:rPr>
                <w:sz w:val="13"/>
                <w:szCs w:val="13"/>
                <w:color w:val="auto"/>
              </w:rPr>
            </w:pPr>
          </w:p>
        </w:tc>
        <w:tc>
          <w:tcPr>
            <w:tcW w:w="1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15,000</w:t>
            </w:r>
            <w:r>
              <w:rPr>
                <w:rFonts w:ascii="Arial" w:cs="Arial" w:eastAsia="Arial" w:hAnsi="Arial"/>
                <w:sz w:val="22"/>
                <w:szCs w:val="22"/>
                <w:color w:val="auto"/>
                <w:vertAlign w:val="superscript"/>
              </w:rPr>
              <w:t>(9)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106.05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475,506</w:t>
            </w:r>
          </w:p>
        </w:tc>
        <w:tc>
          <w:tcPr>
            <w:tcW w:w="0" w:type="dxa"/>
            <w:vAlign w:val="bottom"/>
          </w:tcPr>
          <w:p>
            <w:pPr>
              <w:spacing w:after="0"/>
              <w:rPr>
                <w:sz w:val="1"/>
                <w:szCs w:val="1"/>
                <w:color w:val="auto"/>
              </w:rPr>
            </w:pPr>
          </w:p>
        </w:tc>
      </w:tr>
      <w:tr>
        <w:trPr>
          <w:trHeight w:val="20"/>
        </w:trPr>
        <w:tc>
          <w:tcPr>
            <w:tcW w:w="820" w:type="dxa"/>
            <w:vAlign w:val="bottom"/>
            <w:shd w:val="clear" w:color="auto" w:fill="8590A9"/>
          </w:tcPr>
          <w:p>
            <w:pPr>
              <w:spacing w:after="0" w:line="20" w:lineRule="exact"/>
              <w:rPr>
                <w:sz w:val="1"/>
                <w:szCs w:val="1"/>
                <w:color w:val="auto"/>
              </w:rPr>
            </w:pPr>
          </w:p>
        </w:tc>
        <w:tc>
          <w:tcPr>
            <w:tcW w:w="180" w:type="dxa"/>
            <w:vAlign w:val="bottom"/>
            <w:shd w:val="clear" w:color="auto" w:fill="D0D3DB"/>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20" w:type="dxa"/>
            <w:vAlign w:val="bottom"/>
            <w:tcBorders>
              <w:bottom w:val="single" w:sz="8" w:color="D0D3DB"/>
            </w:tcBorders>
            <w:shd w:val="clear" w:color="auto" w:fill="D0D3DB"/>
          </w:tcPr>
          <w:p>
            <w:pPr>
              <w:spacing w:after="0"/>
              <w:rPr>
                <w:sz w:val="20"/>
                <w:szCs w:val="20"/>
                <w:color w:val="auto"/>
              </w:rPr>
            </w:pPr>
            <w:r>
              <w:rPr>
                <w:rFonts w:ascii="Arial" w:cs="Arial" w:eastAsia="Arial" w:hAnsi="Arial"/>
                <w:sz w:val="13"/>
                <w:szCs w:val="13"/>
                <w:color w:val="auto"/>
              </w:rPr>
              <w:t>Andrew S.</w:t>
            </w:r>
          </w:p>
        </w:tc>
        <w:tc>
          <w:tcPr>
            <w:tcW w:w="180" w:type="dxa"/>
            <w:vAlign w:val="bottom"/>
            <w:tcBorders>
              <w:bottom w:val="single" w:sz="8" w:color="D0D3DB"/>
            </w:tcBorders>
            <w:shd w:val="clear" w:color="auto" w:fill="D0D3DB"/>
          </w:tcPr>
          <w:p>
            <w:pPr>
              <w:spacing w:after="0"/>
              <w:rPr>
                <w:sz w:val="23"/>
                <w:szCs w:val="23"/>
                <w:color w:val="auto"/>
              </w:rPr>
            </w:pPr>
          </w:p>
        </w:tc>
        <w:tc>
          <w:tcPr>
            <w:tcW w:w="700" w:type="dxa"/>
            <w:vAlign w:val="bottom"/>
            <w:tcBorders>
              <w:bottom w:val="single" w:sz="8" w:color="D0D3DB"/>
            </w:tcBorders>
            <w:shd w:val="clear" w:color="auto" w:fill="D0D3DB"/>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tcBorders>
              <w:bottom w:val="single" w:sz="8" w:color="D0D3DB"/>
            </w:tcBorders>
            <w:shd w:val="clear" w:color="auto" w:fill="D0D3DB"/>
          </w:tcPr>
          <w:p>
            <w:pPr>
              <w:spacing w:after="0"/>
              <w:rPr>
                <w:sz w:val="23"/>
                <w:szCs w:val="23"/>
                <w:color w:val="auto"/>
              </w:rPr>
            </w:pPr>
          </w:p>
        </w:tc>
        <w:tc>
          <w:tcPr>
            <w:tcW w:w="84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Borders>
              <w:bottom w:val="single" w:sz="8" w:color="D0D3DB"/>
            </w:tcBorders>
            <w:shd w:val="clear" w:color="auto" w:fill="D0D3DB"/>
          </w:tcPr>
          <w:p>
            <w:pPr>
              <w:spacing w:after="0"/>
              <w:rPr>
                <w:sz w:val="23"/>
                <w:szCs w:val="23"/>
                <w:color w:val="auto"/>
              </w:rPr>
            </w:pPr>
          </w:p>
        </w:tc>
        <w:tc>
          <w:tcPr>
            <w:tcW w:w="96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0D3DB"/>
            </w:tcBorders>
            <w:shd w:val="clear" w:color="auto" w:fill="D0D3DB"/>
          </w:tcPr>
          <w:p>
            <w:pPr>
              <w:spacing w:after="0"/>
              <w:rPr>
                <w:sz w:val="23"/>
                <w:szCs w:val="23"/>
                <w:color w:val="auto"/>
              </w:rPr>
            </w:pPr>
          </w:p>
        </w:tc>
        <w:tc>
          <w:tcPr>
            <w:tcW w:w="96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D0D3DB"/>
            </w:tcBorders>
            <w:shd w:val="clear" w:color="auto" w:fill="D0D3DB"/>
          </w:tcPr>
          <w:p>
            <w:pPr>
              <w:spacing w:after="0"/>
              <w:rPr>
                <w:sz w:val="23"/>
                <w:szCs w:val="23"/>
                <w:color w:val="auto"/>
              </w:rPr>
            </w:pPr>
          </w:p>
        </w:tc>
        <w:tc>
          <w:tcPr>
            <w:tcW w:w="96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12,730</w:t>
            </w:r>
            <w:r>
              <w:rPr>
                <w:rFonts w:ascii="Arial" w:cs="Arial" w:eastAsia="Arial" w:hAnsi="Arial"/>
                <w:sz w:val="22"/>
                <w:szCs w:val="22"/>
                <w:color w:val="auto"/>
                <w:vertAlign w:val="superscript"/>
              </w:rPr>
              <w:t>(1)</w:t>
            </w:r>
          </w:p>
        </w:tc>
        <w:tc>
          <w:tcPr>
            <w:tcW w:w="800" w:type="dxa"/>
            <w:vAlign w:val="bottom"/>
            <w:tcBorders>
              <w:bottom w:val="single" w:sz="8" w:color="D0D3DB"/>
            </w:tcBorders>
            <w:gridSpan w:val="2"/>
            <w:shd w:val="clear" w:color="auto" w:fill="D0D3DB"/>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0D3DB"/>
            </w:tcBorders>
            <w:shd w:val="clear" w:color="auto" w:fill="D0D3DB"/>
          </w:tcPr>
          <w:p>
            <w:pPr>
              <w:spacing w:after="0"/>
              <w:rPr>
                <w:sz w:val="23"/>
                <w:szCs w:val="23"/>
                <w:color w:val="auto"/>
              </w:rPr>
            </w:pPr>
          </w:p>
        </w:tc>
        <w:tc>
          <w:tcPr>
            <w:tcW w:w="100" w:type="dxa"/>
            <w:vAlign w:val="bottom"/>
            <w:tcBorders>
              <w:bottom w:val="single" w:sz="8" w:color="D0D3DB"/>
            </w:tcBorders>
            <w:shd w:val="clear" w:color="auto" w:fill="D0D3DB"/>
          </w:tcPr>
          <w:p>
            <w:pPr>
              <w:spacing w:after="0"/>
              <w:rPr>
                <w:sz w:val="23"/>
                <w:szCs w:val="23"/>
                <w:color w:val="auto"/>
              </w:rPr>
            </w:pPr>
          </w:p>
        </w:tc>
        <w:tc>
          <w:tcPr>
            <w:tcW w:w="680" w:type="dxa"/>
            <w:vAlign w:val="bottom"/>
            <w:tcBorders>
              <w:bottom w:val="single" w:sz="8" w:color="D0D3DB"/>
            </w:tcBorders>
            <w:gridSpan w:val="2"/>
            <w:shd w:val="clear" w:color="auto" w:fill="D0D3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0D3DB"/>
            </w:tcBorders>
            <w:shd w:val="clear" w:color="auto" w:fill="D0D3DB"/>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0D3DB"/>
            </w:tcBorders>
            <w:shd w:val="clear" w:color="auto" w:fill="D0D3DB"/>
          </w:tcPr>
          <w:p>
            <w:pPr>
              <w:jc w:val="right"/>
              <w:spacing w:after="0"/>
              <w:rPr>
                <w:sz w:val="20"/>
                <w:szCs w:val="20"/>
                <w:color w:val="auto"/>
              </w:rPr>
            </w:pPr>
            <w:r>
              <w:rPr>
                <w:rFonts w:ascii="Arial" w:cs="Arial" w:eastAsia="Arial" w:hAnsi="Arial"/>
                <w:sz w:val="13"/>
                <w:szCs w:val="13"/>
                <w:color w:val="auto"/>
              </w:rPr>
              <w:t>1,147,514</w:t>
            </w:r>
          </w:p>
        </w:tc>
        <w:tc>
          <w:tcPr>
            <w:tcW w:w="0" w:type="dxa"/>
            <w:vAlign w:val="bottom"/>
          </w:tcPr>
          <w:p>
            <w:pPr>
              <w:spacing w:after="0"/>
              <w:rPr>
                <w:sz w:val="1"/>
                <w:szCs w:val="1"/>
                <w:color w:val="auto"/>
              </w:rPr>
            </w:pPr>
          </w:p>
        </w:tc>
      </w:tr>
      <w:tr>
        <w:trPr>
          <w:trHeight w:val="20"/>
        </w:trPr>
        <w:tc>
          <w:tcPr>
            <w:tcW w:w="820" w:type="dxa"/>
            <w:vAlign w:val="bottom"/>
            <w:vMerge w:val="restart"/>
            <w:shd w:val="clear" w:color="auto" w:fill="D0D3DB"/>
          </w:tcPr>
          <w:p>
            <w:pPr>
              <w:spacing w:after="0"/>
              <w:rPr>
                <w:sz w:val="20"/>
                <w:szCs w:val="20"/>
                <w:color w:val="auto"/>
              </w:rPr>
            </w:pPr>
            <w:r>
              <w:rPr>
                <w:rFonts w:ascii="Arial" w:cs="Arial" w:eastAsia="Arial" w:hAnsi="Arial"/>
                <w:sz w:val="13"/>
                <w:szCs w:val="13"/>
                <w:color w:val="auto"/>
              </w:rPr>
              <w:t>Levine</w:t>
            </w: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20" w:type="dxa"/>
            <w:vAlign w:val="bottom"/>
            <w:vMerge w:val="continue"/>
            <w:shd w:val="clear" w:color="auto" w:fill="D0D3DB"/>
          </w:tcPr>
          <w:p>
            <w:pPr>
              <w:spacing w:after="0"/>
              <w:rPr>
                <w:sz w:val="11"/>
                <w:szCs w:val="11"/>
                <w:color w:val="auto"/>
              </w:rPr>
            </w:pPr>
          </w:p>
        </w:tc>
        <w:tc>
          <w:tcPr>
            <w:tcW w:w="18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vMerge w:val="restart"/>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3,090</w:t>
            </w:r>
            <w:r>
              <w:rPr>
                <w:rFonts w:ascii="Arial" w:cs="Arial" w:eastAsia="Arial" w:hAnsi="Arial"/>
                <w:sz w:val="22"/>
                <w:szCs w:val="22"/>
                <w:color w:val="auto"/>
                <w:vertAlign w:val="superscript"/>
              </w:rPr>
              <w:t>(3)</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3,090</w:t>
            </w:r>
            <w:r>
              <w:rPr>
                <w:rFonts w:ascii="Arial" w:cs="Arial" w:eastAsia="Arial" w:hAnsi="Arial"/>
                <w:sz w:val="22"/>
                <w:szCs w:val="22"/>
                <w:color w:val="auto"/>
                <w:vertAlign w:val="superscript"/>
              </w:rPr>
              <w:t>(3)</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8,240</w:t>
            </w:r>
            <w:r>
              <w:rPr>
                <w:rFonts w:ascii="Arial" w:cs="Arial" w:eastAsia="Arial" w:hAnsi="Arial"/>
                <w:sz w:val="22"/>
                <w:szCs w:val="22"/>
                <w:color w:val="auto"/>
                <w:vertAlign w:val="superscript"/>
              </w:rPr>
              <w:t>(3)</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109,416</w:t>
            </w:r>
          </w:p>
        </w:tc>
        <w:tc>
          <w:tcPr>
            <w:tcW w:w="0" w:type="dxa"/>
            <w:vAlign w:val="bottom"/>
          </w:tcPr>
          <w:p>
            <w:pPr>
              <w:spacing w:after="0"/>
              <w:rPr>
                <w:sz w:val="1"/>
                <w:szCs w:val="1"/>
                <w:color w:val="auto"/>
              </w:rPr>
            </w:pPr>
          </w:p>
        </w:tc>
      </w:tr>
      <w:tr>
        <w:trPr>
          <w:trHeight w:val="160"/>
        </w:trPr>
        <w:tc>
          <w:tcPr>
            <w:tcW w:w="820" w:type="dxa"/>
            <w:vAlign w:val="bottom"/>
            <w:shd w:val="clear" w:color="auto" w:fill="D0D3DB"/>
          </w:tcPr>
          <w:p>
            <w:pPr>
              <w:spacing w:after="0"/>
              <w:rPr>
                <w:sz w:val="13"/>
                <w:szCs w:val="13"/>
                <w:color w:val="auto"/>
              </w:rPr>
            </w:pPr>
          </w:p>
        </w:tc>
        <w:tc>
          <w:tcPr>
            <w:tcW w:w="1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15,000</w:t>
            </w:r>
            <w:r>
              <w:rPr>
                <w:rFonts w:ascii="Arial" w:cs="Arial" w:eastAsia="Arial" w:hAnsi="Arial"/>
                <w:sz w:val="22"/>
                <w:szCs w:val="22"/>
                <w:color w:val="auto"/>
                <w:vertAlign w:val="superscript"/>
              </w:rPr>
              <w:t>(9)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106.05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272,913</w:t>
            </w:r>
          </w:p>
        </w:tc>
        <w:tc>
          <w:tcPr>
            <w:tcW w:w="0" w:type="dxa"/>
            <w:vAlign w:val="bottom"/>
          </w:tcPr>
          <w:p>
            <w:pPr>
              <w:spacing w:after="0"/>
              <w:rPr>
                <w:sz w:val="1"/>
                <w:szCs w:val="1"/>
                <w:color w:val="auto"/>
              </w:rPr>
            </w:pPr>
          </w:p>
        </w:tc>
      </w:tr>
      <w:tr>
        <w:trPr>
          <w:trHeight w:val="20"/>
        </w:trPr>
        <w:tc>
          <w:tcPr>
            <w:tcW w:w="820" w:type="dxa"/>
            <w:vAlign w:val="bottom"/>
            <w:shd w:val="clear" w:color="auto" w:fill="D0D3D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5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8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shd w:val="clear" w:color="auto" w:fill="D0D3DB"/>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01/11/2017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01/11/2017</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15,000</w:t>
            </w:r>
            <w:r>
              <w:rPr>
                <w:rFonts w:ascii="Arial" w:cs="Arial" w:eastAsia="Arial" w:hAnsi="Arial"/>
                <w:sz w:val="22"/>
                <w:szCs w:val="22"/>
                <w:color w:val="auto"/>
                <w:vertAlign w:val="superscript"/>
              </w:rPr>
              <w:t>(9)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106.05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475,506</w:t>
            </w:r>
          </w:p>
        </w:tc>
        <w:tc>
          <w:tcPr>
            <w:tcW w:w="0" w:type="dxa"/>
            <w:vAlign w:val="bottom"/>
          </w:tcPr>
          <w:p>
            <w:pPr>
              <w:spacing w:after="0"/>
              <w:rPr>
                <w:sz w:val="1"/>
                <w:szCs w:val="1"/>
                <w:color w:val="auto"/>
              </w:rPr>
            </w:pPr>
          </w:p>
        </w:tc>
      </w:tr>
      <w:tr>
        <w:trPr>
          <w:trHeight w:val="27"/>
        </w:trPr>
        <w:tc>
          <w:tcPr>
            <w:tcW w:w="820" w:type="dxa"/>
            <w:vAlign w:val="bottom"/>
            <w:shd w:val="clear" w:color="auto" w:fill="345988"/>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8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345988"/>
          </w:tcPr>
          <w:p>
            <w:pPr>
              <w:spacing w:after="0"/>
              <w:rPr>
                <w:sz w:val="2"/>
                <w:szCs w:val="2"/>
                <w:color w:val="auto"/>
              </w:rPr>
            </w:pPr>
          </w:p>
        </w:tc>
        <w:tc>
          <w:tcPr>
            <w:tcW w:w="8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8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345988"/>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345988"/>
          </w:tcPr>
          <w:p>
            <w:pPr>
              <w:spacing w:after="0"/>
              <w:rPr>
                <w:sz w:val="2"/>
                <w:szCs w:val="2"/>
                <w:color w:val="auto"/>
              </w:rPr>
            </w:pPr>
          </w:p>
        </w:tc>
        <w:tc>
          <w:tcPr>
            <w:tcW w:w="52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345988"/>
          </w:tcPr>
          <w:p>
            <w:pPr>
              <w:spacing w:after="0"/>
              <w:rPr>
                <w:sz w:val="2"/>
                <w:szCs w:val="2"/>
                <w:color w:val="auto"/>
              </w:rPr>
            </w:pPr>
          </w:p>
        </w:tc>
        <w:tc>
          <w:tcPr>
            <w:tcW w:w="680" w:type="dxa"/>
            <w:vAlign w:val="bottom"/>
            <w:shd w:val="clear" w:color="auto" w:fill="34598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-5346700</wp:posOffset>
            </wp:positionV>
            <wp:extent cx="624840" cy="53390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4840" cy="5339080"/>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-5346700</wp:posOffset>
            </wp:positionV>
            <wp:extent cx="102870" cy="53390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5339080"/>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-5346700</wp:posOffset>
            </wp:positionV>
            <wp:extent cx="102870" cy="53390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870" cy="5339080"/>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-4782185</wp:posOffset>
            </wp:positionV>
            <wp:extent cx="102870" cy="47739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 cy="4773930"/>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-4782185</wp:posOffset>
            </wp:positionV>
            <wp:extent cx="102870" cy="47739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477393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-5346700</wp:posOffset>
            </wp:positionV>
            <wp:extent cx="102870" cy="53390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533908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-4782185</wp:posOffset>
            </wp:positionV>
            <wp:extent cx="102870" cy="47739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477393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-4782185</wp:posOffset>
            </wp:positionV>
            <wp:extent cx="102870" cy="47739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4773930"/>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-5346700</wp:posOffset>
            </wp:positionV>
            <wp:extent cx="102870" cy="53390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5339080"/>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-5346700</wp:posOffset>
            </wp:positionV>
            <wp:extent cx="102870" cy="53390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5339080"/>
                    </a:xfrm>
                    <a:prstGeom prst="rect">
                      <a:avLst/>
                    </a:prstGeom>
                    <a:noFill/>
                  </pic:spPr>
                </pic:pic>
              </a:graphicData>
            </a:graphic>
          </wp:anchor>
        </w:drawing>
        <w:drawing>
          <wp:anchor simplePos="0" relativeHeight="251657728" behindDoc="1" locked="0" layoutInCell="0" allowOverlap="1">
            <wp:simplePos x="0" y="0"/>
            <wp:positionH relativeFrom="column">
              <wp:posOffset>6224905</wp:posOffset>
            </wp:positionH>
            <wp:positionV relativeFrom="paragraph">
              <wp:posOffset>-5346700</wp:posOffset>
            </wp:positionV>
            <wp:extent cx="102870" cy="53390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5339080"/>
                    </a:xfrm>
                    <a:prstGeom prst="rect">
                      <a:avLst/>
                    </a:prstGeom>
                    <a:noFill/>
                  </pic:spPr>
                </pic:pic>
              </a:graphicData>
            </a:graphic>
          </wp:anchor>
        </w:drawing>
        <w:drawing>
          <wp:anchor simplePos="0" relativeHeight="251657728" behindDoc="1" locked="0" layoutInCell="0" allowOverlap="1">
            <wp:simplePos x="0" y="0"/>
            <wp:positionH relativeFrom="column">
              <wp:posOffset>6712585</wp:posOffset>
            </wp:positionH>
            <wp:positionV relativeFrom="paragraph">
              <wp:posOffset>-5346700</wp:posOffset>
            </wp:positionV>
            <wp:extent cx="102870" cy="53390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5339080"/>
                    </a:xfrm>
                    <a:prstGeom prst="rect">
                      <a:avLst/>
                    </a:prstGeom>
                    <a:noFill/>
                  </pic:spPr>
                </pic:pic>
              </a:graphicData>
            </a:graphic>
          </wp:anchor>
        </w:drawing>
      </w:r>
    </w:p>
    <w:p>
      <w:pPr>
        <w:spacing w:after="0" w:line="71" w:lineRule="exact"/>
        <w:rPr>
          <w:sz w:val="20"/>
          <w:szCs w:val="20"/>
          <w:color w:val="auto"/>
        </w:rPr>
      </w:pPr>
    </w:p>
    <w:p>
      <w:pPr>
        <w:ind w:left="360" w:hanging="352"/>
        <w:spacing w:after="0"/>
        <w:tabs>
          <w:tab w:leader="none" w:pos="3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This grant of LTIP units vested immediately upon grant, but remains subject to a two-year restriction on transfer from the date of grant.</w:t>
      </w:r>
    </w:p>
    <w:p>
      <w:pPr>
        <w:sectPr>
          <w:pgSz w:w="11900" w:h="16838" w:orient="portrait"/>
          <w:cols w:equalWidth="0" w:num="1">
            <w:col w:w="11520"/>
          </w:cols>
          <w:pgMar w:left="240" w:top="119" w:right="139" w:bottom="918" w:gutter="0" w:footer="0" w:header="0"/>
          <w:type w:val="continuous"/>
        </w:sectPr>
      </w:pPr>
    </w:p>
    <w:p>
      <w:pPr>
        <w:spacing w:after="0" w:line="212" w:lineRule="exact"/>
        <w:rPr>
          <w:sz w:val="20"/>
          <w:szCs w:val="20"/>
          <w:color w:val="auto"/>
        </w:rPr>
      </w:pPr>
    </w:p>
    <w:p>
      <w:pPr>
        <w:ind w:left="300" w:hanging="292"/>
        <w:spacing w:after="0"/>
        <w:tabs>
          <w:tab w:leader="none" w:pos="300" w:val="left"/>
        </w:tabs>
        <w:numPr>
          <w:ilvl w:val="0"/>
          <w:numId w:val="107"/>
        </w:numPr>
        <w:rPr>
          <w:rFonts w:ascii="Arial" w:cs="Arial" w:eastAsia="Arial" w:hAnsi="Arial"/>
          <w:sz w:val="16"/>
          <w:szCs w:val="16"/>
          <w:color w:val="32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520"/>
          </w:cols>
          <w:pgMar w:left="240" w:top="119" w:right="139" w:bottom="918"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213" w:lineRule="exact"/>
        <w:rPr>
          <w:sz w:val="20"/>
          <w:szCs w:val="20"/>
          <w:color w:val="auto"/>
        </w:rPr>
      </w:pPr>
    </w:p>
    <w:p>
      <w:pPr>
        <w:ind w:left="360" w:right="20" w:hanging="352"/>
        <w:spacing w:after="0" w:line="230" w:lineRule="auto"/>
        <w:tabs>
          <w:tab w:leader="none" w:pos="3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This grant of LTIP units was awarded in connection with Mr. Holliday’s employment agreement, with 50-100% of the LTIP units subject to vesting based on (i) the achievement of either of the following financial performance goals during 2016 (or on a cumulative basis beginning with 2016 through the end of 2019): (A) annual FFO growth or TSR of 5-8% per year or (B) TSR in the top 35-50% of the MSCI US REIT Index and (ii) continued employment through January 17</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of the year following the year as of which the financial performance goals are achieved. This grant is presented in the “All Other Stock Awards: Number of Shares of Stock or Units” column instead of the “Estimated Future Payouts Under Equity Incentive Plan Award” column, because the grant occurred after performance-based vesting was achieved. None of the LTIP units would have vested unless the 50% minimum performance vesting threshold was met. Once vested, these LTIP units remain subject to a restriction on transfer until the earlier of two years after vesting, termination of employment or a change in control.</w:t>
      </w:r>
    </w:p>
    <w:p>
      <w:pPr>
        <w:spacing w:after="0" w:line="78" w:lineRule="exact"/>
        <w:rPr>
          <w:rFonts w:ascii="Arial" w:cs="Arial" w:eastAsia="Arial" w:hAnsi="Arial"/>
          <w:sz w:val="13"/>
          <w:szCs w:val="13"/>
          <w:color w:val="auto"/>
        </w:rPr>
      </w:pPr>
    </w:p>
    <w:p>
      <w:pPr>
        <w:ind w:left="360" w:right="40" w:hanging="352"/>
        <w:spacing w:after="0" w:line="244" w:lineRule="auto"/>
        <w:tabs>
          <w:tab w:leader="none" w:pos="3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Represents awards made under the 2014 Outperformance Plan. See “—Compensation Discussion and Analysis—Terms of the 2014 Outperformance Plan” for a description of the terms of the 2014 Outperformance Plan. The “Maximum ($/#)” column represents the maximum number of LTIP units that could have been earned under the 2014 Outperformance Plan with respect to awards that were granted in 2017 to the named executive officers, which would have been earned if we achieved absolute TSR return of 50% or greater during the performance period under the 2014 Outperformance Plan. The “Threshold ($/#)” column and the “Target ($/#)” column represent the number of LTIP units that would have been earned if we achieved absolute TSR of 25% during the performance period under the 2014 Outperformance Plan, representing the minimum performance that would entitle recipients to awards under the 2014 Outperformance Plan, which our Compensation Committee viewed as the target performance goal when approving the 2014 Outperformance Plan awards. Following the conclusion of the measurement period on August 31, 2017, our Compensation Committee determined that no awards were earned and all of the LTIP units granted under our 2014 Outperformance Plan during both 2017 and 2015 were forfeited.</w:t>
      </w:r>
    </w:p>
    <w:p>
      <w:pPr>
        <w:spacing w:after="0" w:line="77" w:lineRule="exact"/>
        <w:rPr>
          <w:rFonts w:ascii="Arial" w:cs="Arial" w:eastAsia="Arial" w:hAnsi="Arial"/>
          <w:sz w:val="13"/>
          <w:szCs w:val="13"/>
          <w:color w:val="auto"/>
        </w:rPr>
      </w:pPr>
    </w:p>
    <w:p>
      <w:pPr>
        <w:ind w:left="360" w:right="20" w:hanging="352"/>
        <w:spacing w:after="0" w:line="286" w:lineRule="auto"/>
        <w:tabs>
          <w:tab w:leader="none" w:pos="3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This grant of notional stock units was subject to vesting based on continued employment through January 17, 2018. Each stock unit represents the contingent right to receive the value of one share of our common stock in accordance with the terms of a deferred compensation agreement.</w:t>
      </w:r>
    </w:p>
    <w:p>
      <w:pPr>
        <w:spacing w:after="0" w:line="47" w:lineRule="exact"/>
        <w:rPr>
          <w:rFonts w:ascii="Arial" w:cs="Arial" w:eastAsia="Arial" w:hAnsi="Arial"/>
          <w:sz w:val="13"/>
          <w:szCs w:val="13"/>
          <w:color w:val="auto"/>
        </w:rPr>
      </w:pPr>
    </w:p>
    <w:p>
      <w:pPr>
        <w:ind w:left="360" w:right="100" w:hanging="352"/>
        <w:spacing w:after="0" w:line="250" w:lineRule="auto"/>
        <w:tabs>
          <w:tab w:leader="none" w:pos="3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These grants of Class O LTIP units were awarded in connection with the extension of Mr. Holliday’s employment. These grants reflect an award of 52,500 Class O LTIP units with a mandatory conversion date that is 5 years after the date of grant and an award of 52,500 Class O LTIP units that expire 10 years after the date of grant, each of which vests on June 17, 2018. The conversion threshold for the Class O LTIP units, which is equivalent to the exercise price for a stock option, was determined by reference to the fair market value under our Fourth Amended and Restated 2005 Stock Option and Incentive Plan of one share of our common stock, meaning, in this instance, the closing stock price of one share of our common stock on the NYSE on June 16, 2017, the last preceding trading date prior to the grant date.</w:t>
      </w:r>
    </w:p>
    <w:p>
      <w:pPr>
        <w:spacing w:after="0" w:line="70" w:lineRule="exact"/>
        <w:rPr>
          <w:rFonts w:ascii="Arial" w:cs="Arial" w:eastAsia="Arial" w:hAnsi="Arial"/>
          <w:sz w:val="13"/>
          <w:szCs w:val="13"/>
          <w:color w:val="auto"/>
        </w:rPr>
      </w:pPr>
    </w:p>
    <w:p>
      <w:pPr>
        <w:ind w:left="360" w:right="20" w:hanging="352"/>
        <w:spacing w:after="0" w:line="286" w:lineRule="auto"/>
        <w:tabs>
          <w:tab w:leader="none" w:pos="3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This grant of notional stock units was subject to vesting based on continued employment through December 31, 2017. Each stock unit represents the contingent right to receive the value of one share of our common stock in accordance with the terms of a deferred compensation agreement.</w:t>
      </w:r>
    </w:p>
    <w:p>
      <w:pPr>
        <w:spacing w:after="0" w:line="47" w:lineRule="exact"/>
        <w:rPr>
          <w:rFonts w:ascii="Arial" w:cs="Arial" w:eastAsia="Arial" w:hAnsi="Arial"/>
          <w:sz w:val="13"/>
          <w:szCs w:val="13"/>
          <w:color w:val="auto"/>
        </w:rPr>
      </w:pPr>
    </w:p>
    <w:p>
      <w:pPr>
        <w:ind w:left="360" w:right="140" w:hanging="352"/>
        <w:spacing w:after="0" w:line="262" w:lineRule="auto"/>
        <w:tabs>
          <w:tab w:leader="none" w:pos="3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This grant of LTIP units was awarded in connection with the automatic one year extension of Mr. Mathias’s employment agreement and was subject to vesting based on continued employment through December 31, 2017. Once vested, these LTIP units remain subject to a restriction on transfer until the earlier of two years after vesting, termination of employment or a change in control.</w:t>
      </w:r>
    </w:p>
    <w:p>
      <w:pPr>
        <w:spacing w:after="0" w:line="62" w:lineRule="exact"/>
        <w:rPr>
          <w:rFonts w:ascii="Arial" w:cs="Arial" w:eastAsia="Arial" w:hAnsi="Arial"/>
          <w:sz w:val="13"/>
          <w:szCs w:val="13"/>
          <w:color w:val="auto"/>
        </w:rPr>
      </w:pPr>
    </w:p>
    <w:p>
      <w:pPr>
        <w:ind w:left="360" w:right="240" w:hanging="352"/>
        <w:spacing w:after="0" w:line="286" w:lineRule="auto"/>
        <w:tabs>
          <w:tab w:leader="none" w:pos="3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Represents cash payouts that were possible pursuant to the formulaic component of our annual cash bonus program for 2017. See “—Compensation Discussion and Analysis—2017 Pay Outcomes—Annual Cash Bonus Program (Top Three Named Executive Officers)” for a description of these awards.</w:t>
      </w:r>
    </w:p>
    <w:p>
      <w:pPr>
        <w:spacing w:after="0" w:line="47" w:lineRule="exact"/>
        <w:rPr>
          <w:rFonts w:ascii="Arial" w:cs="Arial" w:eastAsia="Arial" w:hAnsi="Arial"/>
          <w:sz w:val="13"/>
          <w:szCs w:val="13"/>
          <w:color w:val="auto"/>
        </w:rPr>
      </w:pPr>
    </w:p>
    <w:p>
      <w:pPr>
        <w:ind w:left="360" w:hanging="352"/>
        <w:spacing w:after="0" w:line="250" w:lineRule="auto"/>
        <w:tabs>
          <w:tab w:leader="none" w:pos="3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These grants reflect an award of 15,000 Class O LTIP units with a mandatory conversion date that is 5 years after the date of grant and an award of 15,000 Class O LTIP units that expire 10 years after the date of grant, each of which vests pro-rata over a three-year period on January 1, 2018, 2019 and 2020, respectively, subject to continued employment through each vesting date. The conversion threshold for the Class O LTIP units, which is equivalent to the exercise price for a stock option, was determined by reference to the fair market value under our Fourth Amended and Restated 2005 Stock Option and Incentive Plan of one share of our common stock, meaning, in this instance, the closing stock price of one share of our common stock on the NYSE on January 10, 2017, the last preceding trading date prior to the grant date.</w:t>
      </w:r>
    </w:p>
    <w:p>
      <w:pPr>
        <w:spacing w:after="0" w:line="70" w:lineRule="exact"/>
        <w:rPr>
          <w:rFonts w:ascii="Arial" w:cs="Arial" w:eastAsia="Arial" w:hAnsi="Arial"/>
          <w:sz w:val="13"/>
          <w:szCs w:val="13"/>
          <w:color w:val="auto"/>
        </w:rPr>
      </w:pPr>
    </w:p>
    <w:p>
      <w:pPr>
        <w:jc w:val="both"/>
        <w:ind w:left="360" w:right="80" w:hanging="352"/>
        <w:spacing w:after="0" w:line="262" w:lineRule="auto"/>
        <w:tabs>
          <w:tab w:leader="none" w:pos="3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Class O LTIP unit grants are presented in the “All Other Option Awards: Number of Securities Underlying Options” column, because Class O LTIP units are economically similar to stock options. See “—Compensation Discussion and Analysis—Other Compensation Policies and Information—Other Matters—LTIP units and Class O LTIP units” for a description of Class O LTIP units.</w:t>
      </w:r>
    </w:p>
    <w:p>
      <w:pPr>
        <w:spacing w:after="0" w:line="168"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Grants of all equity awards were made pursuant to the Fourth Amended and Restated 2005 Stock Option and Incentive Plan. LTIP units that are only subject to time-based vesting based on continued employment through a specified date (and have not been forfeited) generally entitle executives to receive cash dividends, dividend equivalents or distributions whether or not then vested. LTIP units that are subject to performance-based vesting hurdles accrue cash dividends, dividend equivalents or distributions prior to the achievement of these hurdles, and such accrued amounts are only paid to the executives if and when the performance hurdles are met.</w:t>
      </w:r>
    </w:p>
    <w:p>
      <w:pPr>
        <w:spacing w:after="0" w:line="1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See “Potential Payments Upon Termination or a Change in Control” below, for a discussion regarding potential acceleration of the equity awards and a description of the material terms of each named executive officer’s employment agreement.</w:t>
      </w:r>
    </w:p>
    <w:p>
      <w:pPr>
        <w:spacing w:after="0" w:line="158"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345988"/>
        </w:rPr>
        <w:t>Outstanding Equity Awards at Fiscal Year-End 2017</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sets forth certain information with respect to outstanding equity awards held by each named executive officer at the fiscal year ended December 31,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345988"/>
            </w:tcBorders>
          </w:tcPr>
          <w:p>
            <w:pPr>
              <w:spacing w:after="0"/>
              <w:rPr>
                <w:sz w:val="17"/>
                <w:szCs w:val="17"/>
                <w:color w:val="auto"/>
              </w:rPr>
            </w:pPr>
          </w:p>
        </w:tc>
        <w:tc>
          <w:tcPr>
            <w:tcW w:w="100" w:type="dxa"/>
            <w:vAlign w:val="bottom"/>
            <w:tcBorders>
              <w:bottom w:val="single" w:sz="8" w:color="345988"/>
            </w:tcBorders>
          </w:tcPr>
          <w:p>
            <w:pPr>
              <w:spacing w:after="0"/>
              <w:rPr>
                <w:sz w:val="17"/>
                <w:szCs w:val="17"/>
                <w:color w:val="auto"/>
              </w:rPr>
            </w:pPr>
          </w:p>
        </w:tc>
        <w:tc>
          <w:tcPr>
            <w:tcW w:w="1900" w:type="dxa"/>
            <w:vAlign w:val="bottom"/>
            <w:tcBorders>
              <w:bottom w:val="single" w:sz="8" w:color="345988"/>
            </w:tcBorders>
            <w:gridSpan w:val="5"/>
          </w:tcPr>
          <w:p>
            <w:pPr>
              <w:jc w:val="right"/>
              <w:ind w:right="480"/>
              <w:spacing w:after="0"/>
              <w:rPr>
                <w:sz w:val="20"/>
                <w:szCs w:val="20"/>
                <w:color w:val="auto"/>
              </w:rPr>
            </w:pPr>
            <w:r>
              <w:rPr>
                <w:rFonts w:ascii="Arial" w:cs="Arial" w:eastAsia="Arial" w:hAnsi="Arial"/>
                <w:sz w:val="13"/>
                <w:szCs w:val="13"/>
                <w:b w:val="1"/>
                <w:bCs w:val="1"/>
                <w:color w:val="345988"/>
              </w:rPr>
              <w:t>Option Awards</w:t>
            </w:r>
          </w:p>
        </w:tc>
        <w:tc>
          <w:tcPr>
            <w:tcW w:w="880" w:type="dxa"/>
            <w:vAlign w:val="bottom"/>
            <w:tcBorders>
              <w:bottom w:val="single" w:sz="8" w:color="345988"/>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345988"/>
            </w:tcBorders>
          </w:tcPr>
          <w:p>
            <w:pPr>
              <w:spacing w:after="0"/>
              <w:rPr>
                <w:sz w:val="17"/>
                <w:szCs w:val="17"/>
                <w:color w:val="auto"/>
              </w:rPr>
            </w:pPr>
          </w:p>
        </w:tc>
        <w:tc>
          <w:tcPr>
            <w:tcW w:w="120" w:type="dxa"/>
            <w:vAlign w:val="bottom"/>
            <w:tcBorders>
              <w:bottom w:val="single" w:sz="8" w:color="345988"/>
            </w:tcBorders>
          </w:tcPr>
          <w:p>
            <w:pPr>
              <w:spacing w:after="0"/>
              <w:rPr>
                <w:sz w:val="17"/>
                <w:szCs w:val="17"/>
                <w:color w:val="auto"/>
              </w:rPr>
            </w:pPr>
          </w:p>
        </w:tc>
        <w:tc>
          <w:tcPr>
            <w:tcW w:w="100" w:type="dxa"/>
            <w:vAlign w:val="bottom"/>
            <w:tcBorders>
              <w:bottom w:val="single" w:sz="8" w:color="345988"/>
            </w:tcBorders>
          </w:tcPr>
          <w:p>
            <w:pPr>
              <w:spacing w:after="0"/>
              <w:rPr>
                <w:sz w:val="17"/>
                <w:szCs w:val="17"/>
                <w:color w:val="auto"/>
              </w:rPr>
            </w:pPr>
          </w:p>
        </w:tc>
        <w:tc>
          <w:tcPr>
            <w:tcW w:w="1980" w:type="dxa"/>
            <w:vAlign w:val="bottom"/>
            <w:tcBorders>
              <w:bottom w:val="single" w:sz="8" w:color="345988"/>
            </w:tcBorders>
            <w:gridSpan w:val="4"/>
          </w:tcPr>
          <w:p>
            <w:pPr>
              <w:jc w:val="right"/>
              <w:ind w:right="600"/>
              <w:spacing w:after="0"/>
              <w:rPr>
                <w:sz w:val="20"/>
                <w:szCs w:val="20"/>
                <w:color w:val="auto"/>
              </w:rPr>
            </w:pPr>
            <w:r>
              <w:rPr>
                <w:rFonts w:ascii="Arial" w:cs="Arial" w:eastAsia="Arial" w:hAnsi="Arial"/>
                <w:sz w:val="13"/>
                <w:szCs w:val="13"/>
                <w:b w:val="1"/>
                <w:bCs w:val="1"/>
                <w:color w:val="345988"/>
              </w:rPr>
              <w:t>Stock Awards</w:t>
            </w:r>
          </w:p>
        </w:tc>
        <w:tc>
          <w:tcPr>
            <w:tcW w:w="100" w:type="dxa"/>
            <w:vAlign w:val="bottom"/>
            <w:tcBorders>
              <w:bottom w:val="single" w:sz="8" w:color="345988"/>
            </w:tcBorders>
          </w:tcPr>
          <w:p>
            <w:pPr>
              <w:spacing w:after="0"/>
              <w:rPr>
                <w:sz w:val="17"/>
                <w:szCs w:val="17"/>
                <w:color w:val="auto"/>
              </w:rPr>
            </w:pPr>
          </w:p>
        </w:tc>
        <w:tc>
          <w:tcPr>
            <w:tcW w:w="740" w:type="dxa"/>
            <w:vAlign w:val="bottom"/>
            <w:tcBorders>
              <w:bottom w:val="single" w:sz="8" w:color="34598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b w:val="1"/>
                <w:bCs w:val="1"/>
                <w:color w:val="345988"/>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Incentive</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Plan</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45988"/>
              </w:rPr>
              <w:t>Equity</w:t>
            </w:r>
          </w:p>
        </w:tc>
        <w:tc>
          <w:tcPr>
            <w:tcW w:w="1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345988"/>
              </w:rPr>
              <w:t>Awards:</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Incentive</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Market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Plan Awards:</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or Payout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345988"/>
              </w:rPr>
              <w:t>Market</w:t>
            </w:r>
          </w:p>
        </w:tc>
        <w:tc>
          <w:tcPr>
            <w:tcW w:w="9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Number of</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Value of</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345988"/>
              </w:rPr>
              <w:t>Number of</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345988"/>
              </w:rPr>
              <w:t>Number of</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345988"/>
              </w:rPr>
              <w:t>Number</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Unearned</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Unearned</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Value of</w:t>
            </w:r>
          </w:p>
        </w:tc>
        <w:tc>
          <w:tcPr>
            <w:tcW w:w="9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Shares, Units</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Shares</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Securities</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Securities</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345988"/>
              </w:rPr>
              <w:t>Option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of Shares</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Shares or</w:t>
            </w:r>
          </w:p>
        </w:tc>
        <w:tc>
          <w:tcPr>
            <w:tcW w:w="9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or Other</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or Units</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Underlying</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Underlying</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345988"/>
              </w:rPr>
              <w:t>Option</w:t>
            </w: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or Units of</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Units of</w:t>
            </w:r>
          </w:p>
        </w:tc>
        <w:tc>
          <w:tcPr>
            <w:tcW w:w="9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Rights That</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or Other</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Unexercised</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Unexercised</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Exercise</w:t>
            </w:r>
          </w:p>
        </w:tc>
        <w:tc>
          <w:tcPr>
            <w:tcW w:w="980" w:type="dxa"/>
            <w:vAlign w:val="bottom"/>
            <w:gridSpan w:val="2"/>
            <w:vMerge w:val="continue"/>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Stock That</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Stock That</w:t>
            </w:r>
          </w:p>
        </w:tc>
        <w:tc>
          <w:tcPr>
            <w:tcW w:w="9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Have Not</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Rights that</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Options (#)</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Options (#)</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Price</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Expiration</w:t>
            </w: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Have Not</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Have Not</w:t>
            </w:r>
          </w:p>
        </w:tc>
        <w:tc>
          <w:tcPr>
            <w:tcW w:w="98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Vested</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Have Not</w:t>
            </w:r>
          </w:p>
        </w:tc>
        <w:tc>
          <w:tcPr>
            <w:tcW w:w="0" w:type="dxa"/>
            <w:vAlign w:val="bottom"/>
          </w:tcPr>
          <w:p>
            <w:pPr>
              <w:spacing w:after="0"/>
              <w:rPr>
                <w:sz w:val="1"/>
                <w:szCs w:val="1"/>
                <w:color w:val="auto"/>
              </w:rPr>
            </w:pPr>
          </w:p>
        </w:tc>
      </w:tr>
      <w:tr>
        <w:trPr>
          <w:trHeight w:val="209"/>
        </w:trPr>
        <w:tc>
          <w:tcPr>
            <w:tcW w:w="3840" w:type="dxa"/>
            <w:vAlign w:val="bottom"/>
            <w:gridSpan w:val="2"/>
            <w:vMerge w:val="continue"/>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45988"/>
              </w:rPr>
              <w:t>Exercisable</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45988"/>
              </w:rPr>
              <w:t>Unexercisable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345988"/>
              </w:rPr>
              <w:t>($)</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45988"/>
              </w:rPr>
              <w:t>Date</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3"/>
                <w:szCs w:val="13"/>
                <w:b w:val="1"/>
                <w:bCs w:val="1"/>
                <w:color w:val="345988"/>
                <w:w w:val="94"/>
              </w:rPr>
              <w:t>Vested(#)</w:t>
            </w:r>
            <w:r>
              <w:rPr>
                <w:rFonts w:ascii="Arial" w:cs="Arial" w:eastAsia="Arial" w:hAnsi="Arial"/>
                <w:sz w:val="22"/>
                <w:szCs w:val="22"/>
                <w:b w:val="1"/>
                <w:bCs w:val="1"/>
                <w:color w:val="345988"/>
                <w:w w:val="94"/>
                <w:vertAlign w:val="superscript"/>
              </w:rPr>
              <w:t>(1)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3"/>
                <w:szCs w:val="13"/>
                <w:b w:val="1"/>
                <w:bCs w:val="1"/>
                <w:color w:val="345988"/>
              </w:rPr>
              <w:t>Vested</w:t>
            </w:r>
            <w:r>
              <w:rPr>
                <w:rFonts w:ascii="Arial" w:cs="Arial" w:eastAsia="Arial" w:hAnsi="Arial"/>
                <w:sz w:val="22"/>
                <w:szCs w:val="22"/>
                <w:b w:val="1"/>
                <w:bCs w:val="1"/>
                <w:color w:val="345988"/>
                <w:vertAlign w:val="superscript"/>
              </w:rPr>
              <w:t>(2)</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45988"/>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3"/>
                <w:szCs w:val="13"/>
                <w:b w:val="1"/>
                <w:bCs w:val="1"/>
                <w:color w:val="345988"/>
              </w:rPr>
              <w:t>Vested</w:t>
            </w:r>
            <w:r>
              <w:rPr>
                <w:rFonts w:ascii="Arial" w:cs="Arial" w:eastAsia="Arial" w:hAnsi="Arial"/>
                <w:sz w:val="22"/>
                <w:szCs w:val="22"/>
                <w:b w:val="1"/>
                <w:bCs w:val="1"/>
                <w:color w:val="345988"/>
                <w:vertAlign w:val="superscript"/>
              </w:rPr>
              <w:t>(2)</w:t>
            </w:r>
          </w:p>
        </w:tc>
        <w:tc>
          <w:tcPr>
            <w:tcW w:w="0" w:type="dxa"/>
            <w:vAlign w:val="bottom"/>
          </w:tcPr>
          <w:p>
            <w:pPr>
              <w:spacing w:after="0"/>
              <w:rPr>
                <w:sz w:val="1"/>
                <w:szCs w:val="1"/>
                <w:color w:val="auto"/>
              </w:rPr>
            </w:pPr>
          </w:p>
        </w:tc>
      </w:tr>
      <w:tr>
        <w:trPr>
          <w:trHeight w:val="240"/>
        </w:trPr>
        <w:tc>
          <w:tcPr>
            <w:tcW w:w="374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auto"/>
              </w:rPr>
              <w:t>Marc Holliday</w:t>
            </w:r>
          </w:p>
        </w:tc>
        <w:tc>
          <w:tcPr>
            <w:tcW w:w="100" w:type="dxa"/>
            <w:vAlign w:val="bottom"/>
          </w:tcPr>
          <w:p>
            <w:pPr>
              <w:spacing w:after="0"/>
              <w:rPr>
                <w:sz w:val="20"/>
                <w:szCs w:val="20"/>
                <w:color w:val="auto"/>
              </w:rPr>
            </w:pPr>
          </w:p>
        </w:tc>
        <w:tc>
          <w:tcPr>
            <w:tcW w:w="82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c>
          <w:tcPr>
            <w:tcW w:w="920" w:type="dxa"/>
            <w:vAlign w:val="bottom"/>
            <w:tcBorders>
              <w:top w:val="single" w:sz="8" w:color="345988"/>
              <w:bottom w:val="single" w:sz="8" w:color="8590A9"/>
            </w:tcBorders>
            <w:shd w:val="clear" w:color="auto" w:fill="D0D3DB"/>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79"/>
              </w:rPr>
              <w:t>$</w:t>
            </w:r>
          </w:p>
        </w:tc>
        <w:tc>
          <w:tcPr>
            <w:tcW w:w="64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rPr>
              <w:t>76.65</w:t>
            </w:r>
          </w:p>
        </w:tc>
        <w:tc>
          <w:tcPr>
            <w:tcW w:w="120" w:type="dxa"/>
            <w:vAlign w:val="bottom"/>
          </w:tcPr>
          <w:p>
            <w:pPr>
              <w:spacing w:after="0"/>
              <w:rPr>
                <w:sz w:val="20"/>
                <w:szCs w:val="20"/>
                <w:color w:val="auto"/>
              </w:rPr>
            </w:pPr>
          </w:p>
        </w:tc>
        <w:tc>
          <w:tcPr>
            <w:tcW w:w="88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95"/>
              </w:rPr>
              <w:t>01/02/2023</w:t>
            </w:r>
          </w:p>
        </w:tc>
        <w:tc>
          <w:tcPr>
            <w:tcW w:w="100" w:type="dxa"/>
            <w:vAlign w:val="bottom"/>
          </w:tcPr>
          <w:p>
            <w:pPr>
              <w:spacing w:after="0"/>
              <w:rPr>
                <w:sz w:val="20"/>
                <w:szCs w:val="20"/>
                <w:color w:val="auto"/>
              </w:rPr>
            </w:pPr>
          </w:p>
        </w:tc>
        <w:tc>
          <w:tcPr>
            <w:tcW w:w="74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6,956</w:t>
            </w:r>
          </w:p>
        </w:tc>
        <w:tc>
          <w:tcPr>
            <w:tcW w:w="120" w:type="dxa"/>
            <w:vAlign w:val="bottom"/>
          </w:tcPr>
          <w:p>
            <w:pPr>
              <w:spacing w:after="0"/>
              <w:rPr>
                <w:sz w:val="20"/>
                <w:szCs w:val="20"/>
                <w:color w:val="auto"/>
              </w:rPr>
            </w:pPr>
          </w:p>
        </w:tc>
        <w:tc>
          <w:tcPr>
            <w:tcW w:w="10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79"/>
              </w:rPr>
              <w:t>$</w:t>
            </w:r>
          </w:p>
        </w:tc>
        <w:tc>
          <w:tcPr>
            <w:tcW w:w="90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rPr>
              <w:t>702,069</w:t>
            </w:r>
          </w:p>
        </w:tc>
        <w:tc>
          <w:tcPr>
            <w:tcW w:w="100" w:type="dxa"/>
            <w:vAlign w:val="bottom"/>
          </w:tcPr>
          <w:p>
            <w:pPr>
              <w:spacing w:after="0"/>
              <w:rPr>
                <w:sz w:val="20"/>
                <w:szCs w:val="20"/>
                <w:color w:val="auto"/>
              </w:rPr>
            </w:pPr>
          </w:p>
        </w:tc>
        <w:tc>
          <w:tcPr>
            <w:tcW w:w="86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345988"/>
              <w:bottom w:val="single" w:sz="8" w:color="8590A9"/>
            </w:tcBorders>
            <w:shd w:val="clear" w:color="auto" w:fill="D0D3DB"/>
          </w:tcPr>
          <w:p>
            <w:pPr>
              <w:spacing w:after="0"/>
              <w:rPr>
                <w:sz w:val="20"/>
                <w:szCs w:val="20"/>
                <w:color w:val="auto"/>
              </w:rPr>
            </w:pPr>
          </w:p>
        </w:tc>
        <w:tc>
          <w:tcPr>
            <w:tcW w:w="74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40" w:type="dxa"/>
            <w:vAlign w:val="bottom"/>
            <w:tcBorders>
              <w:bottom w:val="single" w:sz="8" w:color="8590A9"/>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99.86</w:t>
            </w:r>
          </w:p>
        </w:tc>
        <w:tc>
          <w:tcPr>
            <w:tcW w:w="120" w:type="dxa"/>
            <w:vAlign w:val="bottom"/>
          </w:tcPr>
          <w:p>
            <w:pPr>
              <w:spacing w:after="0"/>
              <w:rPr>
                <w:sz w:val="20"/>
                <w:szCs w:val="20"/>
                <w:color w:val="auto"/>
              </w:rPr>
            </w:pP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5"/>
              </w:rPr>
              <w:t>06/17/2021</w:t>
            </w:r>
          </w:p>
        </w:tc>
        <w:tc>
          <w:tcPr>
            <w:tcW w:w="100" w:type="dxa"/>
            <w:vAlign w:val="bottom"/>
          </w:tcPr>
          <w:p>
            <w:pPr>
              <w:spacing w:after="0"/>
              <w:rPr>
                <w:sz w:val="20"/>
                <w:szCs w:val="20"/>
                <w:color w:val="auto"/>
              </w:rPr>
            </w:pPr>
          </w:p>
        </w:tc>
        <w:tc>
          <w:tcPr>
            <w:tcW w:w="740" w:type="dxa"/>
            <w:vAlign w:val="bottom"/>
            <w:tcBorders>
              <w:bottom w:val="single" w:sz="8" w:color="8590A9"/>
            </w:tcBorders>
          </w:tcPr>
          <w:p>
            <w:pPr>
              <w:ind w:left="580"/>
              <w:spacing w:after="0"/>
              <w:rPr>
                <w:sz w:val="20"/>
                <w:szCs w:val="20"/>
                <w:color w:val="auto"/>
              </w:rPr>
            </w:pPr>
            <w:r>
              <w:rPr>
                <w:rFonts w:ascii="Arial" w:cs="Arial" w:eastAsia="Arial" w:hAnsi="Arial"/>
                <w:sz w:val="18"/>
                <w:szCs w:val="18"/>
                <w:color w:val="auto"/>
                <w:w w:val="77"/>
              </w:rPr>
              <w:t>—</w:t>
            </w:r>
          </w:p>
        </w:tc>
        <w:tc>
          <w:tcPr>
            <w:tcW w:w="120" w:type="dxa"/>
            <w:vAlign w:val="bottom"/>
          </w:tcPr>
          <w:p>
            <w:pPr>
              <w:spacing w:after="0"/>
              <w:rPr>
                <w:sz w:val="20"/>
                <w:szCs w:val="20"/>
                <w:color w:val="auto"/>
              </w:rPr>
            </w:pPr>
          </w:p>
        </w:tc>
        <w:tc>
          <w:tcPr>
            <w:tcW w:w="100" w:type="dxa"/>
            <w:vAlign w:val="bottom"/>
            <w:tcBorders>
              <w:bottom w:val="single" w:sz="8" w:color="8590A9"/>
            </w:tcBorders>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8590A9"/>
            </w:tcBorders>
          </w:tcPr>
          <w:p>
            <w:pPr>
              <w:spacing w:after="0"/>
              <w:rPr>
                <w:sz w:val="20"/>
                <w:szCs w:val="20"/>
                <w:color w:val="auto"/>
              </w:rPr>
            </w:pPr>
          </w:p>
        </w:tc>
        <w:tc>
          <w:tcPr>
            <w:tcW w:w="7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40" w:type="dxa"/>
            <w:vAlign w:val="bottom"/>
            <w:tcBorders>
              <w:bottom w:val="single" w:sz="8" w:color="8590A9"/>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99.86</w:t>
            </w:r>
          </w:p>
        </w:tc>
        <w:tc>
          <w:tcPr>
            <w:tcW w:w="120" w:type="dxa"/>
            <w:vAlign w:val="bottom"/>
          </w:tcPr>
          <w:p>
            <w:pPr>
              <w:spacing w:after="0"/>
              <w:rPr>
                <w:sz w:val="20"/>
                <w:szCs w:val="20"/>
                <w:color w:val="auto"/>
              </w:rPr>
            </w:pP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5"/>
              </w:rPr>
              <w:t>06/17/2026</w:t>
            </w:r>
          </w:p>
        </w:tc>
        <w:tc>
          <w:tcPr>
            <w:tcW w:w="100" w:type="dxa"/>
            <w:vAlign w:val="bottom"/>
          </w:tcPr>
          <w:p>
            <w:pPr>
              <w:spacing w:after="0"/>
              <w:rPr>
                <w:sz w:val="20"/>
                <w:szCs w:val="20"/>
                <w:color w:val="auto"/>
              </w:rPr>
            </w:pPr>
          </w:p>
        </w:tc>
        <w:tc>
          <w:tcPr>
            <w:tcW w:w="740" w:type="dxa"/>
            <w:vAlign w:val="bottom"/>
            <w:tcBorders>
              <w:bottom w:val="single" w:sz="8" w:color="8590A9"/>
            </w:tcBorders>
          </w:tcPr>
          <w:p>
            <w:pPr>
              <w:ind w:left="580"/>
              <w:spacing w:after="0"/>
              <w:rPr>
                <w:sz w:val="20"/>
                <w:szCs w:val="20"/>
                <w:color w:val="auto"/>
              </w:rPr>
            </w:pPr>
            <w:r>
              <w:rPr>
                <w:rFonts w:ascii="Arial" w:cs="Arial" w:eastAsia="Arial" w:hAnsi="Arial"/>
                <w:sz w:val="18"/>
                <w:szCs w:val="18"/>
                <w:color w:val="auto"/>
                <w:w w:val="77"/>
              </w:rPr>
              <w:t>—</w:t>
            </w:r>
          </w:p>
        </w:tc>
        <w:tc>
          <w:tcPr>
            <w:tcW w:w="120" w:type="dxa"/>
            <w:vAlign w:val="bottom"/>
          </w:tcPr>
          <w:p>
            <w:pPr>
              <w:spacing w:after="0"/>
              <w:rPr>
                <w:sz w:val="20"/>
                <w:szCs w:val="20"/>
                <w:color w:val="auto"/>
              </w:rPr>
            </w:pPr>
          </w:p>
        </w:tc>
        <w:tc>
          <w:tcPr>
            <w:tcW w:w="100" w:type="dxa"/>
            <w:vAlign w:val="bottom"/>
            <w:tcBorders>
              <w:bottom w:val="single" w:sz="8" w:color="8590A9"/>
            </w:tcBorders>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8590A9"/>
            </w:tcBorders>
          </w:tcPr>
          <w:p>
            <w:pPr>
              <w:spacing w:after="0"/>
              <w:rPr>
                <w:sz w:val="20"/>
                <w:szCs w:val="20"/>
                <w:color w:val="auto"/>
              </w:rPr>
            </w:pPr>
          </w:p>
        </w:tc>
        <w:tc>
          <w:tcPr>
            <w:tcW w:w="7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00"/>
              <w:spacing w:after="0" w:line="306" w:lineRule="exact"/>
              <w:rPr>
                <w:sz w:val="20"/>
                <w:szCs w:val="20"/>
                <w:color w:val="auto"/>
              </w:rPr>
            </w:pPr>
            <w:r>
              <w:rPr>
                <w:rFonts w:ascii="Arial" w:cs="Arial" w:eastAsia="Arial" w:hAnsi="Arial"/>
                <w:sz w:val="18"/>
                <w:szCs w:val="18"/>
                <w:color w:val="auto"/>
              </w:rPr>
              <w:t>52,500</w:t>
            </w:r>
            <w:r>
              <w:rPr>
                <w:rFonts w:ascii="Arial" w:cs="Arial" w:eastAsia="Arial" w:hAnsi="Arial"/>
                <w:sz w:val="29"/>
                <w:szCs w:val="29"/>
                <w:color w:val="auto"/>
                <w:vertAlign w:val="superscript"/>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105.73</w:t>
            </w: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06/17/2022</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740" w:type="dxa"/>
            <w:vAlign w:val="bottom"/>
            <w:shd w:val="clear" w:color="auto" w:fill="8590A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00"/>
              <w:spacing w:after="0" w:line="303" w:lineRule="exact"/>
              <w:rPr>
                <w:sz w:val="20"/>
                <w:szCs w:val="20"/>
                <w:color w:val="auto"/>
              </w:rPr>
            </w:pPr>
            <w:r>
              <w:rPr>
                <w:rFonts w:ascii="Arial" w:cs="Arial" w:eastAsia="Arial" w:hAnsi="Arial"/>
                <w:sz w:val="18"/>
                <w:szCs w:val="18"/>
                <w:color w:val="auto"/>
              </w:rPr>
              <w:t>52,500</w:t>
            </w:r>
            <w:r>
              <w:rPr>
                <w:rFonts w:ascii="Arial" w:cs="Arial" w:eastAsia="Arial" w:hAnsi="Arial"/>
                <w:sz w:val="29"/>
                <w:szCs w:val="29"/>
                <w:color w:val="auto"/>
                <w:vertAlign w:val="superscript"/>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105.73</w:t>
            </w: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06/17/2027</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374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color w:val="auto"/>
              </w:rPr>
              <w:t>Stephen L. Green</w:t>
            </w:r>
          </w:p>
        </w:tc>
        <w:tc>
          <w:tcPr>
            <w:tcW w:w="100" w:type="dxa"/>
            <w:vAlign w:val="bottom"/>
          </w:tcPr>
          <w:p>
            <w:pPr>
              <w:spacing w:after="0"/>
              <w:rPr>
                <w:sz w:val="20"/>
                <w:szCs w:val="20"/>
                <w:color w:val="auto"/>
              </w:rPr>
            </w:pPr>
          </w:p>
        </w:tc>
        <w:tc>
          <w:tcPr>
            <w:tcW w:w="8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8590A9"/>
              <w:bottom w:val="single" w:sz="8" w:color="8590A9"/>
            </w:tcBorders>
            <w:shd w:val="clear" w:color="auto" w:fill="D0D3DB"/>
          </w:tcPr>
          <w:p>
            <w:pPr>
              <w:spacing w:after="0"/>
              <w:rPr>
                <w:sz w:val="20"/>
                <w:szCs w:val="20"/>
                <w:color w:val="auto"/>
              </w:rPr>
            </w:pPr>
          </w:p>
        </w:tc>
        <w:tc>
          <w:tcPr>
            <w:tcW w:w="6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Borders>
              <w:top w:val="single" w:sz="8" w:color="8590A9"/>
              <w:bottom w:val="single" w:sz="8" w:color="8590A9"/>
            </w:tcBorders>
            <w:shd w:val="clear" w:color="auto" w:fill="D0D3DB"/>
          </w:tcPr>
          <w:p>
            <w:pPr>
              <w:ind w:left="580"/>
              <w:spacing w:after="0"/>
              <w:rPr>
                <w:sz w:val="20"/>
                <w:szCs w:val="20"/>
                <w:color w:val="auto"/>
              </w:rPr>
            </w:pPr>
            <w:r>
              <w:rPr>
                <w:rFonts w:ascii="Arial" w:cs="Arial" w:eastAsia="Arial" w:hAnsi="Arial"/>
                <w:sz w:val="18"/>
                <w:szCs w:val="18"/>
                <w:color w:val="auto"/>
                <w:w w:val="77"/>
              </w:rPr>
              <w:t>—</w:t>
            </w:r>
          </w:p>
        </w:tc>
        <w:tc>
          <w:tcPr>
            <w:tcW w:w="120" w:type="dxa"/>
            <w:vAlign w:val="bottom"/>
          </w:tcPr>
          <w:p>
            <w:pPr>
              <w:spacing w:after="0"/>
              <w:rPr>
                <w:sz w:val="20"/>
                <w:szCs w:val="20"/>
                <w:color w:val="auto"/>
              </w:rPr>
            </w:pPr>
          </w:p>
        </w:tc>
        <w:tc>
          <w:tcPr>
            <w:tcW w:w="100" w:type="dxa"/>
            <w:vAlign w:val="bottom"/>
            <w:tcBorders>
              <w:top w:val="single" w:sz="8" w:color="8590A9"/>
              <w:bottom w:val="single" w:sz="8" w:color="8590A9"/>
            </w:tcBorders>
            <w:shd w:val="clear" w:color="auto" w:fill="D0D3DB"/>
          </w:tcPr>
          <w:p>
            <w:pPr>
              <w:spacing w:after="0"/>
              <w:rPr>
                <w:sz w:val="20"/>
                <w:szCs w:val="20"/>
                <w:color w:val="auto"/>
              </w:rPr>
            </w:pPr>
          </w:p>
        </w:tc>
        <w:tc>
          <w:tcPr>
            <w:tcW w:w="9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8590A9"/>
              <w:bottom w:val="single" w:sz="8" w:color="8590A9"/>
            </w:tcBorders>
            <w:shd w:val="clear" w:color="auto" w:fill="D0D3DB"/>
          </w:tcPr>
          <w:p>
            <w:pPr>
              <w:spacing w:after="0"/>
              <w:rPr>
                <w:sz w:val="20"/>
                <w:szCs w:val="20"/>
                <w:color w:val="auto"/>
              </w:rPr>
            </w:pPr>
          </w:p>
        </w:tc>
        <w:tc>
          <w:tcPr>
            <w:tcW w:w="7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Andrew Mathias</w:t>
            </w:r>
          </w:p>
        </w:tc>
        <w:tc>
          <w:tcPr>
            <w:tcW w:w="100" w:type="dxa"/>
            <w:vAlign w:val="bottom"/>
          </w:tcPr>
          <w:p>
            <w:pPr>
              <w:spacing w:after="0"/>
              <w:rPr>
                <w:sz w:val="20"/>
                <w:szCs w:val="20"/>
                <w:color w:val="auto"/>
              </w:rPr>
            </w:pPr>
          </w:p>
        </w:tc>
        <w:tc>
          <w:tcPr>
            <w:tcW w:w="82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0"/>
                <w:szCs w:val="20"/>
                <w:color w:val="auto"/>
              </w:rPr>
            </w:pPr>
          </w:p>
        </w:tc>
        <w:tc>
          <w:tcPr>
            <w:tcW w:w="92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91.43</w:t>
            </w:r>
          </w:p>
        </w:tc>
        <w:tc>
          <w:tcPr>
            <w:tcW w:w="120" w:type="dxa"/>
            <w:vAlign w:val="bottom"/>
          </w:tcPr>
          <w:p>
            <w:pPr>
              <w:spacing w:after="0"/>
              <w:rPr>
                <w:sz w:val="20"/>
                <w:szCs w:val="20"/>
                <w:color w:val="auto"/>
              </w:rPr>
            </w:pPr>
          </w:p>
        </w:tc>
        <w:tc>
          <w:tcPr>
            <w:tcW w:w="88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95"/>
              </w:rPr>
              <w:t>11/08/2018</w:t>
            </w:r>
          </w:p>
        </w:tc>
        <w:tc>
          <w:tcPr>
            <w:tcW w:w="100" w:type="dxa"/>
            <w:vAlign w:val="bottom"/>
          </w:tcPr>
          <w:p>
            <w:pPr>
              <w:spacing w:after="0"/>
              <w:rPr>
                <w:sz w:val="20"/>
                <w:szCs w:val="20"/>
                <w:color w:val="auto"/>
              </w:rPr>
            </w:pPr>
          </w:p>
        </w:tc>
        <w:tc>
          <w:tcPr>
            <w:tcW w:w="740" w:type="dxa"/>
            <w:vAlign w:val="bottom"/>
            <w:tcBorders>
              <w:bottom w:val="single" w:sz="8" w:color="8590A9"/>
            </w:tcBorders>
            <w:shd w:val="clear" w:color="auto" w:fill="D0D3DB"/>
          </w:tcPr>
          <w:p>
            <w:pPr>
              <w:ind w:left="580"/>
              <w:spacing w:after="0"/>
              <w:rPr>
                <w:sz w:val="20"/>
                <w:szCs w:val="20"/>
                <w:color w:val="auto"/>
              </w:rPr>
            </w:pPr>
            <w:r>
              <w:rPr>
                <w:rFonts w:ascii="Arial" w:cs="Arial" w:eastAsia="Arial" w:hAnsi="Arial"/>
                <w:sz w:val="18"/>
                <w:szCs w:val="18"/>
                <w:color w:val="auto"/>
                <w:w w:val="77"/>
              </w:rPr>
              <w:t>—</w:t>
            </w:r>
          </w:p>
        </w:tc>
        <w:tc>
          <w:tcPr>
            <w:tcW w:w="120" w:type="dxa"/>
            <w:vAlign w:val="bottom"/>
          </w:tcPr>
          <w:p>
            <w:pPr>
              <w:spacing w:after="0"/>
              <w:rPr>
                <w:sz w:val="20"/>
                <w:szCs w:val="20"/>
                <w:color w:val="auto"/>
              </w:rPr>
            </w:pPr>
          </w:p>
        </w:tc>
        <w:tc>
          <w:tcPr>
            <w:tcW w:w="100" w:type="dxa"/>
            <w:vAlign w:val="bottom"/>
            <w:tcBorders>
              <w:bottom w:val="single" w:sz="8" w:color="8590A9"/>
            </w:tcBorders>
            <w:shd w:val="clear" w:color="auto" w:fill="D0D3DB"/>
          </w:tcPr>
          <w:p>
            <w:pPr>
              <w:spacing w:after="0"/>
              <w:rPr>
                <w:sz w:val="20"/>
                <w:szCs w:val="20"/>
                <w:color w:val="auto"/>
              </w:rPr>
            </w:pPr>
          </w:p>
        </w:tc>
        <w:tc>
          <w:tcPr>
            <w:tcW w:w="90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8590A9"/>
            </w:tcBorders>
            <w:shd w:val="clear" w:color="auto" w:fill="D0D3DB"/>
          </w:tcPr>
          <w:p>
            <w:pPr>
              <w:spacing w:after="0"/>
              <w:rPr>
                <w:sz w:val="20"/>
                <w:szCs w:val="20"/>
                <w:color w:val="auto"/>
              </w:rPr>
            </w:pPr>
          </w:p>
        </w:tc>
        <w:tc>
          <w:tcPr>
            <w:tcW w:w="74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40" w:type="dxa"/>
            <w:vAlign w:val="bottom"/>
            <w:tcBorders>
              <w:bottom w:val="single" w:sz="8" w:color="8590A9"/>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91.43</w:t>
            </w:r>
          </w:p>
        </w:tc>
        <w:tc>
          <w:tcPr>
            <w:tcW w:w="120" w:type="dxa"/>
            <w:vAlign w:val="bottom"/>
          </w:tcPr>
          <w:p>
            <w:pPr>
              <w:spacing w:after="0"/>
              <w:rPr>
                <w:sz w:val="20"/>
                <w:szCs w:val="20"/>
                <w:color w:val="auto"/>
              </w:rPr>
            </w:pP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95"/>
              </w:rPr>
              <w:t>11/08/2023</w:t>
            </w:r>
          </w:p>
        </w:tc>
        <w:tc>
          <w:tcPr>
            <w:tcW w:w="100" w:type="dxa"/>
            <w:vAlign w:val="bottom"/>
          </w:tcPr>
          <w:p>
            <w:pPr>
              <w:spacing w:after="0"/>
              <w:rPr>
                <w:sz w:val="20"/>
                <w:szCs w:val="20"/>
                <w:color w:val="auto"/>
              </w:rPr>
            </w:pPr>
          </w:p>
        </w:tc>
        <w:tc>
          <w:tcPr>
            <w:tcW w:w="740" w:type="dxa"/>
            <w:vAlign w:val="bottom"/>
            <w:tcBorders>
              <w:bottom w:val="single" w:sz="8" w:color="8590A9"/>
            </w:tcBorders>
          </w:tcPr>
          <w:p>
            <w:pPr>
              <w:ind w:left="580"/>
              <w:spacing w:after="0"/>
              <w:rPr>
                <w:sz w:val="20"/>
                <w:szCs w:val="20"/>
                <w:color w:val="auto"/>
              </w:rPr>
            </w:pPr>
            <w:r>
              <w:rPr>
                <w:rFonts w:ascii="Arial" w:cs="Arial" w:eastAsia="Arial" w:hAnsi="Arial"/>
                <w:sz w:val="18"/>
                <w:szCs w:val="18"/>
                <w:color w:val="auto"/>
                <w:w w:val="77"/>
              </w:rPr>
              <w:t>—</w:t>
            </w:r>
          </w:p>
        </w:tc>
        <w:tc>
          <w:tcPr>
            <w:tcW w:w="120" w:type="dxa"/>
            <w:vAlign w:val="bottom"/>
          </w:tcPr>
          <w:p>
            <w:pPr>
              <w:spacing w:after="0"/>
              <w:rPr>
                <w:sz w:val="20"/>
                <w:szCs w:val="20"/>
                <w:color w:val="auto"/>
              </w:rPr>
            </w:pPr>
          </w:p>
        </w:tc>
        <w:tc>
          <w:tcPr>
            <w:tcW w:w="100" w:type="dxa"/>
            <w:vAlign w:val="bottom"/>
            <w:tcBorders>
              <w:bottom w:val="single" w:sz="8" w:color="8590A9"/>
            </w:tcBorders>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8590A9"/>
            </w:tcBorders>
          </w:tcPr>
          <w:p>
            <w:pPr>
              <w:spacing w:after="0"/>
              <w:rPr>
                <w:sz w:val="20"/>
                <w:szCs w:val="20"/>
                <w:color w:val="auto"/>
              </w:rPr>
            </w:pPr>
          </w:p>
        </w:tc>
        <w:tc>
          <w:tcPr>
            <w:tcW w:w="7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7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Matthew J. DiLiberto</w:t>
            </w:r>
          </w:p>
        </w:tc>
        <w:tc>
          <w:tcPr>
            <w:tcW w:w="100" w:type="dxa"/>
            <w:vAlign w:val="bottom"/>
          </w:tcPr>
          <w:p>
            <w:pPr>
              <w:spacing w:after="0"/>
              <w:rPr>
                <w:sz w:val="24"/>
                <w:szCs w:val="24"/>
                <w:color w:val="auto"/>
              </w:rPr>
            </w:pPr>
          </w:p>
        </w:tc>
        <w:tc>
          <w:tcPr>
            <w:tcW w:w="82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tcBorders>
              <w:bottom w:val="single" w:sz="8" w:color="8590A9"/>
            </w:tcBorders>
            <w:shd w:val="clear" w:color="auto" w:fill="D0D3DB"/>
          </w:tcPr>
          <w:p>
            <w:pPr>
              <w:jc w:val="right"/>
              <w:spacing w:after="0" w:line="306" w:lineRule="exact"/>
              <w:rPr>
                <w:sz w:val="20"/>
                <w:szCs w:val="20"/>
                <w:color w:val="auto"/>
              </w:rPr>
            </w:pPr>
            <w:r>
              <w:rPr>
                <w:rFonts w:ascii="Arial" w:cs="Arial" w:eastAsia="Arial" w:hAnsi="Arial"/>
                <w:sz w:val="18"/>
                <w:szCs w:val="18"/>
                <w:color w:val="auto"/>
              </w:rPr>
              <w:t>15,000</w:t>
            </w:r>
            <w:r>
              <w:rPr>
                <w:rFonts w:ascii="Arial" w:cs="Arial" w:eastAsia="Arial" w:hAnsi="Arial"/>
                <w:sz w:val="29"/>
                <w:szCs w:val="29"/>
                <w:color w:val="auto"/>
                <w:vertAlign w:val="superscript"/>
              </w:rPr>
              <w:t>(5)</w:t>
            </w:r>
          </w:p>
        </w:tc>
        <w:tc>
          <w:tcPr>
            <w:tcW w:w="100" w:type="dxa"/>
            <w:vAlign w:val="bottom"/>
          </w:tcPr>
          <w:p>
            <w:pPr>
              <w:spacing w:after="0"/>
              <w:rPr>
                <w:sz w:val="24"/>
                <w:szCs w:val="24"/>
                <w:color w:val="auto"/>
              </w:rPr>
            </w:pPr>
          </w:p>
        </w:tc>
        <w:tc>
          <w:tcPr>
            <w:tcW w:w="12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79"/>
              </w:rPr>
              <w:t>$</w:t>
            </w:r>
          </w:p>
        </w:tc>
        <w:tc>
          <w:tcPr>
            <w:tcW w:w="64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rPr>
              <w:t>106.05</w:t>
            </w:r>
          </w:p>
        </w:tc>
        <w:tc>
          <w:tcPr>
            <w:tcW w:w="120" w:type="dxa"/>
            <w:vAlign w:val="bottom"/>
          </w:tcPr>
          <w:p>
            <w:pPr>
              <w:spacing w:after="0"/>
              <w:rPr>
                <w:sz w:val="24"/>
                <w:szCs w:val="24"/>
                <w:color w:val="auto"/>
              </w:rPr>
            </w:pPr>
          </w:p>
        </w:tc>
        <w:tc>
          <w:tcPr>
            <w:tcW w:w="88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95"/>
              </w:rPr>
              <w:t>01/11/2022</w:t>
            </w:r>
          </w:p>
        </w:tc>
        <w:tc>
          <w:tcPr>
            <w:tcW w:w="100" w:type="dxa"/>
            <w:vAlign w:val="bottom"/>
          </w:tcPr>
          <w:p>
            <w:pPr>
              <w:spacing w:after="0"/>
              <w:rPr>
                <w:sz w:val="24"/>
                <w:szCs w:val="24"/>
                <w:color w:val="auto"/>
              </w:rPr>
            </w:pPr>
          </w:p>
        </w:tc>
        <w:tc>
          <w:tcPr>
            <w:tcW w:w="74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4"/>
                <w:szCs w:val="24"/>
                <w:color w:val="auto"/>
              </w:rPr>
            </w:pPr>
          </w:p>
        </w:tc>
        <w:tc>
          <w:tcPr>
            <w:tcW w:w="10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79"/>
              </w:rPr>
              <w:t>$</w:t>
            </w:r>
          </w:p>
        </w:tc>
        <w:tc>
          <w:tcPr>
            <w:tcW w:w="90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rPr>
              <w:t>706,510</w:t>
            </w:r>
          </w:p>
        </w:tc>
        <w:tc>
          <w:tcPr>
            <w:tcW w:w="100" w:type="dxa"/>
            <w:vAlign w:val="bottom"/>
          </w:tcPr>
          <w:p>
            <w:pPr>
              <w:spacing w:after="0"/>
              <w:rPr>
                <w:sz w:val="24"/>
                <w:szCs w:val="24"/>
                <w:color w:val="auto"/>
              </w:rPr>
            </w:pPr>
          </w:p>
        </w:tc>
        <w:tc>
          <w:tcPr>
            <w:tcW w:w="86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Borders>
              <w:bottom w:val="single" w:sz="8" w:color="8590A9"/>
            </w:tcBorders>
            <w:shd w:val="clear" w:color="auto" w:fill="D0D3DB"/>
          </w:tcPr>
          <w:p>
            <w:pPr>
              <w:spacing w:after="0"/>
              <w:rPr>
                <w:sz w:val="24"/>
                <w:szCs w:val="24"/>
                <w:color w:val="auto"/>
              </w:rPr>
            </w:pPr>
          </w:p>
        </w:tc>
        <w:tc>
          <w:tcPr>
            <w:tcW w:w="74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303" w:lineRule="exact"/>
              <w:rPr>
                <w:sz w:val="20"/>
                <w:szCs w:val="20"/>
                <w:color w:val="auto"/>
              </w:rPr>
            </w:pPr>
            <w:r>
              <w:rPr>
                <w:rFonts w:ascii="Arial" w:cs="Arial" w:eastAsia="Arial" w:hAnsi="Arial"/>
                <w:sz w:val="18"/>
                <w:szCs w:val="18"/>
                <w:color w:val="auto"/>
              </w:rPr>
              <w:t>15,000</w:t>
            </w:r>
            <w:r>
              <w:rPr>
                <w:rFonts w:ascii="Arial" w:cs="Arial" w:eastAsia="Arial" w:hAnsi="Arial"/>
                <w:sz w:val="29"/>
                <w:szCs w:val="29"/>
                <w:color w:val="auto"/>
                <w:vertAlign w:val="superscript"/>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106.05</w:t>
            </w: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01/11/2027</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374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color w:val="auto"/>
              </w:rPr>
              <w:t>Andrew S. Levine</w:t>
            </w:r>
          </w:p>
        </w:tc>
        <w:tc>
          <w:tcPr>
            <w:tcW w:w="100" w:type="dxa"/>
            <w:vAlign w:val="bottom"/>
          </w:tcPr>
          <w:p>
            <w:pPr>
              <w:spacing w:after="0"/>
              <w:rPr>
                <w:sz w:val="20"/>
                <w:szCs w:val="20"/>
                <w:color w:val="auto"/>
              </w:rPr>
            </w:pPr>
          </w:p>
        </w:tc>
        <w:tc>
          <w:tcPr>
            <w:tcW w:w="8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0"/>
                <w:szCs w:val="20"/>
                <w:color w:val="auto"/>
              </w:rPr>
            </w:pPr>
          </w:p>
        </w:tc>
        <w:tc>
          <w:tcPr>
            <w:tcW w:w="9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79"/>
              </w:rPr>
              <w:t>$</w:t>
            </w:r>
          </w:p>
        </w:tc>
        <w:tc>
          <w:tcPr>
            <w:tcW w:w="6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rPr>
              <w:t>90.15</w:t>
            </w:r>
          </w:p>
        </w:tc>
        <w:tc>
          <w:tcPr>
            <w:tcW w:w="120" w:type="dxa"/>
            <w:vAlign w:val="bottom"/>
          </w:tcPr>
          <w:p>
            <w:pPr>
              <w:spacing w:after="0"/>
              <w:rPr>
                <w:sz w:val="20"/>
                <w:szCs w:val="20"/>
                <w:color w:val="auto"/>
              </w:rPr>
            </w:pPr>
          </w:p>
        </w:tc>
        <w:tc>
          <w:tcPr>
            <w:tcW w:w="8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95"/>
              </w:rPr>
              <w:t>12/12/2023</w:t>
            </w:r>
          </w:p>
        </w:tc>
        <w:tc>
          <w:tcPr>
            <w:tcW w:w="100" w:type="dxa"/>
            <w:vAlign w:val="bottom"/>
          </w:tcPr>
          <w:p>
            <w:pPr>
              <w:spacing w:after="0"/>
              <w:rPr>
                <w:sz w:val="20"/>
                <w:szCs w:val="20"/>
                <w:color w:val="auto"/>
              </w:rPr>
            </w:pPr>
          </w:p>
        </w:tc>
        <w:tc>
          <w:tcPr>
            <w:tcW w:w="7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Pr>
          <w:p>
            <w:pPr>
              <w:spacing w:after="0"/>
              <w:rPr>
                <w:sz w:val="20"/>
                <w:szCs w:val="20"/>
                <w:color w:val="auto"/>
              </w:rPr>
            </w:pPr>
          </w:p>
        </w:tc>
        <w:tc>
          <w:tcPr>
            <w:tcW w:w="1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79"/>
              </w:rPr>
              <w:t>$</w:t>
            </w:r>
          </w:p>
        </w:tc>
        <w:tc>
          <w:tcPr>
            <w:tcW w:w="9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rPr>
              <w:t>1,816,740</w:t>
            </w:r>
          </w:p>
        </w:tc>
        <w:tc>
          <w:tcPr>
            <w:tcW w:w="100" w:type="dxa"/>
            <w:vAlign w:val="bottom"/>
          </w:tcPr>
          <w:p>
            <w:pPr>
              <w:spacing w:after="0"/>
              <w:rPr>
                <w:sz w:val="20"/>
                <w:szCs w:val="20"/>
                <w:color w:val="auto"/>
              </w:rPr>
            </w:pPr>
          </w:p>
        </w:tc>
        <w:tc>
          <w:tcPr>
            <w:tcW w:w="8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8590A9"/>
              <w:bottom w:val="single" w:sz="8" w:color="8590A9"/>
            </w:tcBorders>
            <w:shd w:val="clear" w:color="auto" w:fill="D0D3DB"/>
          </w:tcPr>
          <w:p>
            <w:pPr>
              <w:spacing w:after="0"/>
              <w:rPr>
                <w:sz w:val="20"/>
                <w:szCs w:val="20"/>
                <w:color w:val="auto"/>
              </w:rPr>
            </w:pPr>
          </w:p>
        </w:tc>
        <w:tc>
          <w:tcPr>
            <w:tcW w:w="7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00"/>
              <w:spacing w:after="0" w:line="306" w:lineRule="exact"/>
              <w:rPr>
                <w:sz w:val="20"/>
                <w:szCs w:val="20"/>
                <w:color w:val="auto"/>
              </w:rPr>
            </w:pPr>
            <w:r>
              <w:rPr>
                <w:rFonts w:ascii="Arial" w:cs="Arial" w:eastAsia="Arial" w:hAnsi="Arial"/>
                <w:sz w:val="18"/>
                <w:szCs w:val="18"/>
                <w:color w:val="auto"/>
              </w:rPr>
              <w:t>15,000</w:t>
            </w:r>
            <w:r>
              <w:rPr>
                <w:rFonts w:ascii="Arial" w:cs="Arial" w:eastAsia="Arial" w:hAnsi="Arial"/>
                <w:sz w:val="29"/>
                <w:szCs w:val="29"/>
                <w:color w:val="auto"/>
                <w:vertAlign w:val="superscript"/>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106.05</w:t>
            </w: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01/11/2022</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line="306" w:lineRule="exact"/>
              <w:rPr>
                <w:sz w:val="20"/>
                <w:szCs w:val="20"/>
                <w:color w:val="auto"/>
              </w:rPr>
            </w:pPr>
            <w:r>
              <w:rPr>
                <w:rFonts w:ascii="Arial" w:cs="Arial" w:eastAsia="Arial" w:hAnsi="Arial"/>
                <w:sz w:val="18"/>
                <w:szCs w:val="18"/>
                <w:color w:val="auto"/>
              </w:rPr>
              <w:t>6,000</w:t>
            </w:r>
            <w:r>
              <w:rPr>
                <w:rFonts w:ascii="Arial" w:cs="Arial" w:eastAsia="Arial" w:hAnsi="Arial"/>
                <w:sz w:val="29"/>
                <w:szCs w:val="29"/>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605,580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740" w:type="dxa"/>
            <w:vAlign w:val="bottom"/>
            <w:shd w:val="clear" w:color="auto" w:fill="8590A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00"/>
              <w:spacing w:after="0" w:line="303" w:lineRule="exact"/>
              <w:rPr>
                <w:sz w:val="20"/>
                <w:szCs w:val="20"/>
                <w:color w:val="auto"/>
              </w:rPr>
            </w:pPr>
            <w:r>
              <w:rPr>
                <w:rFonts w:ascii="Arial" w:cs="Arial" w:eastAsia="Arial" w:hAnsi="Arial"/>
                <w:sz w:val="18"/>
                <w:szCs w:val="18"/>
                <w:color w:val="auto"/>
              </w:rPr>
              <w:t>15,000</w:t>
            </w:r>
            <w:r>
              <w:rPr>
                <w:rFonts w:ascii="Arial" w:cs="Arial" w:eastAsia="Arial" w:hAnsi="Arial"/>
                <w:sz w:val="29"/>
                <w:szCs w:val="29"/>
                <w:color w:val="auto"/>
                <w:vertAlign w:val="superscript"/>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106.05</w:t>
            </w: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01/11/2027</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shd w:val="clear" w:color="auto" w:fill="345988"/>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345988"/>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345988"/>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345988"/>
          </w:tcPr>
          <w:p>
            <w:pPr>
              <w:spacing w:after="0"/>
              <w:rPr>
                <w:sz w:val="2"/>
                <w:szCs w:val="2"/>
                <w:color w:val="auto"/>
              </w:rPr>
            </w:pPr>
          </w:p>
        </w:tc>
        <w:tc>
          <w:tcPr>
            <w:tcW w:w="64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345988"/>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345988"/>
          </w:tcPr>
          <w:p>
            <w:pPr>
              <w:spacing w:after="0"/>
              <w:rPr>
                <w:sz w:val="2"/>
                <w:szCs w:val="2"/>
                <w:color w:val="auto"/>
              </w:rPr>
            </w:pPr>
          </w:p>
        </w:tc>
        <w:tc>
          <w:tcPr>
            <w:tcW w:w="900" w:type="dxa"/>
            <w:vAlign w:val="bottom"/>
            <w:shd w:val="clear" w:color="auto" w:fill="345988"/>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345988"/>
          </w:tcPr>
          <w:p>
            <w:pPr>
              <w:spacing w:after="0"/>
              <w:rPr>
                <w:sz w:val="2"/>
                <w:szCs w:val="2"/>
                <w:color w:val="auto"/>
              </w:rPr>
            </w:pPr>
          </w:p>
        </w:tc>
        <w:tc>
          <w:tcPr>
            <w:tcW w:w="740" w:type="dxa"/>
            <w:vAlign w:val="bottom"/>
            <w:shd w:val="clear" w:color="auto" w:fill="345988"/>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360" w:hanging="352"/>
        <w:spacing w:after="0"/>
        <w:tabs>
          <w:tab w:leader="none" w:pos="36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For each of our named executive officers, includes the following:</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Performance-</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345988"/>
              </w:rPr>
              <w:t>Time-Based</w:t>
            </w:r>
          </w:p>
        </w:tc>
        <w:tc>
          <w:tcPr>
            <w:tcW w:w="0" w:type="dxa"/>
            <w:vAlign w:val="bottom"/>
          </w:tcPr>
          <w:p>
            <w:pPr>
              <w:spacing w:after="0"/>
              <w:rPr>
                <w:sz w:val="1"/>
                <w:szCs w:val="1"/>
                <w:color w:val="auto"/>
              </w:rPr>
            </w:pPr>
          </w:p>
        </w:tc>
      </w:tr>
      <w:tr>
        <w:trPr>
          <w:trHeight w:val="148"/>
        </w:trPr>
        <w:tc>
          <w:tcPr>
            <w:tcW w:w="8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Based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345988"/>
              </w:rPr>
              <w:t>Notional</w:t>
            </w:r>
          </w:p>
        </w:tc>
        <w:tc>
          <w:tcPr>
            <w:tcW w:w="104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Employment</w:t>
            </w:r>
          </w:p>
        </w:tc>
        <w:tc>
          <w:tcPr>
            <w:tcW w:w="84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Employment</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Agreement</w:t>
            </w:r>
          </w:p>
        </w:tc>
        <w:tc>
          <w:tcPr>
            <w:tcW w:w="8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345988"/>
              </w:rPr>
              <w:t>Agreement</w:t>
            </w:r>
          </w:p>
        </w:tc>
        <w:tc>
          <w:tcPr>
            <w:tcW w:w="0" w:type="dxa"/>
            <w:vAlign w:val="bottom"/>
          </w:tcPr>
          <w:p>
            <w:pPr>
              <w:spacing w:after="0"/>
              <w:rPr>
                <w:sz w:val="1"/>
                <w:szCs w:val="1"/>
                <w:color w:val="auto"/>
              </w:rPr>
            </w:pPr>
          </w:p>
        </w:tc>
      </w:tr>
      <w:tr>
        <w:trPr>
          <w:trHeight w:val="232"/>
        </w:trPr>
        <w:tc>
          <w:tcPr>
            <w:tcW w:w="8160" w:type="dxa"/>
            <w:vAlign w:val="bottom"/>
            <w:gridSpan w:val="2"/>
          </w:tcPr>
          <w:p>
            <w:pPr>
              <w:spacing w:after="0"/>
              <w:rPr>
                <w:sz w:val="20"/>
                <w:szCs w:val="20"/>
                <w:color w:val="auto"/>
              </w:rPr>
            </w:pPr>
            <w:r>
              <w:rPr>
                <w:rFonts w:ascii="Arial" w:cs="Arial" w:eastAsia="Arial" w:hAnsi="Arial"/>
                <w:sz w:val="13"/>
                <w:szCs w:val="13"/>
                <w:b w:val="1"/>
                <w:bCs w:val="1"/>
                <w:color w:val="auto"/>
              </w:rPr>
              <w:t>Executive</w:t>
            </w:r>
          </w:p>
        </w:tc>
        <w:tc>
          <w:tcPr>
            <w:tcW w:w="1060" w:type="dxa"/>
            <w:vAlign w:val="bottom"/>
            <w:gridSpan w:val="2"/>
          </w:tcPr>
          <w:p>
            <w:pPr>
              <w:jc w:val="right"/>
              <w:ind w:right="160"/>
              <w:spacing w:after="0" w:line="225" w:lineRule="exact"/>
              <w:rPr>
                <w:sz w:val="20"/>
                <w:szCs w:val="20"/>
                <w:color w:val="auto"/>
              </w:rPr>
            </w:pPr>
            <w:r>
              <w:rPr>
                <w:rFonts w:ascii="Arial" w:cs="Arial" w:eastAsia="Arial" w:hAnsi="Arial"/>
                <w:sz w:val="13"/>
                <w:szCs w:val="13"/>
                <w:b w:val="1"/>
                <w:bCs w:val="1"/>
                <w:color w:val="345988"/>
                <w:w w:val="98"/>
              </w:rPr>
              <w:t>Stock Units</w:t>
            </w:r>
            <w:r>
              <w:rPr>
                <w:rFonts w:ascii="Arial" w:cs="Arial" w:eastAsia="Arial" w:hAnsi="Arial"/>
                <w:sz w:val="22"/>
                <w:szCs w:val="22"/>
                <w:b w:val="1"/>
                <w:bCs w:val="1"/>
                <w:color w:val="345988"/>
                <w:w w:val="98"/>
                <w:vertAlign w:val="superscript"/>
              </w:rPr>
              <w:t>(a)</w:t>
            </w:r>
          </w:p>
        </w:tc>
        <w:tc>
          <w:tcPr>
            <w:tcW w:w="1040" w:type="dxa"/>
            <w:vAlign w:val="bottom"/>
            <w:gridSpan w:val="2"/>
          </w:tcPr>
          <w:p>
            <w:pPr>
              <w:jc w:val="right"/>
              <w:ind w:right="160"/>
              <w:spacing w:after="0" w:line="225" w:lineRule="exact"/>
              <w:rPr>
                <w:sz w:val="20"/>
                <w:szCs w:val="20"/>
                <w:color w:val="auto"/>
              </w:rPr>
            </w:pPr>
            <w:r>
              <w:rPr>
                <w:rFonts w:ascii="Arial" w:cs="Arial" w:eastAsia="Arial" w:hAnsi="Arial"/>
                <w:sz w:val="13"/>
                <w:szCs w:val="13"/>
                <w:b w:val="1"/>
                <w:bCs w:val="1"/>
                <w:color w:val="345988"/>
              </w:rPr>
              <w:t>LTIP Units</w:t>
            </w:r>
            <w:r>
              <w:rPr>
                <w:rFonts w:ascii="Arial" w:cs="Arial" w:eastAsia="Arial" w:hAnsi="Arial"/>
                <w:sz w:val="22"/>
                <w:szCs w:val="22"/>
                <w:b w:val="1"/>
                <w:bCs w:val="1"/>
                <w:color w:val="345988"/>
                <w:vertAlign w:val="superscript"/>
              </w:rPr>
              <w:t>(b)</w:t>
            </w:r>
          </w:p>
        </w:tc>
        <w:tc>
          <w:tcPr>
            <w:tcW w:w="840" w:type="dxa"/>
            <w:vAlign w:val="bottom"/>
            <w:gridSpan w:val="2"/>
          </w:tcPr>
          <w:p>
            <w:pPr>
              <w:jc w:val="right"/>
              <w:ind w:right="20"/>
              <w:spacing w:after="0" w:line="225" w:lineRule="exact"/>
              <w:rPr>
                <w:sz w:val="20"/>
                <w:szCs w:val="20"/>
                <w:color w:val="auto"/>
              </w:rPr>
            </w:pPr>
            <w:r>
              <w:rPr>
                <w:rFonts w:ascii="Arial" w:cs="Arial" w:eastAsia="Arial" w:hAnsi="Arial"/>
                <w:sz w:val="13"/>
                <w:szCs w:val="13"/>
                <w:b w:val="1"/>
                <w:bCs w:val="1"/>
                <w:color w:val="345988"/>
                <w:w w:val="97"/>
              </w:rPr>
              <w:t>LTIP Units</w:t>
            </w:r>
            <w:r>
              <w:rPr>
                <w:rFonts w:ascii="Arial" w:cs="Arial" w:eastAsia="Arial" w:hAnsi="Arial"/>
                <w:sz w:val="22"/>
                <w:szCs w:val="22"/>
                <w:b w:val="1"/>
                <w:bCs w:val="1"/>
                <w:color w:val="345988"/>
                <w:w w:val="97"/>
                <w:vertAlign w:val="superscript"/>
              </w:rPr>
              <w:t>(c)</w:t>
            </w:r>
          </w:p>
        </w:tc>
        <w:tc>
          <w:tcPr>
            <w:tcW w:w="0" w:type="dxa"/>
            <w:vAlign w:val="bottom"/>
          </w:tcPr>
          <w:p>
            <w:pPr>
              <w:spacing w:after="0"/>
              <w:rPr>
                <w:sz w:val="1"/>
                <w:szCs w:val="1"/>
                <w:color w:val="auto"/>
              </w:rPr>
            </w:pPr>
          </w:p>
        </w:tc>
      </w:tr>
      <w:tr>
        <w:trPr>
          <w:trHeight w:val="240"/>
        </w:trPr>
        <w:tc>
          <w:tcPr>
            <w:tcW w:w="800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90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6,956</w:t>
            </w:r>
          </w:p>
        </w:tc>
        <w:tc>
          <w:tcPr>
            <w:tcW w:w="160" w:type="dxa"/>
            <w:vAlign w:val="bottom"/>
          </w:tcPr>
          <w:p>
            <w:pPr>
              <w:spacing w:after="0"/>
              <w:rPr>
                <w:sz w:val="20"/>
                <w:szCs w:val="20"/>
                <w:color w:val="auto"/>
              </w:rPr>
            </w:pPr>
          </w:p>
        </w:tc>
        <w:tc>
          <w:tcPr>
            <w:tcW w:w="88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20"/>
                <w:szCs w:val="20"/>
                <w:color w:val="auto"/>
              </w:rPr>
            </w:pP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00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9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21"/>
                <w:szCs w:val="21"/>
                <w:color w:val="auto"/>
              </w:rPr>
            </w:pPr>
          </w:p>
        </w:tc>
        <w:tc>
          <w:tcPr>
            <w:tcW w:w="8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680" w:hanging="349"/>
        <w:spacing w:after="0" w:line="262" w:lineRule="auto"/>
        <w:tabs>
          <w:tab w:leader="none" w:pos="68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Represents notional stock units, each of which represents the contingent right to receive the value of one share of our common stock in accordance with the terms of a deferred compensation agreement. These notional stock units vested on 01/17/2018. Vested notional stock units are settled in cash no later than 30 days following the earliest of (i) Mr. Holliday’s death, (ii) the date of Mr. Holliday’s separation from service with us, and (iii) the effective date of a change in control (as defined in the deferred compensation agreement).</w:t>
      </w:r>
    </w:p>
    <w:p>
      <w:pPr>
        <w:spacing w:after="0" w:line="62" w:lineRule="exact"/>
        <w:rPr>
          <w:rFonts w:ascii="Arial" w:cs="Arial" w:eastAsia="Arial" w:hAnsi="Arial"/>
          <w:sz w:val="13"/>
          <w:szCs w:val="13"/>
          <w:color w:val="auto"/>
        </w:rPr>
      </w:pPr>
    </w:p>
    <w:p>
      <w:pPr>
        <w:ind w:left="680" w:hanging="349"/>
        <w:spacing w:after="0"/>
        <w:tabs>
          <w:tab w:leader="none" w:pos="68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Represents LTIP units that vested on 01/01/2018 based on 2017 performance.</w:t>
      </w:r>
    </w:p>
    <w:p>
      <w:pPr>
        <w:spacing w:after="0" w:line="106" w:lineRule="exact"/>
        <w:rPr>
          <w:rFonts w:ascii="Arial" w:cs="Arial" w:eastAsia="Arial" w:hAnsi="Arial"/>
          <w:sz w:val="13"/>
          <w:szCs w:val="13"/>
          <w:color w:val="auto"/>
        </w:rPr>
      </w:pPr>
    </w:p>
    <w:p>
      <w:pPr>
        <w:ind w:left="680" w:right="360" w:hanging="349"/>
        <w:spacing w:after="0" w:line="286" w:lineRule="auto"/>
        <w:tabs>
          <w:tab w:leader="none" w:pos="68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For Mr. DiLiberto, represents LTIP units that vested on 01/01/2018. For Mr. Levine, represents 6,000 LTIP units that vested on 01/01/2018, with the remaining 6,000 LTIP units scheduled to vest on 01/01/2019, subject to continued employment through such date.</w:t>
      </w:r>
    </w:p>
    <w:p>
      <w:pPr>
        <w:spacing w:after="0" w:line="47" w:lineRule="exact"/>
        <w:rPr>
          <w:rFonts w:ascii="Arial" w:cs="Arial" w:eastAsia="Arial" w:hAnsi="Arial"/>
          <w:sz w:val="13"/>
          <w:szCs w:val="13"/>
          <w:color w:val="auto"/>
        </w:rPr>
      </w:pPr>
    </w:p>
    <w:p>
      <w:pPr>
        <w:ind w:left="360" w:right="60" w:hanging="352"/>
        <w:spacing w:after="0" w:line="286" w:lineRule="auto"/>
        <w:tabs>
          <w:tab w:leader="none" w:pos="3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Based on a price of $100.93 per share/unit, which was the closing price on the NYSE of one share of our common stock on December 31, 2017. Assumes that the value of LTIP units on a per unit basis is equal to the per share value of our common stock.</w:t>
      </w:r>
    </w:p>
    <w:p>
      <w:pPr>
        <w:spacing w:after="0" w:line="154" w:lineRule="exact"/>
        <w:rPr>
          <w:sz w:val="20"/>
          <w:szCs w:val="20"/>
          <w:color w:val="auto"/>
        </w:rPr>
      </w:pPr>
    </w:p>
    <w:p>
      <w:pPr>
        <w:ind w:left="300" w:hanging="292"/>
        <w:spacing w:after="0"/>
        <w:tabs>
          <w:tab w:leader="none" w:pos="300" w:val="left"/>
        </w:tabs>
        <w:numPr>
          <w:ilvl w:val="0"/>
          <w:numId w:val="112"/>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213" w:lineRule="exact"/>
        <w:rPr>
          <w:sz w:val="20"/>
          <w:szCs w:val="20"/>
          <w:color w:val="auto"/>
        </w:rPr>
      </w:pPr>
    </w:p>
    <w:p>
      <w:pPr>
        <w:ind w:left="360" w:right="480" w:hanging="352"/>
        <w:spacing w:after="0" w:line="286" w:lineRule="auto"/>
        <w:tabs>
          <w:tab w:leader="none" w:pos="3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Represents 6,000 LTIP units that are scheduled to vest on 01/01/2019, based on the attainment of specified performance goals during the vesting period and subject to continued employment through such date.</w:t>
      </w:r>
    </w:p>
    <w:p>
      <w:pPr>
        <w:spacing w:after="0" w:line="47" w:lineRule="exact"/>
        <w:rPr>
          <w:rFonts w:ascii="Arial" w:cs="Arial" w:eastAsia="Arial" w:hAnsi="Arial"/>
          <w:sz w:val="13"/>
          <w:szCs w:val="13"/>
          <w:color w:val="auto"/>
        </w:rPr>
      </w:pPr>
    </w:p>
    <w:p>
      <w:pPr>
        <w:ind w:left="360" w:right="180" w:hanging="352"/>
        <w:spacing w:after="0" w:line="254" w:lineRule="auto"/>
        <w:tabs>
          <w:tab w:leader="none" w:pos="3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Reflects an award of 52,500 Class O LTIP units with a mandatory conversion date that is five years after the date of grant and an award of 52,500 Class O LTIP units with a mandatory conversion date that is 10 years after the date of grant, each of which is scheduled to vest on 06/17/2018, subject to continued employment through such date. Class O LTIP units are economically similar to stock options. See “—Compensation Discussion and Analysis—Other Compensation Policies and Information—Other Matters—LTIP units and Class O LTIP units” for a description of Class O LTIP units.</w:t>
      </w:r>
    </w:p>
    <w:p>
      <w:pPr>
        <w:spacing w:after="0" w:line="67" w:lineRule="exact"/>
        <w:rPr>
          <w:rFonts w:ascii="Arial" w:cs="Arial" w:eastAsia="Arial" w:hAnsi="Arial"/>
          <w:sz w:val="13"/>
          <w:szCs w:val="13"/>
          <w:color w:val="auto"/>
        </w:rPr>
      </w:pPr>
    </w:p>
    <w:p>
      <w:pPr>
        <w:ind w:left="360" w:right="160" w:hanging="352"/>
        <w:spacing w:after="0" w:line="247" w:lineRule="auto"/>
        <w:tabs>
          <w:tab w:leader="none" w:pos="3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Reflects an award of 15,000 Class O LTIP units with a mandatory conversion date that is 5 years after the date of grant and an award of 15,000 Class O LTIP units that expire 10 years after the date of grant, each of which vests pro-rata over a three-year period on January 1, 2018, 2019 and 2020, respectively, subject to continued employment through each vesting date. The conversion threshold for the Class O LTIP units, which is equivalent to the exercise price for a stock option, was determined by reference to the fair market value under our Fourth Amended and Restated 2005 Stock Option and Incentive Plan of one share of our common stock, meaning, in this instance, the closing stock price of one share of our common stock on the NYSE on January 10, 2017, the last preceding trading date prior to the grant date. See “—Compensation Discussion and Analysis—Other Compensation Policies and Information—Other Matters— LTIP units and Class O LTIP units” for a description of Class O LTIP units.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345988"/>
        </w:rPr>
        <w:t>2017 Option Exercises and Stock Vested</w:t>
      </w:r>
    </w:p>
    <w:p>
      <w:pPr>
        <w:spacing w:after="0" w:line="21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following table sets forth certain information with respect to the exercise of stock options and the vesting of stock, including restricted stock, restricted stock units, LTIP units and similar instruments for each named executive officer during the fiscal year ended December 31, 2017.</w:t>
      </w:r>
    </w:p>
    <w:p>
      <w:pPr>
        <w:spacing w:after="0" w:line="111" w:lineRule="exact"/>
        <w:rPr>
          <w:sz w:val="20"/>
          <w:szCs w:val="20"/>
          <w:color w:val="auto"/>
        </w:rPr>
      </w:pPr>
    </w:p>
    <w:p>
      <w:pPr>
        <w:ind w:left="7420"/>
        <w:spacing w:after="0"/>
        <w:tabs>
          <w:tab w:leader="none" w:pos="9840" w:val="left"/>
        </w:tabs>
        <w:rPr>
          <w:sz w:val="20"/>
          <w:szCs w:val="20"/>
          <w:color w:val="auto"/>
        </w:rPr>
      </w:pPr>
      <w:r>
        <w:rPr>
          <w:rFonts w:ascii="Arial" w:cs="Arial" w:eastAsia="Arial" w:hAnsi="Arial"/>
          <w:sz w:val="13"/>
          <w:szCs w:val="13"/>
          <w:b w:val="1"/>
          <w:bCs w:val="1"/>
          <w:color w:val="345988"/>
        </w:rPr>
        <w:t>Option Awards</w:t>
      </w:r>
      <w:r>
        <w:rPr>
          <w:sz w:val="20"/>
          <w:szCs w:val="20"/>
          <w:color w:val="auto"/>
        </w:rPr>
        <w:tab/>
      </w:r>
      <w:r>
        <w:rPr>
          <w:rFonts w:ascii="Arial" w:cs="Arial" w:eastAsia="Arial" w:hAnsi="Arial"/>
          <w:sz w:val="13"/>
          <w:szCs w:val="13"/>
          <w:b w:val="1"/>
          <w:bCs w:val="1"/>
          <w:color w:val="345988"/>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27940</wp:posOffset>
            </wp:positionV>
            <wp:extent cx="296037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6037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4260" w:type="dxa"/>
            <w:vAlign w:val="bottom"/>
          </w:tcPr>
          <w:p>
            <w:pPr>
              <w:jc w:val="right"/>
              <w:spacing w:after="0"/>
              <w:rPr>
                <w:sz w:val="20"/>
                <w:szCs w:val="20"/>
                <w:color w:val="auto"/>
              </w:rPr>
            </w:pPr>
            <w:r>
              <w:rPr>
                <w:rFonts w:ascii="Arial" w:cs="Arial" w:eastAsia="Arial" w:hAnsi="Arial"/>
                <w:sz w:val="13"/>
                <w:szCs w:val="13"/>
                <w:b w:val="1"/>
                <w:bCs w:val="1"/>
                <w:color w:val="345988"/>
              </w:rPr>
              <w:t>Number of</w:t>
            </w:r>
          </w:p>
        </w:tc>
        <w:tc>
          <w:tcPr>
            <w:tcW w:w="0" w:type="dxa"/>
            <w:vAlign w:val="bottom"/>
          </w:tcPr>
          <w:p>
            <w:pPr>
              <w:spacing w:after="0"/>
              <w:rPr>
                <w:sz w:val="1"/>
                <w:szCs w:val="1"/>
                <w:color w:val="auto"/>
              </w:rPr>
            </w:pPr>
          </w:p>
        </w:tc>
      </w:tr>
      <w:tr>
        <w:trPr>
          <w:trHeight w:val="148"/>
        </w:trPr>
        <w:tc>
          <w:tcPr>
            <w:tcW w:w="35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4260" w:type="dxa"/>
            <w:vAlign w:val="bottom"/>
          </w:tcPr>
          <w:p>
            <w:pPr>
              <w:jc w:val="right"/>
              <w:spacing w:after="0" w:line="148" w:lineRule="exact"/>
              <w:rPr>
                <w:sz w:val="20"/>
                <w:szCs w:val="20"/>
                <w:color w:val="auto"/>
              </w:rPr>
            </w:pPr>
            <w:r>
              <w:rPr>
                <w:rFonts w:ascii="Arial" w:cs="Arial" w:eastAsia="Arial" w:hAnsi="Arial"/>
                <w:sz w:val="13"/>
                <w:szCs w:val="13"/>
                <w:b w:val="1"/>
                <w:bCs w:val="1"/>
                <w:color w:val="345988"/>
              </w:rPr>
              <w:t>Shares Acquired</w:t>
            </w:r>
          </w:p>
        </w:tc>
        <w:tc>
          <w:tcPr>
            <w:tcW w:w="0" w:type="dxa"/>
            <w:vAlign w:val="bottom"/>
          </w:tcPr>
          <w:p>
            <w:pPr>
              <w:spacing w:after="0"/>
              <w:rPr>
                <w:sz w:val="1"/>
                <w:szCs w:val="1"/>
                <w:color w:val="auto"/>
              </w:rPr>
            </w:pPr>
          </w:p>
        </w:tc>
      </w:tr>
      <w:tr>
        <w:trPr>
          <w:trHeight w:val="190"/>
        </w:trPr>
        <w:tc>
          <w:tcPr>
            <w:tcW w:w="3580" w:type="dxa"/>
            <w:vAlign w:val="bottom"/>
            <w:vMerge w:val="continue"/>
          </w:tcPr>
          <w:p>
            <w:pPr>
              <w:spacing w:after="0"/>
              <w:rPr>
                <w:sz w:val="16"/>
                <w:szCs w:val="16"/>
                <w:color w:val="auto"/>
              </w:rPr>
            </w:pPr>
          </w:p>
        </w:tc>
        <w:tc>
          <w:tcPr>
            <w:tcW w:w="4260" w:type="dxa"/>
            <w:vAlign w:val="bottom"/>
          </w:tcPr>
          <w:p>
            <w:pPr>
              <w:jc w:val="right"/>
              <w:spacing w:after="0"/>
              <w:rPr>
                <w:sz w:val="20"/>
                <w:szCs w:val="20"/>
                <w:color w:val="auto"/>
              </w:rPr>
            </w:pPr>
            <w:r>
              <w:rPr>
                <w:rFonts w:ascii="Arial" w:cs="Arial" w:eastAsia="Arial" w:hAnsi="Arial"/>
                <w:sz w:val="13"/>
                <w:szCs w:val="13"/>
                <w:b w:val="1"/>
                <w:bCs w:val="1"/>
                <w:color w:val="345988"/>
              </w:rPr>
              <w:t>on Exercise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900" w:type="dxa"/>
            <w:vAlign w:val="bottom"/>
          </w:tcPr>
          <w:p>
            <w:pPr>
              <w:jc w:val="right"/>
              <w:ind w:right="13"/>
              <w:spacing w:after="0"/>
              <w:rPr>
                <w:sz w:val="20"/>
                <w:szCs w:val="20"/>
                <w:color w:val="auto"/>
              </w:rPr>
            </w:pPr>
            <w:r>
              <w:rPr>
                <w:rFonts w:ascii="Arial" w:cs="Arial" w:eastAsia="Arial" w:hAnsi="Arial"/>
                <w:sz w:val="13"/>
                <w:szCs w:val="13"/>
                <w:b w:val="1"/>
                <w:bCs w:val="1"/>
                <w:color w:val="345988"/>
              </w:rPr>
              <w:t>Value</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345988"/>
              </w:rPr>
              <w:t>Number of</w:t>
            </w:r>
          </w:p>
        </w:tc>
      </w:tr>
      <w:tr>
        <w:trPr>
          <w:trHeight w:val="148"/>
        </w:trPr>
        <w:tc>
          <w:tcPr>
            <w:tcW w:w="90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345988"/>
              </w:rPr>
              <w:t>Realized on</w:t>
            </w:r>
          </w:p>
        </w:tc>
        <w:tc>
          <w:tcPr>
            <w:tcW w:w="1140" w:type="dxa"/>
            <w:vAlign w:val="bottom"/>
          </w:tcPr>
          <w:p>
            <w:pPr>
              <w:jc w:val="right"/>
              <w:spacing w:after="0" w:line="148" w:lineRule="exact"/>
              <w:rPr>
                <w:sz w:val="20"/>
                <w:szCs w:val="20"/>
                <w:color w:val="auto"/>
              </w:rPr>
            </w:pPr>
            <w:r>
              <w:rPr>
                <w:rFonts w:ascii="Arial" w:cs="Arial" w:eastAsia="Arial" w:hAnsi="Arial"/>
                <w:sz w:val="13"/>
                <w:szCs w:val="13"/>
                <w:b w:val="1"/>
                <w:bCs w:val="1"/>
                <w:color w:val="345988"/>
              </w:rPr>
              <w:t>Shares Acquired</w:t>
            </w:r>
          </w:p>
        </w:tc>
      </w:tr>
      <w:tr>
        <w:trPr>
          <w:trHeight w:val="202"/>
        </w:trPr>
        <w:tc>
          <w:tcPr>
            <w:tcW w:w="900" w:type="dxa"/>
            <w:vAlign w:val="bottom"/>
          </w:tcPr>
          <w:p>
            <w:pPr>
              <w:jc w:val="right"/>
              <w:ind w:right="13"/>
              <w:spacing w:after="0" w:line="202" w:lineRule="exact"/>
              <w:rPr>
                <w:sz w:val="20"/>
                <w:szCs w:val="20"/>
                <w:color w:val="auto"/>
              </w:rPr>
            </w:pPr>
            <w:r>
              <w:rPr>
                <w:rFonts w:ascii="Arial" w:cs="Arial" w:eastAsia="Arial" w:hAnsi="Arial"/>
                <w:sz w:val="13"/>
                <w:szCs w:val="13"/>
                <w:b w:val="1"/>
                <w:bCs w:val="1"/>
                <w:color w:val="345988"/>
                <w:w w:val="94"/>
              </w:rPr>
              <w:t>Vesting</w:t>
            </w:r>
            <w:r>
              <w:rPr>
                <w:rFonts w:ascii="Arial" w:cs="Arial" w:eastAsia="Arial" w:hAnsi="Arial"/>
                <w:sz w:val="22"/>
                <w:szCs w:val="22"/>
                <w:b w:val="1"/>
                <w:bCs w:val="1"/>
                <w:color w:val="345988"/>
                <w:w w:val="94"/>
                <w:vertAlign w:val="superscript"/>
              </w:rPr>
              <w:t>(1)</w:t>
            </w:r>
            <w:r>
              <w:rPr>
                <w:rFonts w:ascii="Arial" w:cs="Arial" w:eastAsia="Arial" w:hAnsi="Arial"/>
                <w:sz w:val="13"/>
                <w:szCs w:val="13"/>
                <w:b w:val="1"/>
                <w:bCs w:val="1"/>
                <w:color w:val="345988"/>
                <w:w w:val="94"/>
              </w:rPr>
              <w:t xml:space="preserve"> ($)</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345988"/>
              </w:rPr>
              <w:t>on Vesting (#)</w:t>
            </w: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345988"/>
        </w:rPr>
        <w:t>Value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345988"/>
        </w:rPr>
        <w:t>Realized on</w:t>
      </w:r>
    </w:p>
    <w:p>
      <w:pPr>
        <w:spacing w:after="0" w:line="224" w:lineRule="auto"/>
        <w:rPr>
          <w:sz w:val="20"/>
          <w:szCs w:val="20"/>
          <w:color w:val="auto"/>
        </w:rPr>
      </w:pPr>
      <w:r>
        <w:rPr>
          <w:rFonts w:ascii="Arial" w:cs="Arial" w:eastAsia="Arial" w:hAnsi="Arial"/>
          <w:sz w:val="12"/>
          <w:szCs w:val="12"/>
          <w:b w:val="1"/>
          <w:bCs w:val="1"/>
          <w:color w:val="345988"/>
        </w:rPr>
        <w:t>Vesting</w:t>
      </w:r>
      <w:r>
        <w:rPr>
          <w:rFonts w:ascii="Arial" w:cs="Arial" w:eastAsia="Arial" w:hAnsi="Arial"/>
          <w:sz w:val="20"/>
          <w:szCs w:val="20"/>
          <w:b w:val="1"/>
          <w:bCs w:val="1"/>
          <w:color w:val="345988"/>
          <w:vertAlign w:val="superscript"/>
        </w:rPr>
        <w:t>(2)</w:t>
      </w:r>
      <w:r>
        <w:rPr>
          <w:rFonts w:ascii="Arial" w:cs="Arial" w:eastAsia="Arial" w:hAnsi="Arial"/>
          <w:sz w:val="12"/>
          <w:szCs w:val="12"/>
          <w:b w:val="1"/>
          <w:bCs w:val="1"/>
          <w:color w:val="345988"/>
        </w:rPr>
        <w:t xml:space="preserve"> ($)</w:t>
      </w:r>
    </w:p>
    <w:p>
      <w:pPr>
        <w:spacing w:after="0" w:line="20" w:lineRule="exact"/>
        <w:rPr>
          <w:sz w:val="20"/>
          <w:szCs w:val="20"/>
          <w:color w:val="auto"/>
        </w:rPr>
      </w:pPr>
    </w:p>
    <w:p>
      <w:pPr>
        <w:sectPr>
          <w:pgSz w:w="11900" w:h="16838" w:orient="portrait"/>
          <w:cols w:equalWidth="0" w:num="3">
            <w:col w:w="7840" w:space="380"/>
            <w:col w:w="2040" w:space="340"/>
            <w:col w:w="820"/>
          </w:cols>
          <w:pgMar w:left="240" w:top="11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3459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345988"/>
          </w:tcPr>
          <w:p>
            <w:pPr>
              <w:spacing w:after="0" w:line="20" w:lineRule="exact"/>
              <w:rPr>
                <w:sz w:val="1"/>
                <w:szCs w:val="1"/>
                <w:color w:val="auto"/>
              </w:rPr>
            </w:pPr>
          </w:p>
        </w:tc>
        <w:tc>
          <w:tcPr>
            <w:tcW w:w="860" w:type="dxa"/>
            <w:vAlign w:val="bottom"/>
            <w:shd w:val="clear" w:color="auto" w:fill="34598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345988"/>
          </w:tcPr>
          <w:p>
            <w:pPr>
              <w:spacing w:after="0" w:line="20" w:lineRule="exact"/>
              <w:rPr>
                <w:sz w:val="1"/>
                <w:szCs w:val="1"/>
                <w:color w:val="auto"/>
              </w:rPr>
            </w:pPr>
          </w:p>
        </w:tc>
        <w:tc>
          <w:tcPr>
            <w:tcW w:w="880" w:type="dxa"/>
            <w:vAlign w:val="bottom"/>
            <w:shd w:val="clear" w:color="auto" w:fill="345988"/>
          </w:tcPr>
          <w:p>
            <w:pPr>
              <w:spacing w:after="0" w:line="20" w:lineRule="exact"/>
              <w:rPr>
                <w:sz w:val="1"/>
                <w:szCs w:val="1"/>
                <w:color w:val="auto"/>
              </w:rPr>
            </w:pPr>
          </w:p>
        </w:tc>
      </w:tr>
      <w:tr>
        <w:trPr>
          <w:trHeight w:val="226"/>
        </w:trPr>
        <w:tc>
          <w:tcPr>
            <w:tcW w:w="660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2,339,740</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130,562</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13,971,605</w:t>
            </w:r>
          </w:p>
        </w:tc>
      </w:tr>
      <w:tr>
        <w:trPr>
          <w:trHeight w:val="236"/>
        </w:trPr>
        <w:tc>
          <w:tcPr>
            <w:tcW w:w="660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10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8590A9"/>
              <w:bottom w:val="single" w:sz="8" w:color="8590A9"/>
            </w:tcBorders>
          </w:tcPr>
          <w:p>
            <w:pPr>
              <w:spacing w:after="0"/>
              <w:rPr>
                <w:sz w:val="20"/>
                <w:szCs w:val="20"/>
                <w:color w:val="auto"/>
              </w:rPr>
            </w:pPr>
          </w:p>
        </w:tc>
        <w:tc>
          <w:tcPr>
            <w:tcW w:w="86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11,030</w:t>
            </w:r>
          </w:p>
        </w:tc>
        <w:tc>
          <w:tcPr>
            <w:tcW w:w="160" w:type="dxa"/>
            <w:vAlign w:val="bottom"/>
          </w:tcPr>
          <w:p>
            <w:pPr>
              <w:spacing w:after="0"/>
              <w:rPr>
                <w:sz w:val="20"/>
                <w:szCs w:val="20"/>
                <w:color w:val="auto"/>
              </w:rPr>
            </w:pPr>
          </w:p>
        </w:tc>
        <w:tc>
          <w:tcPr>
            <w:tcW w:w="12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1,154,601</w:t>
            </w:r>
          </w:p>
        </w:tc>
      </w:tr>
      <w:tr>
        <w:trPr>
          <w:trHeight w:val="236"/>
        </w:trPr>
        <w:tc>
          <w:tcPr>
            <w:tcW w:w="66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10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8590A9"/>
            </w:tcBorders>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97,023</w:t>
            </w:r>
          </w:p>
        </w:tc>
        <w:tc>
          <w:tcPr>
            <w:tcW w:w="160" w:type="dxa"/>
            <w:vAlign w:val="bottom"/>
          </w:tcPr>
          <w:p>
            <w:pPr>
              <w:spacing w:after="0"/>
              <w:rPr>
                <w:sz w:val="20"/>
                <w:szCs w:val="20"/>
                <w:color w:val="auto"/>
              </w:rPr>
            </w:pPr>
          </w:p>
        </w:tc>
        <w:tc>
          <w:tcPr>
            <w:tcW w:w="1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9,949,282</w:t>
            </w:r>
          </w:p>
        </w:tc>
      </w:tr>
      <w:tr>
        <w:trPr>
          <w:trHeight w:val="236"/>
        </w:trPr>
        <w:tc>
          <w:tcPr>
            <w:tcW w:w="66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10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8590A9"/>
            </w:tcBorders>
          </w:tcPr>
          <w:p>
            <w:pPr>
              <w:spacing w:after="0"/>
              <w:rPr>
                <w:sz w:val="20"/>
                <w:szCs w:val="20"/>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739,338</w:t>
            </w:r>
          </w:p>
        </w:tc>
        <w:tc>
          <w:tcPr>
            <w:tcW w:w="140" w:type="dxa"/>
            <w:vAlign w:val="bottom"/>
          </w:tcPr>
          <w:p>
            <w:pPr>
              <w:spacing w:after="0"/>
              <w:rPr>
                <w:sz w:val="20"/>
                <w:szCs w:val="20"/>
                <w:color w:val="auto"/>
              </w:rPr>
            </w:pPr>
          </w:p>
        </w:tc>
        <w:tc>
          <w:tcPr>
            <w:tcW w:w="10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10,477</w:t>
            </w:r>
          </w:p>
        </w:tc>
        <w:tc>
          <w:tcPr>
            <w:tcW w:w="160" w:type="dxa"/>
            <w:vAlign w:val="bottom"/>
          </w:tcPr>
          <w:p>
            <w:pPr>
              <w:spacing w:after="0"/>
              <w:rPr>
                <w:sz w:val="20"/>
                <w:szCs w:val="20"/>
                <w:color w:val="auto"/>
              </w:rPr>
            </w:pPr>
          </w:p>
        </w:tc>
        <w:tc>
          <w:tcPr>
            <w:tcW w:w="1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1,118,595</w:t>
            </w:r>
          </w:p>
        </w:tc>
      </w:tr>
      <w:tr>
        <w:trPr>
          <w:trHeight w:val="246"/>
        </w:trPr>
        <w:tc>
          <w:tcPr>
            <w:tcW w:w="660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10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345988"/>
            </w:tcBorders>
          </w:tcPr>
          <w:p>
            <w:pPr>
              <w:spacing w:after="0"/>
              <w:rPr>
                <w:sz w:val="21"/>
                <w:szCs w:val="21"/>
                <w:color w:val="auto"/>
              </w:rPr>
            </w:pP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295,875</w:t>
            </w:r>
          </w:p>
        </w:tc>
        <w:tc>
          <w:tcPr>
            <w:tcW w:w="140" w:type="dxa"/>
            <w:vAlign w:val="bottom"/>
          </w:tcPr>
          <w:p>
            <w:pPr>
              <w:spacing w:after="0"/>
              <w:rPr>
                <w:sz w:val="21"/>
                <w:szCs w:val="21"/>
                <w:color w:val="auto"/>
              </w:rPr>
            </w:pPr>
          </w:p>
        </w:tc>
        <w:tc>
          <w:tcPr>
            <w:tcW w:w="10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23,431</w:t>
            </w:r>
          </w:p>
        </w:tc>
        <w:tc>
          <w:tcPr>
            <w:tcW w:w="160" w:type="dxa"/>
            <w:vAlign w:val="bottom"/>
          </w:tcPr>
          <w:p>
            <w:pPr>
              <w:spacing w:after="0"/>
              <w:rPr>
                <w:sz w:val="21"/>
                <w:szCs w:val="21"/>
                <w:color w:val="auto"/>
              </w:rPr>
            </w:pPr>
          </w:p>
        </w:tc>
        <w:tc>
          <w:tcPr>
            <w:tcW w:w="1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2,492,121</w:t>
            </w:r>
          </w:p>
        </w:tc>
      </w:tr>
    </w:tbl>
    <w:p>
      <w:pPr>
        <w:spacing w:after="0" w:line="91" w:lineRule="exact"/>
        <w:rPr>
          <w:sz w:val="20"/>
          <w:szCs w:val="20"/>
          <w:color w:val="auto"/>
        </w:rPr>
      </w:pPr>
    </w:p>
    <w:p>
      <w:pPr>
        <w:ind w:left="360" w:hanging="352"/>
        <w:spacing w:after="0"/>
        <w:tabs>
          <w:tab w:leader="none" w:pos="3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Amounts reflect the difference between the exercise price of the option and the market price at the time of exercise.</w:t>
      </w:r>
    </w:p>
    <w:p>
      <w:pPr>
        <w:spacing w:after="0" w:line="106" w:lineRule="exact"/>
        <w:rPr>
          <w:rFonts w:ascii="Arial" w:cs="Arial" w:eastAsia="Arial" w:hAnsi="Arial"/>
          <w:sz w:val="13"/>
          <w:szCs w:val="13"/>
          <w:color w:val="auto"/>
        </w:rPr>
      </w:pPr>
    </w:p>
    <w:p>
      <w:pPr>
        <w:ind w:left="360" w:hanging="352"/>
        <w:spacing w:after="0"/>
        <w:tabs>
          <w:tab w:leader="none" w:pos="3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Amounts reflect the market value of the stock on the day the stock vested.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345988"/>
        </w:rPr>
        <w:t>2017 Nonqualified Deferred Compensation</w:t>
      </w:r>
    </w:p>
    <w:p>
      <w:pPr>
        <w:spacing w:after="0" w:line="21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following table sets forth certain information regarding non-tax qualified compensation deferred during the year ended December 31, 2017. All of the information below relates to notional stock units that we have granted to certain of our named executive officers pursuant to employment agreements we have entered into with them. Pursuant to these employment agreements, we have agreed to grant notional stock units with a specified value to certain of our named executive officers each year, which are subject to vesting based on continued employment for the following year. Once vested, these notional stock units represent a contingent right to receive the value of one share of our common stock. Under the terms of the deferred compensation agreements, each participant is also entitled to dividend equivalent rights, to be paid in cash on a current basis, equal to the amount per share of any cash dividend we declare, multiplied by the total number of notional units held by such participant as of the record date for such dividend. Vested notional stock units are settled in cash no later than 30 days following the earliest of (i) the executive’s death, (ii) the date of the executive’s separation from service with us and (iii) the effective date of a change in control.</w:t>
      </w:r>
    </w:p>
    <w:p>
      <w:pPr>
        <w:spacing w:after="0" w:line="158"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45988"/>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Executive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Registrant</w:t>
            </w:r>
          </w:p>
        </w:tc>
        <w:tc>
          <w:tcPr>
            <w:tcW w:w="24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45988"/>
              </w:rPr>
              <w:t>Aggregate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Aggregate</w:t>
            </w:r>
          </w:p>
        </w:tc>
        <w:tc>
          <w:tcPr>
            <w:tcW w:w="28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345988"/>
              </w:rPr>
              <w:t>Aggregate</w:t>
            </w:r>
          </w:p>
        </w:tc>
        <w:tc>
          <w:tcPr>
            <w:tcW w:w="0" w:type="dxa"/>
            <w:vAlign w:val="bottom"/>
          </w:tcPr>
          <w:p>
            <w:pPr>
              <w:spacing w:after="0"/>
              <w:rPr>
                <w:sz w:val="1"/>
                <w:szCs w:val="1"/>
                <w:color w:val="auto"/>
              </w:rPr>
            </w:pPr>
          </w:p>
        </w:tc>
      </w:tr>
      <w:tr>
        <w:trPr>
          <w:trHeight w:val="148"/>
        </w:trPr>
        <w:tc>
          <w:tcPr>
            <w:tcW w:w="3440" w:type="dxa"/>
            <w:vAlign w:val="bottom"/>
            <w:vMerge w:val="restart"/>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Contributions</w:t>
            </w:r>
          </w:p>
        </w:tc>
        <w:tc>
          <w:tcPr>
            <w:tcW w:w="106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Contributions</w:t>
            </w:r>
          </w:p>
        </w:tc>
        <w:tc>
          <w:tcPr>
            <w:tcW w:w="240" w:type="dxa"/>
            <w:vAlign w:val="bottom"/>
          </w:tcPr>
          <w:p>
            <w:pPr>
              <w:spacing w:after="0"/>
              <w:rPr>
                <w:sz w:val="12"/>
                <w:szCs w:val="12"/>
                <w:color w:val="auto"/>
              </w:rPr>
            </w:pPr>
          </w:p>
        </w:tc>
        <w:tc>
          <w:tcPr>
            <w:tcW w:w="136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345988"/>
              </w:rPr>
              <w:t>Earnings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345988"/>
              </w:rPr>
              <w:t>Withdrawals/</w:t>
            </w:r>
          </w:p>
        </w:tc>
        <w:tc>
          <w:tcPr>
            <w:tcW w:w="280" w:type="dxa"/>
            <w:vAlign w:val="bottom"/>
          </w:tcPr>
          <w:p>
            <w:pPr>
              <w:spacing w:after="0"/>
              <w:rPr>
                <w:sz w:val="12"/>
                <w:szCs w:val="12"/>
                <w:color w:val="auto"/>
              </w:rPr>
            </w:pPr>
          </w:p>
        </w:tc>
        <w:tc>
          <w:tcPr>
            <w:tcW w:w="142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345988"/>
              </w:rPr>
              <w:t>Balance</w:t>
            </w:r>
          </w:p>
        </w:tc>
        <w:tc>
          <w:tcPr>
            <w:tcW w:w="0" w:type="dxa"/>
            <w:vAlign w:val="bottom"/>
          </w:tcPr>
          <w:p>
            <w:pPr>
              <w:spacing w:after="0"/>
              <w:rPr>
                <w:sz w:val="1"/>
                <w:szCs w:val="1"/>
                <w:color w:val="auto"/>
              </w:rPr>
            </w:pPr>
          </w:p>
        </w:tc>
      </w:tr>
      <w:tr>
        <w:trPr>
          <w:trHeight w:val="209"/>
        </w:trPr>
        <w:tc>
          <w:tcPr>
            <w:tcW w:w="34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3"/>
                <w:szCs w:val="13"/>
                <w:b w:val="1"/>
                <w:bCs w:val="1"/>
                <w:color w:val="345988"/>
              </w:rPr>
              <w:t>in Last FY ($)</w:t>
            </w:r>
            <w:r>
              <w:rPr>
                <w:rFonts w:ascii="Arial" w:cs="Arial" w:eastAsia="Arial" w:hAnsi="Arial"/>
                <w:sz w:val="22"/>
                <w:szCs w:val="22"/>
                <w:b w:val="1"/>
                <w:bCs w:val="1"/>
                <w:color w:val="345988"/>
                <w:vertAlign w:val="superscript"/>
              </w:rPr>
              <w:t>(1)(2)</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in Last FY ($)</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3"/>
                <w:szCs w:val="13"/>
                <w:b w:val="1"/>
                <w:bCs w:val="1"/>
                <w:color w:val="345988"/>
              </w:rPr>
              <w:t>in Last FY ($)</w:t>
            </w:r>
            <w:r>
              <w:rPr>
                <w:rFonts w:ascii="Arial" w:cs="Arial" w:eastAsia="Arial" w:hAnsi="Arial"/>
                <w:sz w:val="22"/>
                <w:szCs w:val="22"/>
                <w:b w:val="1"/>
                <w:bCs w:val="1"/>
                <w:color w:val="345988"/>
                <w:vertAlign w:val="superscript"/>
              </w:rPr>
              <w:t>(2)(3)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3"/>
                <w:szCs w:val="13"/>
                <w:b w:val="1"/>
                <w:bCs w:val="1"/>
                <w:color w:val="345988"/>
              </w:rPr>
              <w:t>Distributions ($)</w:t>
            </w:r>
            <w:r>
              <w:rPr>
                <w:rFonts w:ascii="Arial" w:cs="Arial" w:eastAsia="Arial" w:hAnsi="Arial"/>
                <w:sz w:val="22"/>
                <w:szCs w:val="22"/>
                <w:b w:val="1"/>
                <w:bCs w:val="1"/>
                <w:color w:val="345988"/>
                <w:vertAlign w:val="superscript"/>
              </w:rPr>
              <w:t>(4)</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3"/>
                <w:szCs w:val="13"/>
                <w:b w:val="1"/>
                <w:bCs w:val="1"/>
                <w:color w:val="345988"/>
              </w:rPr>
              <w:t>at Last FYE ($)</w:t>
            </w:r>
            <w:r>
              <w:rPr>
                <w:rFonts w:ascii="Arial" w:cs="Arial" w:eastAsia="Arial" w:hAnsi="Arial"/>
                <w:sz w:val="22"/>
                <w:szCs w:val="22"/>
                <w:b w:val="1"/>
                <w:bCs w:val="1"/>
                <w:color w:val="345988"/>
                <w:vertAlign w:val="superscript"/>
              </w:rPr>
              <w:t>(2)(5)</w:t>
            </w:r>
          </w:p>
        </w:tc>
        <w:tc>
          <w:tcPr>
            <w:tcW w:w="0" w:type="dxa"/>
            <w:vAlign w:val="bottom"/>
          </w:tcPr>
          <w:p>
            <w:pPr>
              <w:spacing w:after="0"/>
              <w:rPr>
                <w:sz w:val="1"/>
                <w:szCs w:val="1"/>
                <w:color w:val="auto"/>
              </w:rPr>
            </w:pPr>
          </w:p>
        </w:tc>
      </w:tr>
      <w:tr>
        <w:trPr>
          <w:trHeight w:val="240"/>
        </w:trPr>
        <w:tc>
          <w:tcPr>
            <w:tcW w:w="344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220" w:type="dxa"/>
            <w:vAlign w:val="bottom"/>
            <w:tcBorders>
              <w:top w:val="single" w:sz="8" w:color="345988"/>
              <w:bottom w:val="single" w:sz="8" w:color="8590A9"/>
            </w:tcBorders>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892,703</w:t>
            </w:r>
          </w:p>
        </w:tc>
        <w:tc>
          <w:tcPr>
            <w:tcW w:w="160" w:type="dxa"/>
            <w:vAlign w:val="bottom"/>
          </w:tcPr>
          <w:p>
            <w:pPr>
              <w:spacing w:after="0"/>
              <w:rPr>
                <w:sz w:val="20"/>
                <w:szCs w:val="20"/>
                <w:color w:val="auto"/>
              </w:rPr>
            </w:pPr>
          </w:p>
        </w:tc>
        <w:tc>
          <w:tcPr>
            <w:tcW w:w="90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Borders>
              <w:top w:val="single" w:sz="8" w:color="345988"/>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-152,246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345988"/>
              <w:bottom w:val="single" w:sz="8" w:color="8590A9"/>
            </w:tcBorders>
          </w:tcPr>
          <w:p>
            <w:pPr>
              <w:jc w:val="right"/>
              <w:ind w:right="103"/>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161,147</w:t>
            </w:r>
          </w:p>
        </w:tc>
        <w:tc>
          <w:tcPr>
            <w:tcW w:w="160" w:type="dxa"/>
            <w:vAlign w:val="bottom"/>
          </w:tcPr>
          <w:p>
            <w:pPr>
              <w:spacing w:after="0"/>
              <w:rPr>
                <w:sz w:val="20"/>
                <w:szCs w:val="20"/>
                <w:color w:val="auto"/>
              </w:rPr>
            </w:pPr>
          </w:p>
        </w:tc>
        <w:tc>
          <w:tcPr>
            <w:tcW w:w="280" w:type="dxa"/>
            <w:vAlign w:val="bottom"/>
            <w:tcBorders>
              <w:top w:val="single" w:sz="8" w:color="345988"/>
              <w:bottom w:val="single" w:sz="8" w:color="8590A9"/>
            </w:tcBorders>
          </w:tcPr>
          <w:p>
            <w:pPr>
              <w:jc w:val="right"/>
              <w:ind w:right="92"/>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4,720,092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220" w:type="dxa"/>
            <w:vAlign w:val="bottom"/>
            <w:tcBorders>
              <w:bottom w:val="single" w:sz="8" w:color="8590A9"/>
            </w:tcBorders>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140,898</w:t>
            </w:r>
          </w:p>
        </w:tc>
        <w:tc>
          <w:tcPr>
            <w:tcW w:w="160" w:type="dxa"/>
            <w:vAlign w:val="bottom"/>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-43,710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8590A9"/>
            </w:tcBorders>
          </w:tcPr>
          <w:p>
            <w:pPr>
              <w:jc w:val="right"/>
              <w:ind w:right="10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101,795</w:t>
            </w:r>
          </w:p>
        </w:tc>
        <w:tc>
          <w:tcPr>
            <w:tcW w:w="160" w:type="dxa"/>
            <w:vAlign w:val="bottom"/>
          </w:tcPr>
          <w:p>
            <w:pPr>
              <w:spacing w:after="0"/>
              <w:rPr>
                <w:sz w:val="20"/>
                <w:szCs w:val="20"/>
                <w:color w:val="auto"/>
              </w:rPr>
            </w:pPr>
          </w:p>
        </w:tc>
        <w:tc>
          <w:tcPr>
            <w:tcW w:w="280" w:type="dxa"/>
            <w:vAlign w:val="bottom"/>
            <w:tcBorders>
              <w:bottom w:val="single" w:sz="8" w:color="8590A9"/>
            </w:tcBorders>
          </w:tcPr>
          <w:p>
            <w:pPr>
              <w:jc w:val="right"/>
              <w:ind w:right="9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1,518,290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220" w:type="dxa"/>
            <w:vAlign w:val="bottom"/>
            <w:tcBorders>
              <w:bottom w:val="single" w:sz="8" w:color="8590A9"/>
            </w:tcBorders>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516,762</w:t>
            </w:r>
          </w:p>
        </w:tc>
        <w:tc>
          <w:tcPr>
            <w:tcW w:w="160" w:type="dxa"/>
            <w:vAlign w:val="bottom"/>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-81,692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8590A9"/>
            </w:tcBorders>
          </w:tcPr>
          <w:p>
            <w:pPr>
              <w:jc w:val="right"/>
              <w:ind w:right="10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46,633</w:t>
            </w:r>
          </w:p>
        </w:tc>
        <w:tc>
          <w:tcPr>
            <w:tcW w:w="160" w:type="dxa"/>
            <w:vAlign w:val="bottom"/>
          </w:tcPr>
          <w:p>
            <w:pPr>
              <w:spacing w:after="0"/>
              <w:rPr>
                <w:sz w:val="20"/>
                <w:szCs w:val="20"/>
                <w:color w:val="auto"/>
              </w:rPr>
            </w:pPr>
          </w:p>
        </w:tc>
        <w:tc>
          <w:tcPr>
            <w:tcW w:w="280" w:type="dxa"/>
            <w:vAlign w:val="bottom"/>
            <w:tcBorders>
              <w:bottom w:val="single" w:sz="8" w:color="8590A9"/>
            </w:tcBorders>
          </w:tcPr>
          <w:p>
            <w:pPr>
              <w:jc w:val="right"/>
              <w:ind w:right="9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3,314,238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220" w:type="dxa"/>
            <w:vAlign w:val="bottom"/>
            <w:tcBorders>
              <w:bottom w:val="single" w:sz="8" w:color="8590A9"/>
            </w:tcBorders>
          </w:tcPr>
          <w:p>
            <w:pPr>
              <w:spacing w:after="0"/>
              <w:rPr>
                <w:sz w:val="20"/>
                <w:szCs w:val="20"/>
                <w:color w:val="auto"/>
              </w:rPr>
            </w:pPr>
          </w:p>
        </w:tc>
        <w:tc>
          <w:tcPr>
            <w:tcW w:w="12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Borders>
              <w:bottom w:val="single" w:sz="8" w:color="8590A9"/>
            </w:tcBorders>
          </w:tcPr>
          <w:p>
            <w:pPr>
              <w:spacing w:after="0"/>
              <w:rPr>
                <w:sz w:val="20"/>
                <w:szCs w:val="20"/>
                <w:color w:val="auto"/>
              </w:rPr>
            </w:pPr>
          </w:p>
        </w:tc>
        <w:tc>
          <w:tcPr>
            <w:tcW w:w="12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8590A9"/>
            </w:tcBorders>
          </w:tcPr>
          <w:p>
            <w:pPr>
              <w:spacing w:after="0"/>
              <w:rPr>
                <w:sz w:val="20"/>
                <w:szCs w:val="20"/>
                <w:color w:val="auto"/>
              </w:rPr>
            </w:pPr>
          </w:p>
        </w:tc>
        <w:tc>
          <w:tcPr>
            <w:tcW w:w="13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14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44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220" w:type="dxa"/>
            <w:vAlign w:val="bottom"/>
            <w:tcBorders>
              <w:bottom w:val="single" w:sz="8" w:color="345988"/>
            </w:tcBorders>
          </w:tcPr>
          <w:p>
            <w:pPr>
              <w:spacing w:after="0"/>
              <w:rPr>
                <w:sz w:val="21"/>
                <w:szCs w:val="21"/>
                <w:color w:val="auto"/>
              </w:rPr>
            </w:pPr>
          </w:p>
        </w:tc>
        <w:tc>
          <w:tcPr>
            <w:tcW w:w="12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Borders>
              <w:bottom w:val="single" w:sz="8" w:color="345988"/>
            </w:tcBorders>
          </w:tcPr>
          <w:p>
            <w:pPr>
              <w:spacing w:after="0"/>
              <w:rPr>
                <w:sz w:val="21"/>
                <w:szCs w:val="21"/>
                <w:color w:val="auto"/>
              </w:rPr>
            </w:pPr>
          </w:p>
        </w:tc>
        <w:tc>
          <w:tcPr>
            <w:tcW w:w="12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345988"/>
            </w:tcBorders>
          </w:tcPr>
          <w:p>
            <w:pPr>
              <w:spacing w:after="0"/>
              <w:rPr>
                <w:sz w:val="21"/>
                <w:szCs w:val="21"/>
                <w:color w:val="auto"/>
              </w:rPr>
            </w:pPr>
          </w:p>
        </w:tc>
        <w:tc>
          <w:tcPr>
            <w:tcW w:w="134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Borders>
              <w:bottom w:val="single" w:sz="8" w:color="345988"/>
            </w:tcBorders>
          </w:tcPr>
          <w:p>
            <w:pPr>
              <w:spacing w:after="0"/>
              <w:rPr>
                <w:sz w:val="21"/>
                <w:szCs w:val="21"/>
                <w:color w:val="auto"/>
              </w:rPr>
            </w:pPr>
          </w:p>
        </w:tc>
        <w:tc>
          <w:tcPr>
            <w:tcW w:w="14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60" w:hanging="352"/>
        <w:spacing w:after="0"/>
        <w:tabs>
          <w:tab w:leader="none" w:pos="3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Represents values as of the vesting dates for notional units that vested during 2017, which are reported in the 2017 Option Exercises and Stock Vested table.</w:t>
      </w:r>
    </w:p>
    <w:p>
      <w:pPr>
        <w:spacing w:after="0" w:line="106" w:lineRule="exact"/>
        <w:rPr>
          <w:rFonts w:ascii="Arial" w:cs="Arial" w:eastAsia="Arial" w:hAnsi="Arial"/>
          <w:sz w:val="13"/>
          <w:szCs w:val="13"/>
          <w:color w:val="auto"/>
        </w:rPr>
      </w:pPr>
    </w:p>
    <w:p>
      <w:pPr>
        <w:ind w:left="360" w:right="80" w:hanging="352"/>
        <w:spacing w:after="0" w:line="254" w:lineRule="auto"/>
        <w:tabs>
          <w:tab w:leader="none" w:pos="3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Awards of notional units constitute “Stock Awards” for purposes of the Summary Compensation Table, and, as a result, the full grant date fair value of these awards computed in accordance with ASC 718, as of the grant date of such awards, are included in the “Stock Awards” column of the Summary Compensation Table for the year in which they were granted. The right to receive dividend equivalents was factored into the determination of the grant date fair value, which means that the value of the dividend equivalents included in “Aggregate Earnings in Last FY” was effectively already included in the Summary Compensation Table.</w:t>
      </w:r>
    </w:p>
    <w:p>
      <w:pPr>
        <w:spacing w:after="0" w:line="67" w:lineRule="exact"/>
        <w:rPr>
          <w:rFonts w:ascii="Arial" w:cs="Arial" w:eastAsia="Arial" w:hAnsi="Arial"/>
          <w:sz w:val="13"/>
          <w:szCs w:val="13"/>
          <w:color w:val="auto"/>
        </w:rPr>
      </w:pPr>
    </w:p>
    <w:p>
      <w:pPr>
        <w:ind w:left="360" w:right="120" w:hanging="352"/>
        <w:spacing w:after="0" w:line="254" w:lineRule="auto"/>
        <w:tabs>
          <w:tab w:leader="none" w:pos="3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amounts in this column represent the increase or decrease in value of vested notional units from December 31, 2016 through December 31, 2017, as calculated based on the closing stock price on the NYSE of one share of our common stock on December 31, 2016, or, for notional units that vested during 2017, the closing stock price on the NYSE of one share of our common stock on such vesting date, compared to the closing stock price on the NYSE of one share of our common stock on December 31, 2017, plus the aggregate value of dividend equivalent rights paid with respect to all vested and unvested notional units held by each executive during 2017.</w:t>
      </w:r>
    </w:p>
    <w:p>
      <w:pPr>
        <w:spacing w:after="0" w:line="67" w:lineRule="exact"/>
        <w:rPr>
          <w:rFonts w:ascii="Arial" w:cs="Arial" w:eastAsia="Arial" w:hAnsi="Arial"/>
          <w:sz w:val="13"/>
          <w:szCs w:val="13"/>
          <w:color w:val="auto"/>
        </w:rPr>
      </w:pPr>
    </w:p>
    <w:p>
      <w:pPr>
        <w:ind w:left="360" w:hanging="352"/>
        <w:spacing w:after="0"/>
        <w:tabs>
          <w:tab w:leader="none" w:pos="3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Represents the aggregate value of dividend equivalent rights paid with respect to all vested and unvested notional units held by each executive during 2017.</w:t>
      </w:r>
    </w:p>
    <w:p>
      <w:pPr>
        <w:spacing w:after="0" w:line="106" w:lineRule="exact"/>
        <w:rPr>
          <w:rFonts w:ascii="Arial" w:cs="Arial" w:eastAsia="Arial" w:hAnsi="Arial"/>
          <w:sz w:val="13"/>
          <w:szCs w:val="13"/>
          <w:color w:val="auto"/>
        </w:rPr>
      </w:pPr>
    </w:p>
    <w:p>
      <w:pPr>
        <w:ind w:left="360" w:hanging="352"/>
        <w:spacing w:after="0"/>
        <w:tabs>
          <w:tab w:leader="none" w:pos="3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Based on a per share price of $100.93, which was the closing stock price on the NYSE of one share of our common stock on December 31,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345988"/>
        </w:rPr>
        <w:t>Potential Payments Upon Termination or Change in Control</w:t>
      </w:r>
    </w:p>
    <w:p>
      <w:pPr>
        <w:spacing w:after="0" w:line="213"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We have contractual arrangements with our named executive officers that provide for payments, acceleration of vesting or other benefits to our named executive officers upon a termination of employment in certain circumstances or upon a change in control. These include our employment agreements with our named executive officers, our performance-based equity awards and our stock options. The following are certain key aspects of these contractual arrangements:</w:t>
      </w:r>
    </w:p>
    <w:p>
      <w:pPr>
        <w:spacing w:after="0" w:line="175" w:lineRule="exact"/>
        <w:rPr>
          <w:sz w:val="20"/>
          <w:szCs w:val="20"/>
          <w:color w:val="auto"/>
        </w:rPr>
      </w:pPr>
    </w:p>
    <w:p>
      <w:pPr>
        <w:ind w:left="540" w:hanging="263"/>
        <w:spacing w:after="0"/>
        <w:tabs>
          <w:tab w:leader="none" w:pos="540" w:val="left"/>
        </w:tabs>
        <w:numPr>
          <w:ilvl w:val="0"/>
          <w:numId w:val="116"/>
        </w:numPr>
        <w:rPr>
          <w:rFonts w:ascii="Arial" w:cs="Arial" w:eastAsia="Arial" w:hAnsi="Arial"/>
          <w:sz w:val="17"/>
          <w:szCs w:val="17"/>
          <w:color w:val="345988"/>
        </w:rPr>
      </w:pPr>
      <w:r>
        <w:rPr>
          <w:rFonts w:ascii="Arial" w:cs="Arial" w:eastAsia="Arial" w:hAnsi="Arial"/>
          <w:sz w:val="18"/>
          <w:szCs w:val="18"/>
          <w:color w:val="auto"/>
        </w:rPr>
        <w:t>No IRC Section 280G tax gross-up provisions</w:t>
      </w:r>
    </w:p>
    <w:p>
      <w:pPr>
        <w:spacing w:after="0" w:line="17" w:lineRule="exact"/>
        <w:rPr>
          <w:rFonts w:ascii="Arial" w:cs="Arial" w:eastAsia="Arial" w:hAnsi="Arial"/>
          <w:sz w:val="17"/>
          <w:szCs w:val="17"/>
          <w:color w:val="345988"/>
        </w:rPr>
      </w:pPr>
    </w:p>
    <w:p>
      <w:pPr>
        <w:ind w:left="540" w:hanging="263"/>
        <w:spacing w:after="0" w:line="234" w:lineRule="auto"/>
        <w:tabs>
          <w:tab w:leader="none" w:pos="540" w:val="left"/>
        </w:tabs>
        <w:numPr>
          <w:ilvl w:val="0"/>
          <w:numId w:val="116"/>
        </w:numPr>
        <w:rPr>
          <w:rFonts w:ascii="Arial" w:cs="Arial" w:eastAsia="Arial" w:hAnsi="Arial"/>
          <w:sz w:val="17"/>
          <w:szCs w:val="17"/>
          <w:color w:val="345988"/>
        </w:rPr>
      </w:pPr>
      <w:r>
        <w:rPr>
          <w:rFonts w:ascii="Arial" w:cs="Arial" w:eastAsia="Arial" w:hAnsi="Arial"/>
          <w:sz w:val="18"/>
          <w:szCs w:val="18"/>
          <w:color w:val="auto"/>
        </w:rPr>
        <w:t>No single trigger change in control payments</w:t>
      </w:r>
    </w:p>
    <w:p>
      <w:pPr>
        <w:ind w:left="540" w:hanging="263"/>
        <w:spacing w:after="0" w:line="234" w:lineRule="auto"/>
        <w:tabs>
          <w:tab w:leader="none" w:pos="540" w:val="left"/>
        </w:tabs>
        <w:numPr>
          <w:ilvl w:val="0"/>
          <w:numId w:val="116"/>
        </w:numPr>
        <w:rPr>
          <w:rFonts w:ascii="Arial" w:cs="Arial" w:eastAsia="Arial" w:hAnsi="Arial"/>
          <w:sz w:val="17"/>
          <w:szCs w:val="17"/>
          <w:color w:val="345988"/>
        </w:rPr>
      </w:pPr>
      <w:r>
        <w:rPr>
          <w:rFonts w:ascii="Arial" w:cs="Arial" w:eastAsia="Arial" w:hAnsi="Arial"/>
          <w:sz w:val="18"/>
          <w:szCs w:val="18"/>
          <w:color w:val="auto"/>
        </w:rPr>
        <w:t>No single trigger change in control vesting acceleration</w:t>
      </w:r>
    </w:p>
    <w:p>
      <w:pPr>
        <w:ind w:left="540" w:hanging="263"/>
        <w:spacing w:after="0"/>
        <w:tabs>
          <w:tab w:leader="none" w:pos="540" w:val="left"/>
        </w:tabs>
        <w:numPr>
          <w:ilvl w:val="0"/>
          <w:numId w:val="116"/>
        </w:numPr>
        <w:rPr>
          <w:rFonts w:ascii="Arial" w:cs="Arial" w:eastAsia="Arial" w:hAnsi="Arial"/>
          <w:sz w:val="17"/>
          <w:szCs w:val="17"/>
          <w:color w:val="345988"/>
        </w:rPr>
      </w:pPr>
      <w:r>
        <w:rPr>
          <w:rFonts w:ascii="Arial" w:cs="Arial" w:eastAsia="Arial" w:hAnsi="Arial"/>
          <w:sz w:val="18"/>
          <w:szCs w:val="18"/>
          <w:color w:val="auto"/>
        </w:rPr>
        <w:t>Reasonable cash severance multiples (1x without change in control; 2x-3x with change in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below describes these contractual arrangements in greater detail.</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Employment Agreements</w:t>
      </w:r>
    </w:p>
    <w:p>
      <w:pPr>
        <w:spacing w:after="0" w:line="214"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We have employment agreements with all of our named executive officers. All of the employment agreements with our named executive officers provide for, among other things, severance payments and benefits and acceleration of equity awards in connection with the termination of employment in certain circumstances. In return, each of our named executive officers has agreed to non-compete, non-solicitation, non-interference and confidentiality provisions. The table below summarizes the material terms of our employment agreements with our named executive officers.</w:t>
      </w:r>
    </w:p>
    <w:p>
      <w:pPr>
        <w:spacing w:after="0" w:line="183" w:lineRule="exact"/>
        <w:rPr>
          <w:sz w:val="20"/>
          <w:szCs w:val="20"/>
          <w:color w:val="auto"/>
        </w:rPr>
      </w:pPr>
    </w:p>
    <w:p>
      <w:pPr>
        <w:ind w:left="300" w:hanging="292"/>
        <w:spacing w:after="0"/>
        <w:tabs>
          <w:tab w:leader="none" w:pos="300" w:val="left"/>
        </w:tabs>
        <w:numPr>
          <w:ilvl w:val="0"/>
          <w:numId w:val="117"/>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175"/>
              <w:spacing w:after="0"/>
              <w:rPr>
                <w:sz w:val="20"/>
                <w:szCs w:val="20"/>
                <w:color w:val="auto"/>
              </w:rPr>
            </w:pPr>
            <w:r>
              <w:rPr>
                <w:rFonts w:ascii="Arial" w:cs="Arial" w:eastAsia="Arial" w:hAnsi="Arial"/>
                <w:sz w:val="13"/>
                <w:szCs w:val="13"/>
                <w:b w:val="1"/>
                <w:bCs w:val="1"/>
                <w:color w:val="345988"/>
              </w:rPr>
              <w:t>Marc Holliday</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345988"/>
              </w:rPr>
              <w:t>Stephen L. Green</w:t>
            </w:r>
          </w:p>
        </w:tc>
        <w:tc>
          <w:tcPr>
            <w:tcW w:w="160" w:type="dxa"/>
            <w:vAlign w:val="bottom"/>
          </w:tcPr>
          <w:p>
            <w:pPr>
              <w:spacing w:after="0"/>
              <w:rPr>
                <w:sz w:val="16"/>
                <w:szCs w:val="16"/>
                <w:color w:val="auto"/>
              </w:rPr>
            </w:pPr>
          </w:p>
        </w:tc>
        <w:tc>
          <w:tcPr>
            <w:tcW w:w="1380" w:type="dxa"/>
            <w:vAlign w:val="bottom"/>
          </w:tcPr>
          <w:p>
            <w:pPr>
              <w:jc w:val="right"/>
              <w:ind w:right="75"/>
              <w:spacing w:after="0"/>
              <w:rPr>
                <w:sz w:val="20"/>
                <w:szCs w:val="20"/>
                <w:color w:val="auto"/>
              </w:rPr>
            </w:pPr>
            <w:r>
              <w:rPr>
                <w:rFonts w:ascii="Arial" w:cs="Arial" w:eastAsia="Arial" w:hAnsi="Arial"/>
                <w:sz w:val="13"/>
                <w:szCs w:val="13"/>
                <w:b w:val="1"/>
                <w:bCs w:val="1"/>
                <w:color w:val="345988"/>
              </w:rPr>
              <w:t>Andrew Mathias</w:t>
            </w:r>
          </w:p>
        </w:tc>
        <w:tc>
          <w:tcPr>
            <w:tcW w:w="1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Matthew J. DiLiberto</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345988"/>
              </w:rPr>
              <w:t>Andrew S. Levine</w:t>
            </w:r>
          </w:p>
        </w:tc>
      </w:tr>
      <w:tr>
        <w:trPr>
          <w:trHeight w:val="29"/>
        </w:trPr>
        <w:tc>
          <w:tcPr>
            <w:tcW w:w="42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345988"/>
          </w:tcPr>
          <w:p>
            <w:pPr>
              <w:spacing w:after="0"/>
              <w:rPr>
                <w:sz w:val="2"/>
                <w:szCs w:val="2"/>
                <w:color w:val="auto"/>
              </w:rPr>
            </w:pPr>
          </w:p>
        </w:tc>
      </w:tr>
      <w:tr>
        <w:trPr>
          <w:trHeight w:val="310"/>
        </w:trPr>
        <w:tc>
          <w:tcPr>
            <w:tcW w:w="4200" w:type="dxa"/>
            <w:vAlign w:val="bottom"/>
          </w:tcPr>
          <w:p>
            <w:pPr>
              <w:spacing w:after="0" w:line="310" w:lineRule="exact"/>
              <w:rPr>
                <w:sz w:val="20"/>
                <w:szCs w:val="20"/>
                <w:color w:val="auto"/>
              </w:rPr>
            </w:pPr>
            <w:r>
              <w:rPr>
                <w:rFonts w:ascii="Arial" w:cs="Arial" w:eastAsia="Arial" w:hAnsi="Arial"/>
                <w:sz w:val="18"/>
                <w:szCs w:val="18"/>
                <w:b w:val="1"/>
                <w:bCs w:val="1"/>
                <w:color w:val="auto"/>
              </w:rPr>
              <w:t>Term</w:t>
            </w:r>
            <w:r>
              <w:rPr>
                <w:rFonts w:ascii="Arial" w:cs="Arial" w:eastAsia="Arial" w:hAnsi="Arial"/>
                <w:sz w:val="29"/>
                <w:szCs w:val="29"/>
                <w:b w:val="1"/>
                <w:bCs w:val="1"/>
                <w:color w:val="auto"/>
                <w:vertAlign w:val="superscript"/>
              </w:rPr>
              <w:t>(1)</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w w:val="97"/>
              </w:rPr>
              <w:t>1/18/16 – 1/17/19</w:t>
            </w:r>
          </w:p>
        </w:tc>
        <w:tc>
          <w:tcPr>
            <w:tcW w:w="16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1/1/15 – 1/1/16</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1/1/18 – 12/31/18</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1/1/18 – 1/1/21</w:t>
            </w:r>
          </w:p>
        </w:tc>
        <w:tc>
          <w:tcPr>
            <w:tcW w:w="1180" w:type="dxa"/>
            <w:vAlign w:val="bottom"/>
          </w:tcPr>
          <w:p>
            <w:pPr>
              <w:jc w:val="right"/>
              <w:spacing w:after="0"/>
              <w:rPr>
                <w:sz w:val="20"/>
                <w:szCs w:val="20"/>
                <w:color w:val="auto"/>
              </w:rPr>
            </w:pPr>
            <w:r>
              <w:rPr>
                <w:rFonts w:ascii="Arial" w:cs="Arial" w:eastAsia="Arial" w:hAnsi="Arial"/>
                <w:sz w:val="18"/>
                <w:szCs w:val="18"/>
                <w:color w:val="auto"/>
                <w:w w:val="96"/>
              </w:rPr>
              <w:t>1/1/16 – 1/1/19</w:t>
            </w:r>
          </w:p>
        </w:tc>
      </w:tr>
      <w:tr>
        <w:trPr>
          <w:trHeight w:val="236"/>
        </w:trPr>
        <w:tc>
          <w:tcPr>
            <w:tcW w:w="420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b w:val="1"/>
                <w:bCs w:val="1"/>
                <w:color w:val="auto"/>
              </w:rPr>
              <w:t>Annual Salary</w:t>
            </w:r>
          </w:p>
        </w:tc>
        <w:tc>
          <w:tcPr>
            <w:tcW w:w="160" w:type="dxa"/>
            <w:vAlign w:val="bottom"/>
          </w:tcPr>
          <w:p>
            <w:pPr>
              <w:spacing w:after="0"/>
              <w:rPr>
                <w:sz w:val="20"/>
                <w:szCs w:val="20"/>
                <w:color w:val="auto"/>
              </w:rPr>
            </w:pPr>
          </w:p>
        </w:tc>
        <w:tc>
          <w:tcPr>
            <w:tcW w:w="13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$1.35M</w:t>
            </w:r>
          </w:p>
        </w:tc>
        <w:tc>
          <w:tcPr>
            <w:tcW w:w="160" w:type="dxa"/>
            <w:vAlign w:val="bottom"/>
          </w:tcPr>
          <w:p>
            <w:pPr>
              <w:spacing w:after="0"/>
              <w:rPr>
                <w:sz w:val="20"/>
                <w:szCs w:val="20"/>
                <w:color w:val="auto"/>
              </w:rPr>
            </w:pPr>
          </w:p>
        </w:tc>
        <w:tc>
          <w:tcPr>
            <w:tcW w:w="116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$750K</w:t>
            </w:r>
          </w:p>
        </w:tc>
        <w:tc>
          <w:tcPr>
            <w:tcW w:w="160" w:type="dxa"/>
            <w:vAlign w:val="bottom"/>
          </w:tcPr>
          <w:p>
            <w:pPr>
              <w:spacing w:after="0"/>
              <w:rPr>
                <w:sz w:val="20"/>
                <w:szCs w:val="20"/>
                <w:color w:val="auto"/>
              </w:rPr>
            </w:pPr>
          </w:p>
        </w:tc>
        <w:tc>
          <w:tcPr>
            <w:tcW w:w="13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$900K</w:t>
            </w:r>
          </w:p>
        </w:tc>
        <w:tc>
          <w:tcPr>
            <w:tcW w:w="160" w:type="dxa"/>
            <w:vAlign w:val="bottom"/>
          </w:tcPr>
          <w:p>
            <w:pPr>
              <w:spacing w:after="0"/>
              <w:rPr>
                <w:sz w:val="20"/>
                <w:szCs w:val="20"/>
                <w:color w:val="auto"/>
              </w:rPr>
            </w:pPr>
          </w:p>
        </w:tc>
        <w:tc>
          <w:tcPr>
            <w:tcW w:w="132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$550K</w:t>
            </w:r>
          </w:p>
        </w:tc>
        <w:tc>
          <w:tcPr>
            <w:tcW w:w="160" w:type="dxa"/>
            <w:vAlign w:val="bottom"/>
          </w:tcPr>
          <w:p>
            <w:pPr>
              <w:spacing w:after="0"/>
              <w:rPr>
                <w:sz w:val="20"/>
                <w:szCs w:val="20"/>
                <w:color w:val="auto"/>
              </w:rPr>
            </w:pPr>
          </w:p>
        </w:tc>
        <w:tc>
          <w:tcPr>
            <w:tcW w:w="11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$550K</w:t>
            </w:r>
          </w:p>
        </w:tc>
      </w:tr>
      <w:tr>
        <w:trPr>
          <w:trHeight w:val="303"/>
        </w:trPr>
        <w:tc>
          <w:tcPr>
            <w:tcW w:w="4200" w:type="dxa"/>
            <w:vAlign w:val="bottom"/>
            <w:tcBorders>
              <w:bottom w:val="single" w:sz="8" w:color="8590A9"/>
            </w:tcBorders>
          </w:tcPr>
          <w:p>
            <w:pPr>
              <w:spacing w:after="0" w:line="303" w:lineRule="exact"/>
              <w:rPr>
                <w:sz w:val="20"/>
                <w:szCs w:val="20"/>
                <w:color w:val="auto"/>
              </w:rPr>
            </w:pPr>
            <w:r>
              <w:rPr>
                <w:rFonts w:ascii="Arial" w:cs="Arial" w:eastAsia="Arial" w:hAnsi="Arial"/>
                <w:sz w:val="18"/>
                <w:szCs w:val="18"/>
                <w:b w:val="1"/>
                <w:bCs w:val="1"/>
                <w:color w:val="auto"/>
              </w:rPr>
              <w:t>Annual Deferred Compensation</w:t>
            </w:r>
            <w:r>
              <w:rPr>
                <w:rFonts w:ascii="Arial" w:cs="Arial" w:eastAsia="Arial" w:hAnsi="Arial"/>
                <w:sz w:val="29"/>
                <w:szCs w:val="29"/>
                <w:b w:val="1"/>
                <w:bCs w:val="1"/>
                <w:color w:val="auto"/>
                <w:vertAlign w:val="superscript"/>
              </w:rPr>
              <w:t>(2)</w:t>
            </w:r>
          </w:p>
        </w:tc>
        <w:tc>
          <w:tcPr>
            <w:tcW w:w="160" w:type="dxa"/>
            <w:vAlign w:val="bottom"/>
          </w:tcPr>
          <w:p>
            <w:pPr>
              <w:spacing w:after="0"/>
              <w:rPr>
                <w:sz w:val="24"/>
                <w:szCs w:val="24"/>
                <w:color w:val="auto"/>
              </w:rPr>
            </w:pPr>
          </w:p>
        </w:tc>
        <w:tc>
          <w:tcPr>
            <w:tcW w:w="13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$750K</w:t>
            </w:r>
          </w:p>
        </w:tc>
        <w:tc>
          <w:tcPr>
            <w:tcW w:w="160" w:type="dxa"/>
            <w:vAlign w:val="bottom"/>
          </w:tcPr>
          <w:p>
            <w:pPr>
              <w:spacing w:after="0"/>
              <w:rPr>
                <w:sz w:val="24"/>
                <w:szCs w:val="24"/>
                <w:color w:val="auto"/>
              </w:rPr>
            </w:pPr>
          </w:p>
        </w:tc>
        <w:tc>
          <w:tcPr>
            <w:tcW w:w="11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$150K</w:t>
            </w:r>
          </w:p>
        </w:tc>
        <w:tc>
          <w:tcPr>
            <w:tcW w:w="160" w:type="dxa"/>
            <w:vAlign w:val="bottom"/>
          </w:tcPr>
          <w:p>
            <w:pPr>
              <w:spacing w:after="0"/>
              <w:rPr>
                <w:sz w:val="24"/>
                <w:szCs w:val="24"/>
                <w:color w:val="auto"/>
              </w:rPr>
            </w:pPr>
          </w:p>
        </w:tc>
        <w:tc>
          <w:tcPr>
            <w:tcW w:w="13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$550K</w:t>
            </w:r>
          </w:p>
        </w:tc>
        <w:tc>
          <w:tcPr>
            <w:tcW w:w="160" w:type="dxa"/>
            <w:vAlign w:val="bottom"/>
          </w:tcPr>
          <w:p>
            <w:pPr>
              <w:spacing w:after="0"/>
              <w:rPr>
                <w:sz w:val="24"/>
                <w:szCs w:val="24"/>
                <w:color w:val="auto"/>
              </w:rPr>
            </w:pPr>
          </w:p>
        </w:tc>
        <w:tc>
          <w:tcPr>
            <w:tcW w:w="13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4"/>
                <w:szCs w:val="24"/>
                <w:color w:val="auto"/>
              </w:rPr>
            </w:pPr>
          </w:p>
        </w:tc>
        <w:tc>
          <w:tcPr>
            <w:tcW w:w="11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None</w:t>
            </w:r>
          </w:p>
        </w:tc>
      </w:tr>
      <w:tr>
        <w:trPr>
          <w:trHeight w:val="30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Guaranteed Bonus</w:t>
            </w:r>
          </w:p>
        </w:tc>
        <w:tc>
          <w:tcPr>
            <w:tcW w:w="1540" w:type="dxa"/>
            <w:vAlign w:val="bottom"/>
            <w:gridSpan w:val="2"/>
          </w:tcPr>
          <w:p>
            <w:pPr>
              <w:jc w:val="right"/>
              <w:ind w:right="160"/>
              <w:spacing w:after="0" w:line="303" w:lineRule="exact"/>
              <w:rPr>
                <w:sz w:val="20"/>
                <w:szCs w:val="20"/>
                <w:color w:val="auto"/>
              </w:rPr>
            </w:pPr>
            <w:r>
              <w:rPr>
                <w:rFonts w:ascii="Arial" w:cs="Arial" w:eastAsia="Arial" w:hAnsi="Arial"/>
                <w:sz w:val="18"/>
                <w:szCs w:val="18"/>
                <w:color w:val="auto"/>
              </w:rPr>
              <w:t>None</w:t>
            </w:r>
            <w:r>
              <w:rPr>
                <w:rFonts w:ascii="Arial" w:cs="Arial" w:eastAsia="Arial" w:hAnsi="Arial"/>
                <w:sz w:val="29"/>
                <w:szCs w:val="29"/>
                <w:color w:val="auto"/>
                <w:vertAlign w:val="superscript"/>
              </w:rPr>
              <w:t>(3)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18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36"/>
        </w:trPr>
        <w:tc>
          <w:tcPr>
            <w:tcW w:w="420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b w:val="1"/>
                <w:bCs w:val="1"/>
                <w:color w:val="auto"/>
              </w:rPr>
              <w:t>Future OPP Allocations</w:t>
            </w:r>
          </w:p>
        </w:tc>
        <w:tc>
          <w:tcPr>
            <w:tcW w:w="160" w:type="dxa"/>
            <w:vAlign w:val="bottom"/>
          </w:tcPr>
          <w:p>
            <w:pPr>
              <w:spacing w:after="0"/>
              <w:rPr>
                <w:sz w:val="20"/>
                <w:szCs w:val="20"/>
                <w:color w:val="auto"/>
              </w:rPr>
            </w:pPr>
          </w:p>
        </w:tc>
        <w:tc>
          <w:tcPr>
            <w:tcW w:w="13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16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0"/>
                <w:szCs w:val="20"/>
                <w:color w:val="auto"/>
              </w:rPr>
            </w:pPr>
          </w:p>
        </w:tc>
        <w:tc>
          <w:tcPr>
            <w:tcW w:w="13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132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0"/>
                <w:szCs w:val="20"/>
                <w:color w:val="auto"/>
              </w:rPr>
            </w:pPr>
          </w:p>
        </w:tc>
        <w:tc>
          <w:tcPr>
            <w:tcW w:w="11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None</w:t>
            </w:r>
          </w:p>
        </w:tc>
      </w:tr>
      <w:tr>
        <w:trPr>
          <w:trHeight w:val="231"/>
        </w:trPr>
        <w:tc>
          <w:tcPr>
            <w:tcW w:w="4200" w:type="dxa"/>
            <w:vAlign w:val="bottom"/>
          </w:tcPr>
          <w:p>
            <w:pPr>
              <w:spacing w:after="0"/>
              <w:rPr>
                <w:sz w:val="20"/>
                <w:szCs w:val="20"/>
                <w:color w:val="auto"/>
              </w:rPr>
            </w:pPr>
            <w:r>
              <w:rPr>
                <w:rFonts w:ascii="Arial" w:cs="Arial" w:eastAsia="Arial" w:hAnsi="Arial"/>
                <w:sz w:val="18"/>
                <w:szCs w:val="18"/>
                <w:b w:val="1"/>
                <w:bCs w:val="1"/>
                <w:color w:val="auto"/>
              </w:rPr>
              <w:t>Other Benefits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$10M of life</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$5M of life</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37"/>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insurance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insurance</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80" w:type="dxa"/>
            <w:vAlign w:val="bottom"/>
            <w:tcBorders>
              <w:top w:val="single" w:sz="8" w:color="8590A9"/>
            </w:tcBorders>
          </w:tcPr>
          <w:p>
            <w:pPr>
              <w:spacing w:after="0" w:line="189" w:lineRule="exact"/>
              <w:rPr>
                <w:sz w:val="20"/>
                <w:szCs w:val="20"/>
                <w:color w:val="auto"/>
              </w:rPr>
            </w:pPr>
            <w:r>
              <w:rPr>
                <w:rFonts w:ascii="Arial" w:cs="Arial" w:eastAsia="Arial" w:hAnsi="Arial"/>
                <w:sz w:val="18"/>
                <w:szCs w:val="18"/>
                <w:b w:val="1"/>
                <w:bCs w:val="1"/>
                <w:color w:val="auto"/>
              </w:rPr>
              <w:t>Equity Awards</w:t>
            </w:r>
          </w:p>
        </w:tc>
        <w:tc>
          <w:tcPr>
            <w:tcW w:w="160" w:type="dxa"/>
            <w:vAlign w:val="bottom"/>
          </w:tcPr>
          <w:p>
            <w:pPr>
              <w:spacing w:after="0"/>
              <w:rPr>
                <w:sz w:val="16"/>
                <w:szCs w:val="16"/>
                <w:color w:val="auto"/>
              </w:rPr>
            </w:pPr>
          </w:p>
        </w:tc>
        <w:tc>
          <w:tcPr>
            <w:tcW w:w="9480" w:type="dxa"/>
            <w:vAlign w:val="bottom"/>
            <w:tcBorders>
              <w:top w:val="single" w:sz="8" w:color="8590A9"/>
            </w:tcBorders>
          </w:tcPr>
          <w:p>
            <w:pPr>
              <w:spacing w:after="0" w:line="189" w:lineRule="exact"/>
              <w:rPr>
                <w:sz w:val="20"/>
                <w:szCs w:val="20"/>
                <w:color w:val="auto"/>
              </w:rPr>
            </w:pPr>
            <w:r>
              <w:rPr>
                <w:rFonts w:ascii="Arial" w:cs="Arial" w:eastAsia="Arial" w:hAnsi="Arial"/>
                <w:sz w:val="18"/>
                <w:szCs w:val="18"/>
                <w:color w:val="auto"/>
              </w:rPr>
              <w:t>Mr. Holliday: (i) 210,000 Class O LTIP units, granted one half in 2016 and one half in 2017 (50% expiring 5 years after</w:t>
            </w:r>
          </w:p>
        </w:tc>
      </w:tr>
      <w:tr>
        <w:trPr>
          <w:trHeight w:val="202"/>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tcPr>
          <w:p>
            <w:pPr>
              <w:spacing w:after="0" w:line="202" w:lineRule="exact"/>
              <w:rPr>
                <w:sz w:val="20"/>
                <w:szCs w:val="20"/>
                <w:color w:val="auto"/>
              </w:rPr>
            </w:pPr>
            <w:r>
              <w:rPr>
                <w:rFonts w:ascii="Arial" w:cs="Arial" w:eastAsia="Arial" w:hAnsi="Arial"/>
                <w:sz w:val="18"/>
                <w:szCs w:val="18"/>
                <w:color w:val="auto"/>
                <w:w w:val="99"/>
              </w:rPr>
              <w:t>grant and 50% expiring 10 years after grant); and (ii) 76,980 performance-based LTIP units granted in 2017 and 61,584</w:t>
            </w:r>
          </w:p>
        </w:tc>
      </w:tr>
      <w:tr>
        <w:trPr>
          <w:trHeight w:val="202"/>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tcPr>
          <w:p>
            <w:pPr>
              <w:spacing w:after="0" w:line="202" w:lineRule="exact"/>
              <w:rPr>
                <w:sz w:val="20"/>
                <w:szCs w:val="20"/>
                <w:color w:val="auto"/>
              </w:rPr>
            </w:pPr>
            <w:r>
              <w:rPr>
                <w:rFonts w:ascii="Arial" w:cs="Arial" w:eastAsia="Arial" w:hAnsi="Arial"/>
                <w:sz w:val="18"/>
                <w:szCs w:val="18"/>
                <w:color w:val="auto"/>
              </w:rPr>
              <w:t>performance-based LTIP units granted in each of 2018 and 2019, vesting 1/17/17, 1/17/18 and 1/17/19, respectively,</w:t>
            </w:r>
          </w:p>
        </w:tc>
      </w:tr>
      <w:tr>
        <w:trPr>
          <w:trHeight w:val="202"/>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tcPr>
          <w:p>
            <w:pPr>
              <w:spacing w:after="0" w:line="202" w:lineRule="exact"/>
              <w:rPr>
                <w:sz w:val="20"/>
                <w:szCs w:val="20"/>
                <w:color w:val="auto"/>
              </w:rPr>
            </w:pPr>
            <w:r>
              <w:rPr>
                <w:rFonts w:ascii="Arial" w:cs="Arial" w:eastAsia="Arial" w:hAnsi="Arial"/>
                <w:sz w:val="18"/>
                <w:szCs w:val="18"/>
                <w:color w:val="auto"/>
                <w:w w:val="99"/>
              </w:rPr>
              <w:t>contingent on achievement of performance hurdles; from 50-100% vesting based on achievement of either annual FFO</w:t>
            </w:r>
          </w:p>
        </w:tc>
      </w:tr>
      <w:tr>
        <w:trPr>
          <w:trHeight w:val="202"/>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tcPr>
          <w:p>
            <w:pPr>
              <w:spacing w:after="0" w:line="202" w:lineRule="exact"/>
              <w:rPr>
                <w:sz w:val="20"/>
                <w:szCs w:val="20"/>
                <w:color w:val="auto"/>
              </w:rPr>
            </w:pPr>
            <w:r>
              <w:rPr>
                <w:rFonts w:ascii="Arial" w:cs="Arial" w:eastAsia="Arial" w:hAnsi="Arial"/>
                <w:sz w:val="18"/>
                <w:szCs w:val="18"/>
                <w:color w:val="auto"/>
                <w:w w:val="98"/>
              </w:rPr>
              <w:t>growth or TSR of 5-8% per year or TSR in the top 35-50% of the MSCI US REIT Index, respectively, for the prior year (or</w:t>
            </w:r>
          </w:p>
        </w:tc>
      </w:tr>
      <w:tr>
        <w:trPr>
          <w:trHeight w:val="202"/>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tcPr>
          <w:p>
            <w:pPr>
              <w:spacing w:after="0" w:line="202" w:lineRule="exact"/>
              <w:rPr>
                <w:sz w:val="20"/>
                <w:szCs w:val="20"/>
                <w:color w:val="auto"/>
              </w:rPr>
            </w:pPr>
            <w:r>
              <w:rPr>
                <w:rFonts w:ascii="Arial" w:cs="Arial" w:eastAsia="Arial" w:hAnsi="Arial"/>
                <w:sz w:val="18"/>
                <w:szCs w:val="18"/>
                <w:color w:val="auto"/>
                <w:w w:val="98"/>
              </w:rPr>
              <w:t>on a cumulative basis from 2016 through such year or a subsequent quarter during the term); no vesting unless the 50%</w:t>
            </w:r>
          </w:p>
        </w:tc>
      </w:tr>
      <w:tr>
        <w:trPr>
          <w:trHeight w:val="237"/>
        </w:trPr>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threshold performance criteria described above is met; two-year post-vesting no-sale.</w:t>
            </w:r>
          </w:p>
        </w:tc>
      </w:tr>
    </w:tbl>
    <w:p>
      <w:pPr>
        <w:spacing w:after="0" w:line="181" w:lineRule="exact"/>
        <w:rPr>
          <w:sz w:val="20"/>
          <w:szCs w:val="20"/>
          <w:color w:val="auto"/>
        </w:rPr>
      </w:pPr>
    </w:p>
    <w:p>
      <w:pPr>
        <w:ind w:left="1940" w:right="460"/>
        <w:spacing w:after="0" w:line="251" w:lineRule="auto"/>
        <w:rPr>
          <w:sz w:val="20"/>
          <w:szCs w:val="20"/>
          <w:color w:val="auto"/>
        </w:rPr>
      </w:pPr>
      <w:r>
        <w:rPr>
          <w:rFonts w:ascii="Arial" w:cs="Arial" w:eastAsia="Arial" w:hAnsi="Arial"/>
          <w:sz w:val="18"/>
          <w:szCs w:val="18"/>
          <w:color w:val="auto"/>
        </w:rPr>
        <w:t>Messrs. Mathias and DiLiberto: see “—Compensation Discussion and Analysis—2017 Pay Outcomes—Employment Agreement Awards” for a summary of the terms relating to equity awards granted pursuant to their employment agreements.</w:t>
      </w:r>
    </w:p>
    <w:p>
      <w:pPr>
        <w:spacing w:after="0" w:line="172" w:lineRule="exact"/>
        <w:rPr>
          <w:sz w:val="20"/>
          <w:szCs w:val="20"/>
          <w:color w:val="auto"/>
        </w:rPr>
      </w:pPr>
    </w:p>
    <w:p>
      <w:pPr>
        <w:ind w:left="1940" w:right="80"/>
        <w:spacing w:after="0"/>
        <w:rPr>
          <w:sz w:val="20"/>
          <w:szCs w:val="20"/>
          <w:color w:val="auto"/>
        </w:rPr>
      </w:pPr>
      <w:r>
        <w:rPr>
          <w:rFonts w:ascii="Arial" w:cs="Arial" w:eastAsia="Arial" w:hAnsi="Arial"/>
          <w:sz w:val="18"/>
          <w:szCs w:val="18"/>
          <w:color w:val="auto"/>
        </w:rPr>
        <w:t>Mr. Levine: (i) 18,000 time-based LTIP units granted in 2016, with one-third vesting 1/1/17, 1/1/18 and 1/1/19; and (ii) 18,000 performance-based LTIP units granted in 2016, with one-third vesting on 1/1/17, 1/1/18 and 1/1/19 contingent on achievement of performance hurdle; from 50-100% vesting based on achievement of either annual FFO growth or TSR of 5-8% per year or TSR in the top 35-50% of the MSCI US REIT Index, respectively, for the prior year (or on a cumulative basis from 2016 through such year or a subsequent quarter during the term); no vesting unless the 50% threshold performance criteria described above is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ind w:left="1940" w:right="20" w:hanging="1939"/>
        <w:spacing w:after="0" w:line="239" w:lineRule="auto"/>
        <w:tabs>
          <w:tab w:leader="none" w:pos="1920" w:val="left"/>
        </w:tabs>
        <w:rPr>
          <w:sz w:val="20"/>
          <w:szCs w:val="20"/>
          <w:color w:val="auto"/>
        </w:rPr>
      </w:pPr>
      <w:r>
        <w:rPr>
          <w:rFonts w:ascii="Arial" w:cs="Arial" w:eastAsia="Arial" w:hAnsi="Arial"/>
          <w:sz w:val="18"/>
          <w:szCs w:val="18"/>
          <w:b w:val="1"/>
          <w:bCs w:val="1"/>
          <w:color w:val="auto"/>
        </w:rPr>
        <w:t>Severance Benefits</w:t>
      </w:r>
      <w:r>
        <w:rPr>
          <w:sz w:val="20"/>
          <w:szCs w:val="20"/>
          <w:color w:val="auto"/>
        </w:rPr>
        <w:tab/>
      </w:r>
      <w:r>
        <w:rPr>
          <w:rFonts w:ascii="Arial" w:cs="Arial" w:eastAsia="Arial" w:hAnsi="Arial"/>
          <w:sz w:val="18"/>
          <w:szCs w:val="18"/>
          <w:color w:val="auto"/>
        </w:rPr>
        <w:t>If the executive’s employment is terminated by us without Cause or by the executive for Good Reason during the term, the executive will be entitled to the following payments or benefits subject (except if such termination is in connection with a Change-in-Control) to the effectiveness of a mutual release:</w:t>
      </w:r>
    </w:p>
    <w:p>
      <w:pPr>
        <w:spacing w:after="0" w:line="219" w:lineRule="exact"/>
        <w:rPr>
          <w:sz w:val="20"/>
          <w:szCs w:val="20"/>
          <w:color w:val="auto"/>
        </w:rPr>
      </w:pPr>
    </w:p>
    <w:p>
      <w:pPr>
        <w:ind w:left="3000"/>
        <w:spacing w:after="0"/>
        <w:tabs>
          <w:tab w:leader="none" w:pos="7840" w:val="left"/>
        </w:tabs>
        <w:rPr>
          <w:sz w:val="20"/>
          <w:szCs w:val="20"/>
          <w:color w:val="auto"/>
        </w:rPr>
      </w:pPr>
      <w:r>
        <w:rPr>
          <w:rFonts w:ascii="Arial" w:cs="Arial" w:eastAsia="Arial" w:hAnsi="Arial"/>
          <w:sz w:val="13"/>
          <w:szCs w:val="13"/>
          <w:b w:val="1"/>
          <w:bCs w:val="1"/>
          <w:color w:val="345988"/>
        </w:rPr>
        <w:t>Termination without Change-in-Control</w:t>
      </w:r>
      <w:r>
        <w:rPr>
          <w:sz w:val="20"/>
          <w:szCs w:val="20"/>
          <w:color w:val="auto"/>
        </w:rPr>
        <w:tab/>
      </w:r>
      <w:r>
        <w:rPr>
          <w:rFonts w:ascii="Arial" w:cs="Arial" w:eastAsia="Arial" w:hAnsi="Arial"/>
          <w:sz w:val="13"/>
          <w:szCs w:val="13"/>
          <w:b w:val="1"/>
          <w:bCs w:val="1"/>
          <w:color w:val="345988"/>
        </w:rPr>
        <w:t>Termination with Change-in-Control</w:t>
      </w:r>
      <w:r>
        <w:rPr>
          <w:rFonts w:ascii="Arial" w:cs="Arial" w:eastAsia="Arial" w:hAnsi="Arial"/>
          <w:sz w:val="22"/>
          <w:szCs w:val="22"/>
          <w:b w:val="1"/>
          <w:bCs w:val="1"/>
          <w:color w:val="345988"/>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-17145</wp:posOffset>
            </wp:positionV>
            <wp:extent cx="60147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147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p>
      <w:pPr>
        <w:spacing w:after="0" w:line="3" w:lineRule="exact"/>
        <w:rPr>
          <w:sz w:val="20"/>
          <w:szCs w:val="20"/>
          <w:color w:val="auto"/>
        </w:rPr>
      </w:pPr>
    </w:p>
    <w:p>
      <w:pPr>
        <w:ind w:left="2480" w:right="880" w:hanging="253"/>
        <w:spacing w:after="0" w:line="224" w:lineRule="auto"/>
        <w:tabs>
          <w:tab w:leader="none" w:pos="2457" w:val="left"/>
        </w:tabs>
        <w:numPr>
          <w:ilvl w:val="0"/>
          <w:numId w:val="118"/>
        </w:numPr>
        <w:rPr>
          <w:rFonts w:ascii="Arial" w:cs="Arial" w:eastAsia="Arial" w:hAnsi="Arial"/>
          <w:sz w:val="17"/>
          <w:szCs w:val="17"/>
          <w:color w:val="345988"/>
        </w:rPr>
      </w:pPr>
      <w:r>
        <w:rPr>
          <w:rFonts w:ascii="Arial" w:cs="Arial" w:eastAsia="Arial" w:hAnsi="Arial"/>
          <w:sz w:val="17"/>
          <w:szCs w:val="17"/>
          <w:color w:val="auto"/>
        </w:rPr>
        <w:t>1x average annual base salary, deferred compensation, if any, and bonus</w:t>
      </w:r>
      <w:r>
        <w:rPr>
          <w:rFonts w:ascii="Arial" w:cs="Arial" w:eastAsia="Arial" w:hAnsi="Arial"/>
          <w:sz w:val="28"/>
          <w:szCs w:val="28"/>
          <w:color w:val="auto"/>
          <w:vertAlign w:val="superscript"/>
        </w:rPr>
        <w:t>(5)</w:t>
      </w:r>
    </w:p>
    <w:p>
      <w:pPr>
        <w:spacing w:after="0" w:line="2" w:lineRule="exact"/>
        <w:rPr>
          <w:rFonts w:ascii="Arial" w:cs="Arial" w:eastAsia="Arial" w:hAnsi="Arial"/>
          <w:sz w:val="17"/>
          <w:szCs w:val="17"/>
          <w:color w:val="345988"/>
        </w:rPr>
      </w:pPr>
    </w:p>
    <w:p>
      <w:pPr>
        <w:ind w:left="2460" w:hanging="233"/>
        <w:spacing w:after="0" w:line="183" w:lineRule="auto"/>
        <w:tabs>
          <w:tab w:leader="none" w:pos="2460" w:val="left"/>
        </w:tabs>
        <w:numPr>
          <w:ilvl w:val="0"/>
          <w:numId w:val="118"/>
        </w:numPr>
        <w:rPr>
          <w:rFonts w:ascii="Arial" w:cs="Arial" w:eastAsia="Arial" w:hAnsi="Arial"/>
          <w:sz w:val="14"/>
          <w:szCs w:val="14"/>
          <w:color w:val="345988"/>
        </w:rPr>
      </w:pPr>
      <w:r>
        <w:rPr>
          <w:rFonts w:ascii="Arial" w:cs="Arial" w:eastAsia="Arial" w:hAnsi="Arial"/>
          <w:sz w:val="15"/>
          <w:szCs w:val="15"/>
          <w:color w:val="auto"/>
        </w:rPr>
        <w:t>Pro-rata bonus for partial year</w:t>
      </w:r>
      <w:r>
        <w:rPr>
          <w:rFonts w:ascii="Arial" w:cs="Arial" w:eastAsia="Arial" w:hAnsi="Arial"/>
          <w:sz w:val="23"/>
          <w:szCs w:val="23"/>
          <w:color w:val="auto"/>
          <w:vertAlign w:val="superscript"/>
        </w:rPr>
        <w:t>(6)</w:t>
      </w:r>
    </w:p>
    <w:p>
      <w:pPr>
        <w:jc w:val="both"/>
        <w:ind w:left="2480" w:right="180" w:hanging="253"/>
        <w:spacing w:after="0" w:line="234" w:lineRule="auto"/>
        <w:tabs>
          <w:tab w:leader="none" w:pos="2457" w:val="left"/>
        </w:tabs>
        <w:numPr>
          <w:ilvl w:val="0"/>
          <w:numId w:val="118"/>
        </w:numPr>
        <w:rPr>
          <w:rFonts w:ascii="Arial" w:cs="Arial" w:eastAsia="Arial" w:hAnsi="Arial"/>
          <w:sz w:val="17"/>
          <w:szCs w:val="17"/>
          <w:color w:val="345988"/>
        </w:rPr>
      </w:pPr>
      <w:r>
        <w:rPr>
          <w:rFonts w:ascii="Arial" w:cs="Arial" w:eastAsia="Arial" w:hAnsi="Arial"/>
          <w:sz w:val="18"/>
          <w:szCs w:val="18"/>
          <w:color w:val="auto"/>
        </w:rPr>
        <w:t>Acceleration of all unvested equity awards (other than OPP awards) and deferred compensation, if any</w:t>
      </w:r>
    </w:p>
    <w:p>
      <w:pPr>
        <w:ind w:left="2460" w:hanging="233"/>
        <w:spacing w:after="0" w:line="233" w:lineRule="auto"/>
        <w:tabs>
          <w:tab w:leader="none" w:pos="2460" w:val="left"/>
        </w:tabs>
        <w:numPr>
          <w:ilvl w:val="0"/>
          <w:numId w:val="118"/>
        </w:numPr>
        <w:rPr>
          <w:rFonts w:ascii="Arial" w:cs="Arial" w:eastAsia="Arial" w:hAnsi="Arial"/>
          <w:sz w:val="17"/>
          <w:szCs w:val="17"/>
          <w:color w:val="345988"/>
        </w:rPr>
      </w:pPr>
      <w:r>
        <w:rPr>
          <w:rFonts w:ascii="Arial" w:cs="Arial" w:eastAsia="Arial" w:hAnsi="Arial"/>
          <w:sz w:val="18"/>
          <w:szCs w:val="18"/>
          <w:color w:val="auto"/>
        </w:rPr>
        <w:t>Grant of certain employment agreement equity</w:t>
      </w:r>
    </w:p>
    <w:p>
      <w:pPr>
        <w:ind w:left="2480"/>
        <w:spacing w:after="0" w:line="181" w:lineRule="auto"/>
        <w:rPr>
          <w:sz w:val="20"/>
          <w:szCs w:val="20"/>
          <w:color w:val="auto"/>
        </w:rPr>
      </w:pPr>
      <w:r>
        <w:rPr>
          <w:rFonts w:ascii="Arial" w:cs="Arial" w:eastAsia="Arial" w:hAnsi="Arial"/>
          <w:sz w:val="17"/>
          <w:szCs w:val="17"/>
          <w:color w:val="auto"/>
        </w:rPr>
        <w:t>awards not previously granted</w:t>
      </w:r>
      <w:r>
        <w:rPr>
          <w:rFonts w:ascii="Arial" w:cs="Arial" w:eastAsia="Arial" w:hAnsi="Arial"/>
          <w:sz w:val="28"/>
          <w:szCs w:val="28"/>
          <w:color w:val="auto"/>
          <w:vertAlign w:val="superscript"/>
        </w:rPr>
        <w:t>(7)</w:t>
      </w:r>
    </w:p>
    <w:p>
      <w:pPr>
        <w:spacing w:after="0" w:line="1" w:lineRule="exact"/>
        <w:rPr>
          <w:sz w:val="20"/>
          <w:szCs w:val="20"/>
          <w:color w:val="auto"/>
        </w:rPr>
      </w:pPr>
    </w:p>
    <w:p>
      <w:pPr>
        <w:ind w:left="2460" w:hanging="233"/>
        <w:spacing w:after="0"/>
        <w:tabs>
          <w:tab w:leader="none" w:pos="2460" w:val="left"/>
        </w:tabs>
        <w:numPr>
          <w:ilvl w:val="0"/>
          <w:numId w:val="119"/>
        </w:numPr>
        <w:rPr>
          <w:rFonts w:ascii="Arial" w:cs="Arial" w:eastAsia="Arial" w:hAnsi="Arial"/>
          <w:sz w:val="16"/>
          <w:szCs w:val="16"/>
          <w:color w:val="345988"/>
        </w:rPr>
      </w:pPr>
      <w:r>
        <w:rPr>
          <w:rFonts w:ascii="Arial" w:cs="Arial" w:eastAsia="Arial" w:hAnsi="Arial"/>
          <w:sz w:val="16"/>
          <w:szCs w:val="16"/>
          <w:color w:val="auto"/>
        </w:rPr>
        <w:t>Option exercise period extended to second January</w:t>
      </w:r>
    </w:p>
    <w:p>
      <w:pPr>
        <w:jc w:val="center"/>
        <w:ind w:left="360"/>
        <w:spacing w:after="0" w:line="187" w:lineRule="auto"/>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1" w:lineRule="exact"/>
        <w:rPr>
          <w:sz w:val="20"/>
          <w:szCs w:val="20"/>
          <w:color w:val="auto"/>
        </w:rPr>
      </w:pPr>
    </w:p>
    <w:p>
      <w:pPr>
        <w:ind w:left="2460" w:hanging="233"/>
        <w:spacing w:after="0"/>
        <w:tabs>
          <w:tab w:leader="none" w:pos="2460" w:val="left"/>
        </w:tabs>
        <w:numPr>
          <w:ilvl w:val="0"/>
          <w:numId w:val="120"/>
        </w:numPr>
        <w:rPr>
          <w:rFonts w:ascii="Arial" w:cs="Arial" w:eastAsia="Arial" w:hAnsi="Arial"/>
          <w:sz w:val="17"/>
          <w:szCs w:val="17"/>
          <w:color w:val="345988"/>
        </w:rPr>
      </w:pPr>
      <w:r>
        <w:rPr>
          <w:rFonts w:ascii="Arial" w:cs="Arial" w:eastAsia="Arial" w:hAnsi="Arial"/>
          <w:sz w:val="18"/>
          <w:szCs w:val="18"/>
          <w:color w:val="auto"/>
        </w:rPr>
        <w:t>12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4" w:right="820" w:hanging="264"/>
        <w:spacing w:after="0" w:line="224" w:lineRule="auto"/>
        <w:tabs>
          <w:tab w:leader="none" w:pos="241" w:val="left"/>
        </w:tabs>
        <w:numPr>
          <w:ilvl w:val="0"/>
          <w:numId w:val="121"/>
        </w:numPr>
        <w:rPr>
          <w:rFonts w:ascii="Arial" w:cs="Arial" w:eastAsia="Arial" w:hAnsi="Arial"/>
          <w:sz w:val="17"/>
          <w:szCs w:val="17"/>
          <w:color w:val="345988"/>
        </w:rPr>
      </w:pPr>
      <w:r>
        <w:rPr>
          <w:rFonts w:ascii="Arial" w:cs="Arial" w:eastAsia="Arial" w:hAnsi="Arial"/>
          <w:sz w:val="17"/>
          <w:szCs w:val="17"/>
          <w:color w:val="auto"/>
        </w:rPr>
        <w:t>2x-3x average annual base salary, deferred compensation, if any, and bonus</w:t>
      </w:r>
      <w:r>
        <w:rPr>
          <w:rFonts w:ascii="Arial" w:cs="Arial" w:eastAsia="Arial" w:hAnsi="Arial"/>
          <w:sz w:val="28"/>
          <w:szCs w:val="28"/>
          <w:color w:val="auto"/>
          <w:vertAlign w:val="superscript"/>
        </w:rPr>
        <w:t>(5)</w:t>
      </w:r>
    </w:p>
    <w:p>
      <w:pPr>
        <w:spacing w:after="0" w:line="2" w:lineRule="exact"/>
        <w:rPr>
          <w:rFonts w:ascii="Arial" w:cs="Arial" w:eastAsia="Arial" w:hAnsi="Arial"/>
          <w:sz w:val="17"/>
          <w:szCs w:val="17"/>
          <w:color w:val="345988"/>
        </w:rPr>
      </w:pPr>
    </w:p>
    <w:p>
      <w:pPr>
        <w:ind w:left="244" w:hanging="244"/>
        <w:spacing w:after="0" w:line="183" w:lineRule="auto"/>
        <w:tabs>
          <w:tab w:leader="none" w:pos="244" w:val="left"/>
        </w:tabs>
        <w:numPr>
          <w:ilvl w:val="0"/>
          <w:numId w:val="121"/>
        </w:numPr>
        <w:rPr>
          <w:rFonts w:ascii="Arial" w:cs="Arial" w:eastAsia="Arial" w:hAnsi="Arial"/>
          <w:sz w:val="14"/>
          <w:szCs w:val="14"/>
          <w:color w:val="345988"/>
        </w:rPr>
      </w:pPr>
      <w:r>
        <w:rPr>
          <w:rFonts w:ascii="Arial" w:cs="Arial" w:eastAsia="Arial" w:hAnsi="Arial"/>
          <w:sz w:val="15"/>
          <w:szCs w:val="15"/>
          <w:color w:val="auto"/>
        </w:rPr>
        <w:t>Pro-rata bonus for partial year</w:t>
      </w:r>
      <w:r>
        <w:rPr>
          <w:rFonts w:ascii="Arial" w:cs="Arial" w:eastAsia="Arial" w:hAnsi="Arial"/>
          <w:sz w:val="23"/>
          <w:szCs w:val="23"/>
          <w:color w:val="auto"/>
          <w:vertAlign w:val="superscript"/>
        </w:rPr>
        <w:t>(6)</w:t>
      </w:r>
    </w:p>
    <w:p>
      <w:pPr>
        <w:ind w:left="264" w:right="20" w:hanging="264"/>
        <w:spacing w:after="0" w:line="263" w:lineRule="auto"/>
        <w:tabs>
          <w:tab w:leader="none" w:pos="241" w:val="left"/>
        </w:tabs>
        <w:numPr>
          <w:ilvl w:val="0"/>
          <w:numId w:val="121"/>
        </w:numPr>
        <w:rPr>
          <w:rFonts w:ascii="Arial" w:cs="Arial" w:eastAsia="Arial" w:hAnsi="Arial"/>
          <w:sz w:val="16"/>
          <w:szCs w:val="16"/>
          <w:color w:val="345988"/>
        </w:rPr>
      </w:pPr>
      <w:r>
        <w:rPr>
          <w:rFonts w:ascii="Arial" w:cs="Arial" w:eastAsia="Arial" w:hAnsi="Arial"/>
          <w:sz w:val="16"/>
          <w:szCs w:val="16"/>
          <w:color w:val="auto"/>
        </w:rPr>
        <w:t>Acceleration of all unvested equity awards (other than OPP awards) and deferred compensation, if any</w:t>
      </w:r>
    </w:p>
    <w:p>
      <w:pPr>
        <w:ind w:left="244" w:hanging="244"/>
        <w:spacing w:after="0" w:line="233" w:lineRule="auto"/>
        <w:tabs>
          <w:tab w:leader="none" w:pos="244" w:val="left"/>
        </w:tabs>
        <w:numPr>
          <w:ilvl w:val="0"/>
          <w:numId w:val="121"/>
        </w:numPr>
        <w:rPr>
          <w:rFonts w:ascii="Arial" w:cs="Arial" w:eastAsia="Arial" w:hAnsi="Arial"/>
          <w:sz w:val="17"/>
          <w:szCs w:val="17"/>
          <w:color w:val="345988"/>
        </w:rPr>
      </w:pPr>
      <w:r>
        <w:rPr>
          <w:rFonts w:ascii="Arial" w:cs="Arial" w:eastAsia="Arial" w:hAnsi="Arial"/>
          <w:sz w:val="18"/>
          <w:szCs w:val="18"/>
          <w:color w:val="auto"/>
        </w:rPr>
        <w:t>Grant of employment agreement awards not</w:t>
      </w:r>
    </w:p>
    <w:p>
      <w:pPr>
        <w:ind w:left="264"/>
        <w:spacing w:after="0" w:line="181" w:lineRule="auto"/>
        <w:rPr>
          <w:sz w:val="20"/>
          <w:szCs w:val="20"/>
          <w:color w:val="auto"/>
        </w:rPr>
      </w:pPr>
      <w:r>
        <w:rPr>
          <w:rFonts w:ascii="Arial" w:cs="Arial" w:eastAsia="Arial" w:hAnsi="Arial"/>
          <w:sz w:val="17"/>
          <w:szCs w:val="17"/>
          <w:color w:val="auto"/>
        </w:rPr>
        <w:t>previously granted</w:t>
      </w:r>
      <w:r>
        <w:rPr>
          <w:rFonts w:ascii="Arial" w:cs="Arial" w:eastAsia="Arial" w:hAnsi="Arial"/>
          <w:sz w:val="28"/>
          <w:szCs w:val="28"/>
          <w:color w:val="auto"/>
          <w:vertAlign w:val="superscript"/>
        </w:rPr>
        <w:t>(7)</w:t>
      </w:r>
    </w:p>
    <w:p>
      <w:pPr>
        <w:ind w:left="244" w:hanging="244"/>
        <w:spacing w:after="0" w:line="234" w:lineRule="auto"/>
        <w:tabs>
          <w:tab w:leader="none" w:pos="244" w:val="left"/>
        </w:tabs>
        <w:numPr>
          <w:ilvl w:val="0"/>
          <w:numId w:val="122"/>
        </w:numPr>
        <w:rPr>
          <w:rFonts w:ascii="Arial" w:cs="Arial" w:eastAsia="Arial" w:hAnsi="Arial"/>
          <w:sz w:val="17"/>
          <w:szCs w:val="17"/>
          <w:color w:val="345988"/>
        </w:rPr>
      </w:pPr>
      <w:r>
        <w:rPr>
          <w:rFonts w:ascii="Arial" w:cs="Arial" w:eastAsia="Arial" w:hAnsi="Arial"/>
          <w:sz w:val="18"/>
          <w:szCs w:val="18"/>
          <w:color w:val="auto"/>
        </w:rPr>
        <w:t>Option exercise period extended to second January</w:t>
      </w:r>
    </w:p>
    <w:p>
      <w:pPr>
        <w:ind w:left="264"/>
        <w:spacing w:after="0" w:line="181" w:lineRule="auto"/>
        <w:rPr>
          <w:sz w:val="20"/>
          <w:szCs w:val="20"/>
          <w:color w:val="auto"/>
        </w:rPr>
      </w:pPr>
      <w:r>
        <w:rPr>
          <w:rFonts w:ascii="Arial" w:cs="Arial" w:eastAsia="Arial" w:hAnsi="Arial"/>
          <w:sz w:val="17"/>
          <w:szCs w:val="17"/>
          <w:color w:val="auto"/>
        </w:rPr>
        <w:t>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following termination</w:t>
      </w:r>
    </w:p>
    <w:p>
      <w:pPr>
        <w:spacing w:after="0" w:line="1" w:lineRule="exact"/>
        <w:rPr>
          <w:sz w:val="20"/>
          <w:szCs w:val="20"/>
          <w:color w:val="auto"/>
        </w:rPr>
      </w:pPr>
    </w:p>
    <w:p>
      <w:pPr>
        <w:ind w:left="244" w:hanging="244"/>
        <w:spacing w:after="0"/>
        <w:tabs>
          <w:tab w:leader="none" w:pos="244" w:val="left"/>
        </w:tabs>
        <w:numPr>
          <w:ilvl w:val="0"/>
          <w:numId w:val="123"/>
        </w:numPr>
        <w:rPr>
          <w:rFonts w:ascii="Arial" w:cs="Arial" w:eastAsia="Arial" w:hAnsi="Arial"/>
          <w:sz w:val="17"/>
          <w:szCs w:val="17"/>
          <w:color w:val="345988"/>
        </w:rPr>
      </w:pPr>
      <w:r>
        <w:rPr>
          <w:rFonts w:ascii="Arial" w:cs="Arial" w:eastAsia="Arial" w:hAnsi="Arial"/>
          <w:sz w:val="18"/>
          <w:szCs w:val="18"/>
          <w:color w:val="auto"/>
        </w:rPr>
        <w:t>24 months of benefit continuation/ payments</w:t>
      </w:r>
    </w:p>
    <w:p>
      <w:pPr>
        <w:spacing w:after="0" w:line="7" w:lineRule="exact"/>
        <w:rPr>
          <w:rFonts w:ascii="Arial" w:cs="Arial" w:eastAsia="Arial" w:hAnsi="Arial"/>
          <w:sz w:val="17"/>
          <w:szCs w:val="17"/>
          <w:color w:val="345988"/>
        </w:rPr>
      </w:pPr>
    </w:p>
    <w:p>
      <w:pPr>
        <w:ind w:left="244" w:hanging="244"/>
        <w:spacing w:after="0"/>
        <w:tabs>
          <w:tab w:leader="none" w:pos="244" w:val="left"/>
        </w:tabs>
        <w:numPr>
          <w:ilvl w:val="0"/>
          <w:numId w:val="123"/>
        </w:numPr>
        <w:rPr>
          <w:rFonts w:ascii="Arial" w:cs="Arial" w:eastAsia="Arial" w:hAnsi="Arial"/>
          <w:sz w:val="17"/>
          <w:szCs w:val="17"/>
          <w:color w:val="345988"/>
        </w:rPr>
      </w:pPr>
      <w:r>
        <w:rPr>
          <w:rFonts w:ascii="Arial" w:cs="Arial" w:eastAsia="Arial" w:hAnsi="Arial"/>
          <w:sz w:val="18"/>
          <w:szCs w:val="18"/>
          <w:color w:val="auto"/>
        </w:rPr>
        <w:t>Section 280G modified cut-back</w:t>
      </w:r>
      <w:r>
        <w:rPr>
          <w:rFonts w:ascii="Arial" w:cs="Arial" w:eastAsia="Arial" w:hAnsi="Arial"/>
          <w:sz w:val="29"/>
          <w:szCs w:val="29"/>
          <w:color w:val="auto"/>
          <w:vertAlign w:val="superscript"/>
        </w:rPr>
        <w:t>(8)</w:t>
      </w:r>
    </w:p>
    <w:p>
      <w:pPr>
        <w:spacing w:after="0" w:line="200" w:lineRule="exact"/>
        <w:rPr>
          <w:sz w:val="20"/>
          <w:szCs w:val="20"/>
          <w:color w:val="auto"/>
        </w:rPr>
      </w:pPr>
    </w:p>
    <w:p>
      <w:pPr>
        <w:sectPr>
          <w:pgSz w:w="11900" w:h="16838" w:orient="portrait"/>
          <w:cols w:equalWidth="0" w:num="2">
            <w:col w:w="6460" w:space="536"/>
            <w:col w:w="4424"/>
          </w:cols>
          <w:pgMar w:left="240" w:top="119" w:right="239" w:bottom="1440" w:gutter="0" w:footer="0" w:header="0"/>
          <w:type w:val="continuous"/>
        </w:sectPr>
      </w:pPr>
    </w:p>
    <w:p>
      <w:pPr>
        <w:spacing w:after="0" w:line="227"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45988"/>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1" w:lineRule="exact"/>
        <w:rPr>
          <w:sz w:val="20"/>
          <w:szCs w:val="20"/>
          <w:color w:val="auto"/>
        </w:rPr>
      </w:pPr>
    </w:p>
    <w:p>
      <w:pPr>
        <w:ind w:left="2340"/>
        <w:spacing w:after="0"/>
        <w:tabs>
          <w:tab w:leader="none" w:pos="4100" w:val="left"/>
          <w:tab w:leader="none" w:pos="6060" w:val="left"/>
          <w:tab w:leader="none" w:pos="7880" w:val="left"/>
          <w:tab w:leader="none" w:pos="9940" w:val="left"/>
        </w:tabs>
        <w:rPr>
          <w:sz w:val="20"/>
          <w:szCs w:val="20"/>
          <w:color w:val="auto"/>
        </w:rPr>
      </w:pPr>
      <w:r>
        <w:rPr>
          <w:rFonts w:ascii="Arial" w:cs="Arial" w:eastAsia="Arial" w:hAnsi="Arial"/>
          <w:sz w:val="13"/>
          <w:szCs w:val="13"/>
          <w:b w:val="1"/>
          <w:bCs w:val="1"/>
          <w:color w:val="345988"/>
        </w:rPr>
        <w:t>Marc Holliday</w:t>
      </w:r>
      <w:r>
        <w:rPr>
          <w:sz w:val="20"/>
          <w:szCs w:val="20"/>
          <w:color w:val="auto"/>
        </w:rPr>
        <w:tab/>
      </w:r>
      <w:r>
        <w:rPr>
          <w:rFonts w:ascii="Arial" w:cs="Arial" w:eastAsia="Arial" w:hAnsi="Arial"/>
          <w:sz w:val="13"/>
          <w:szCs w:val="13"/>
          <w:b w:val="1"/>
          <w:bCs w:val="1"/>
          <w:color w:val="345988"/>
        </w:rPr>
        <w:t>Stephen L. Green</w:t>
      </w:r>
      <w:r>
        <w:rPr>
          <w:sz w:val="20"/>
          <w:szCs w:val="20"/>
          <w:color w:val="auto"/>
        </w:rPr>
        <w:tab/>
      </w:r>
      <w:r>
        <w:rPr>
          <w:rFonts w:ascii="Arial" w:cs="Arial" w:eastAsia="Arial" w:hAnsi="Arial"/>
          <w:sz w:val="13"/>
          <w:szCs w:val="13"/>
          <w:b w:val="1"/>
          <w:bCs w:val="1"/>
          <w:color w:val="345988"/>
        </w:rPr>
        <w:t>Andrew Mathias</w:t>
      </w:r>
      <w:r>
        <w:rPr>
          <w:sz w:val="20"/>
          <w:szCs w:val="20"/>
          <w:color w:val="auto"/>
        </w:rPr>
        <w:tab/>
      </w:r>
      <w:r>
        <w:rPr>
          <w:rFonts w:ascii="Arial" w:cs="Arial" w:eastAsia="Arial" w:hAnsi="Arial"/>
          <w:sz w:val="13"/>
          <w:szCs w:val="13"/>
          <w:b w:val="1"/>
          <w:bCs w:val="1"/>
          <w:color w:val="345988"/>
        </w:rPr>
        <w:t>Matthew J. DiLiberto</w:t>
      </w:r>
      <w:r>
        <w:rPr>
          <w:sz w:val="20"/>
          <w:szCs w:val="20"/>
          <w:color w:val="auto"/>
        </w:rPr>
        <w:tab/>
      </w:r>
      <w:r>
        <w:rPr>
          <w:rFonts w:ascii="Arial" w:cs="Arial" w:eastAsia="Arial" w:hAnsi="Arial"/>
          <w:sz w:val="13"/>
          <w:szCs w:val="13"/>
          <w:b w:val="1"/>
          <w:bCs w:val="1"/>
          <w:color w:val="345988"/>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0"/>
          <w:szCs w:val="20"/>
          <w:color w:val="auto"/>
        </w:rPr>
      </w:pPr>
    </w:p>
    <w:p>
      <w:pPr>
        <w:ind w:left="1940" w:right="80" w:hanging="1939"/>
        <w:spacing w:after="0" w:line="332" w:lineRule="auto"/>
        <w:tabs>
          <w:tab w:leader="none" w:pos="1920" w:val="left"/>
        </w:tabs>
        <w:rPr>
          <w:sz w:val="20"/>
          <w:szCs w:val="20"/>
          <w:color w:val="auto"/>
        </w:rPr>
      </w:pPr>
      <w:r>
        <w:rPr>
          <w:rFonts w:ascii="Arial" w:cs="Arial" w:eastAsia="Arial" w:hAnsi="Arial"/>
          <w:sz w:val="16"/>
          <w:szCs w:val="16"/>
          <w:b w:val="1"/>
          <w:bCs w:val="1"/>
          <w:color w:val="auto"/>
        </w:rPr>
        <w:t>Death/Disability</w:t>
      </w:r>
      <w:r>
        <w:rPr>
          <w:sz w:val="20"/>
          <w:szCs w:val="20"/>
          <w:color w:val="auto"/>
        </w:rPr>
        <w:tab/>
      </w:r>
      <w:r>
        <w:rPr>
          <w:rFonts w:ascii="Arial" w:cs="Arial" w:eastAsia="Arial" w:hAnsi="Arial"/>
          <w:sz w:val="16"/>
          <w:szCs w:val="16"/>
          <w:color w:val="auto"/>
        </w:rPr>
        <w:t>If the executive’s employment is terminated by us upon death or disability during the term, the executive will be entitled to the following payments or benefits subject (in the case of disability) to the effectiveness of a mutual release:</w:t>
      </w:r>
    </w:p>
    <w:p>
      <w:pPr>
        <w:spacing w:after="0" w:line="140" w:lineRule="exact"/>
        <w:rPr>
          <w:sz w:val="20"/>
          <w:szCs w:val="20"/>
          <w:color w:val="auto"/>
        </w:rPr>
      </w:pPr>
    </w:p>
    <w:p>
      <w:pPr>
        <w:ind w:left="4040"/>
        <w:spacing w:after="0"/>
        <w:tabs>
          <w:tab w:leader="none" w:pos="8720" w:val="left"/>
        </w:tabs>
        <w:rPr>
          <w:sz w:val="20"/>
          <w:szCs w:val="20"/>
          <w:color w:val="auto"/>
        </w:rPr>
      </w:pPr>
      <w:r>
        <w:rPr>
          <w:rFonts w:ascii="Arial" w:cs="Arial" w:eastAsia="Arial" w:hAnsi="Arial"/>
          <w:sz w:val="13"/>
          <w:szCs w:val="13"/>
          <w:b w:val="1"/>
          <w:bCs w:val="1"/>
          <w:color w:val="345988"/>
        </w:rPr>
        <w:t>Death</w:t>
      </w:r>
      <w:r>
        <w:rPr>
          <w:sz w:val="20"/>
          <w:szCs w:val="20"/>
          <w:color w:val="auto"/>
        </w:rPr>
        <w:tab/>
      </w:r>
      <w:r>
        <w:rPr>
          <w:rFonts w:ascii="Arial" w:cs="Arial" w:eastAsia="Arial" w:hAnsi="Arial"/>
          <w:sz w:val="13"/>
          <w:szCs w:val="13"/>
          <w:b w:val="1"/>
          <w:bCs w:val="1"/>
          <w:color w:val="345988"/>
        </w:rPr>
        <w:t>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27940</wp:posOffset>
            </wp:positionV>
            <wp:extent cx="60147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14720" cy="17145"/>
                    </a:xfrm>
                    <a:prstGeom prst="rect">
                      <a:avLst/>
                    </a:prstGeom>
                    <a:noFill/>
                  </pic:spPr>
                </pic:pic>
              </a:graphicData>
            </a:graphic>
          </wp:anchor>
        </w:drawing>
      </w:r>
    </w:p>
    <w:p>
      <w:pPr>
        <w:sectPr>
          <w:pgSz w:w="11900" w:h="16838" w:orient="portrait"/>
          <w:cols w:equalWidth="0" w:num="1">
            <w:col w:w="11380"/>
          </w:cols>
          <w:pgMar w:left="240" w:top="119" w:right="279" w:bottom="1440" w:gutter="0" w:footer="0" w:header="0"/>
        </w:sectPr>
      </w:pPr>
    </w:p>
    <w:p>
      <w:pPr>
        <w:ind w:left="2460" w:hanging="233"/>
        <w:spacing w:after="0" w:line="228" w:lineRule="auto"/>
        <w:tabs>
          <w:tab w:leader="none" w:pos="2460" w:val="left"/>
        </w:tabs>
        <w:numPr>
          <w:ilvl w:val="0"/>
          <w:numId w:val="124"/>
        </w:numPr>
        <w:rPr>
          <w:rFonts w:ascii="Arial" w:cs="Arial" w:eastAsia="Arial" w:hAnsi="Arial"/>
          <w:sz w:val="17"/>
          <w:szCs w:val="17"/>
          <w:color w:val="345988"/>
        </w:rPr>
      </w:pPr>
      <w:r>
        <w:rPr>
          <w:rFonts w:ascii="Arial" w:cs="Arial" w:eastAsia="Arial" w:hAnsi="Arial"/>
          <w:sz w:val="18"/>
          <w:szCs w:val="18"/>
          <w:color w:val="auto"/>
        </w:rPr>
        <w:t>Pro-rata bonus for partial year</w:t>
      </w:r>
      <w:r>
        <w:rPr>
          <w:rFonts w:ascii="Arial" w:cs="Arial" w:eastAsia="Arial" w:hAnsi="Arial"/>
          <w:sz w:val="29"/>
          <w:szCs w:val="29"/>
          <w:color w:val="auto"/>
          <w:vertAlign w:val="superscript"/>
        </w:rPr>
        <w:t>(6)</w:t>
      </w:r>
    </w:p>
    <w:p>
      <w:pPr>
        <w:ind w:left="2480" w:right="260" w:hanging="253"/>
        <w:spacing w:after="0" w:line="207" w:lineRule="auto"/>
        <w:tabs>
          <w:tab w:leader="none" w:pos="2457" w:val="left"/>
        </w:tabs>
        <w:numPr>
          <w:ilvl w:val="0"/>
          <w:numId w:val="124"/>
        </w:numPr>
        <w:rPr>
          <w:rFonts w:ascii="Arial" w:cs="Arial" w:eastAsia="Arial" w:hAnsi="Arial"/>
          <w:sz w:val="17"/>
          <w:szCs w:val="17"/>
          <w:color w:val="345988"/>
        </w:rPr>
      </w:pPr>
      <w:r>
        <w:rPr>
          <w:rFonts w:ascii="Arial" w:cs="Arial" w:eastAsia="Arial" w:hAnsi="Arial"/>
          <w:sz w:val="18"/>
          <w:szCs w:val="18"/>
          <w:color w:val="auto"/>
        </w:rPr>
        <w:t>Partial acceleration of unvested equity awards (other than OPP awards) and deferred compensation, if any</w:t>
      </w:r>
      <w:r>
        <w:rPr>
          <w:rFonts w:ascii="Arial" w:cs="Arial" w:eastAsia="Arial" w:hAnsi="Arial"/>
          <w:sz w:val="29"/>
          <w:szCs w:val="29"/>
          <w:color w:val="auto"/>
          <w:vertAlign w:val="superscript"/>
        </w:rPr>
        <w:t>(9)</w:t>
      </w:r>
    </w:p>
    <w:p>
      <w:pPr>
        <w:spacing w:after="0" w:line="2" w:lineRule="exact"/>
        <w:rPr>
          <w:rFonts w:ascii="Arial" w:cs="Arial" w:eastAsia="Arial" w:hAnsi="Arial"/>
          <w:sz w:val="17"/>
          <w:szCs w:val="17"/>
          <w:color w:val="345988"/>
        </w:rPr>
      </w:pPr>
    </w:p>
    <w:p>
      <w:pPr>
        <w:ind w:left="2460" w:hanging="233"/>
        <w:spacing w:after="0" w:line="233" w:lineRule="auto"/>
        <w:tabs>
          <w:tab w:leader="none" w:pos="2460" w:val="left"/>
        </w:tabs>
        <w:numPr>
          <w:ilvl w:val="0"/>
          <w:numId w:val="124"/>
        </w:numPr>
        <w:rPr>
          <w:rFonts w:ascii="Arial" w:cs="Arial" w:eastAsia="Arial" w:hAnsi="Arial"/>
          <w:sz w:val="17"/>
          <w:szCs w:val="17"/>
          <w:color w:val="345988"/>
        </w:rPr>
      </w:pPr>
      <w:r>
        <w:rPr>
          <w:rFonts w:ascii="Arial" w:cs="Arial" w:eastAsia="Arial" w:hAnsi="Arial"/>
          <w:sz w:val="18"/>
          <w:szCs w:val="18"/>
          <w:color w:val="auto"/>
        </w:rPr>
        <w:t>Grant of certain employment agreement equity</w:t>
      </w:r>
    </w:p>
    <w:p>
      <w:pPr>
        <w:ind w:left="2480"/>
        <w:spacing w:after="0" w:line="181" w:lineRule="auto"/>
        <w:rPr>
          <w:sz w:val="20"/>
          <w:szCs w:val="20"/>
          <w:color w:val="auto"/>
        </w:rPr>
      </w:pPr>
      <w:r>
        <w:rPr>
          <w:rFonts w:ascii="Arial" w:cs="Arial" w:eastAsia="Arial" w:hAnsi="Arial"/>
          <w:sz w:val="17"/>
          <w:szCs w:val="17"/>
          <w:color w:val="auto"/>
        </w:rPr>
        <w:t>awards not previously granted</w:t>
      </w:r>
      <w:r>
        <w:rPr>
          <w:rFonts w:ascii="Arial" w:cs="Arial" w:eastAsia="Arial" w:hAnsi="Arial"/>
          <w:sz w:val="28"/>
          <w:szCs w:val="28"/>
          <w:color w:val="auto"/>
          <w:vertAlign w:val="superscript"/>
        </w:rPr>
        <w:t>(7)</w:t>
      </w:r>
    </w:p>
    <w:p>
      <w:pPr>
        <w:spacing w:after="0" w:line="1" w:lineRule="exact"/>
        <w:rPr>
          <w:sz w:val="20"/>
          <w:szCs w:val="20"/>
          <w:color w:val="auto"/>
        </w:rPr>
      </w:pPr>
    </w:p>
    <w:p>
      <w:pPr>
        <w:ind w:left="2480" w:hanging="253"/>
        <w:spacing w:after="0" w:line="243" w:lineRule="auto"/>
        <w:tabs>
          <w:tab w:leader="none" w:pos="2457" w:val="left"/>
        </w:tabs>
        <w:numPr>
          <w:ilvl w:val="0"/>
          <w:numId w:val="125"/>
        </w:numPr>
        <w:rPr>
          <w:rFonts w:ascii="Arial" w:cs="Arial" w:eastAsia="Arial" w:hAnsi="Arial"/>
          <w:sz w:val="17"/>
          <w:szCs w:val="17"/>
          <w:color w:val="345988"/>
        </w:rPr>
      </w:pPr>
      <w:r>
        <w:rPr>
          <w:rFonts w:ascii="Arial" w:cs="Arial" w:eastAsia="Arial" w:hAnsi="Arial"/>
          <w:sz w:val="18"/>
          <w:szCs w:val="18"/>
          <w:color w:val="auto"/>
        </w:rPr>
        <w:t>Payments/benefits to Messrs. Holliday and Green are reduced by life insurance benefit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264" w:right="1060" w:hanging="264"/>
        <w:spacing w:after="0" w:line="235" w:lineRule="auto"/>
        <w:tabs>
          <w:tab w:leader="none" w:pos="241" w:val="left"/>
        </w:tabs>
        <w:numPr>
          <w:ilvl w:val="0"/>
          <w:numId w:val="126"/>
        </w:numPr>
        <w:rPr>
          <w:rFonts w:ascii="Arial" w:cs="Arial" w:eastAsia="Arial" w:hAnsi="Arial"/>
          <w:sz w:val="17"/>
          <w:szCs w:val="17"/>
          <w:color w:val="345988"/>
        </w:rPr>
      </w:pPr>
      <w:r>
        <w:rPr>
          <w:rFonts w:ascii="Arial" w:cs="Arial" w:eastAsia="Arial" w:hAnsi="Arial"/>
          <w:sz w:val="17"/>
          <w:szCs w:val="17"/>
          <w:color w:val="auto"/>
        </w:rPr>
        <w:t>1x average annual base salary, deferred compensation, if any, and bonus</w:t>
      </w:r>
      <w:r>
        <w:rPr>
          <w:rFonts w:ascii="Arial" w:cs="Arial" w:eastAsia="Arial" w:hAnsi="Arial"/>
          <w:sz w:val="28"/>
          <w:szCs w:val="28"/>
          <w:color w:val="auto"/>
          <w:vertAlign w:val="superscript"/>
        </w:rPr>
        <w:t>(5)</w:t>
      </w:r>
    </w:p>
    <w:p>
      <w:pPr>
        <w:ind w:left="244" w:hanging="244"/>
        <w:spacing w:after="0" w:line="183" w:lineRule="auto"/>
        <w:tabs>
          <w:tab w:leader="none" w:pos="244" w:val="left"/>
        </w:tabs>
        <w:numPr>
          <w:ilvl w:val="0"/>
          <w:numId w:val="126"/>
        </w:numPr>
        <w:rPr>
          <w:rFonts w:ascii="Arial" w:cs="Arial" w:eastAsia="Arial" w:hAnsi="Arial"/>
          <w:sz w:val="14"/>
          <w:szCs w:val="14"/>
          <w:color w:val="345988"/>
        </w:rPr>
      </w:pPr>
      <w:r>
        <w:rPr>
          <w:rFonts w:ascii="Arial" w:cs="Arial" w:eastAsia="Arial" w:hAnsi="Arial"/>
          <w:sz w:val="15"/>
          <w:szCs w:val="15"/>
          <w:color w:val="auto"/>
        </w:rPr>
        <w:t>Pro-rata bonus for partial year</w:t>
      </w:r>
      <w:r>
        <w:rPr>
          <w:rFonts w:ascii="Arial" w:cs="Arial" w:eastAsia="Arial" w:hAnsi="Arial"/>
          <w:sz w:val="23"/>
          <w:szCs w:val="23"/>
          <w:color w:val="auto"/>
          <w:vertAlign w:val="superscript"/>
        </w:rPr>
        <w:t>(6)</w:t>
      </w:r>
    </w:p>
    <w:p>
      <w:pPr>
        <w:ind w:left="264" w:right="100" w:hanging="264"/>
        <w:spacing w:after="0" w:line="207" w:lineRule="auto"/>
        <w:tabs>
          <w:tab w:leader="none" w:pos="241" w:val="left"/>
        </w:tabs>
        <w:numPr>
          <w:ilvl w:val="0"/>
          <w:numId w:val="126"/>
        </w:numPr>
        <w:rPr>
          <w:rFonts w:ascii="Arial" w:cs="Arial" w:eastAsia="Arial" w:hAnsi="Arial"/>
          <w:sz w:val="17"/>
          <w:szCs w:val="17"/>
          <w:color w:val="345988"/>
        </w:rPr>
      </w:pPr>
      <w:r>
        <w:rPr>
          <w:rFonts w:ascii="Arial" w:cs="Arial" w:eastAsia="Arial" w:hAnsi="Arial"/>
          <w:sz w:val="18"/>
          <w:szCs w:val="18"/>
          <w:color w:val="auto"/>
        </w:rPr>
        <w:t>Partial acceleration of unvested equity awards (other than OPP awards) and deferred compensation, if any</w:t>
      </w:r>
      <w:r>
        <w:rPr>
          <w:rFonts w:ascii="Arial" w:cs="Arial" w:eastAsia="Arial" w:hAnsi="Arial"/>
          <w:sz w:val="29"/>
          <w:szCs w:val="29"/>
          <w:color w:val="auto"/>
          <w:vertAlign w:val="superscript"/>
        </w:rPr>
        <w:t>(9)</w:t>
      </w:r>
    </w:p>
    <w:p>
      <w:pPr>
        <w:spacing w:after="0" w:line="2" w:lineRule="exact"/>
        <w:rPr>
          <w:rFonts w:ascii="Arial" w:cs="Arial" w:eastAsia="Arial" w:hAnsi="Arial"/>
          <w:sz w:val="17"/>
          <w:szCs w:val="17"/>
          <w:color w:val="345988"/>
        </w:rPr>
      </w:pPr>
    </w:p>
    <w:p>
      <w:pPr>
        <w:ind w:left="244" w:hanging="244"/>
        <w:spacing w:after="0" w:line="233" w:lineRule="auto"/>
        <w:tabs>
          <w:tab w:leader="none" w:pos="244" w:val="left"/>
        </w:tabs>
        <w:numPr>
          <w:ilvl w:val="0"/>
          <w:numId w:val="126"/>
        </w:numPr>
        <w:rPr>
          <w:rFonts w:ascii="Arial" w:cs="Arial" w:eastAsia="Arial" w:hAnsi="Arial"/>
          <w:sz w:val="17"/>
          <w:szCs w:val="17"/>
          <w:color w:val="345988"/>
        </w:rPr>
      </w:pPr>
      <w:r>
        <w:rPr>
          <w:rFonts w:ascii="Arial" w:cs="Arial" w:eastAsia="Arial" w:hAnsi="Arial"/>
          <w:sz w:val="18"/>
          <w:szCs w:val="18"/>
          <w:color w:val="auto"/>
        </w:rPr>
        <w:t>Grant of certain employment agreement equity</w:t>
      </w:r>
    </w:p>
    <w:p>
      <w:pPr>
        <w:ind w:left="264"/>
        <w:spacing w:after="0" w:line="181" w:lineRule="auto"/>
        <w:rPr>
          <w:sz w:val="20"/>
          <w:szCs w:val="20"/>
          <w:color w:val="auto"/>
        </w:rPr>
      </w:pPr>
      <w:r>
        <w:rPr>
          <w:rFonts w:ascii="Arial" w:cs="Arial" w:eastAsia="Arial" w:hAnsi="Arial"/>
          <w:sz w:val="17"/>
          <w:szCs w:val="17"/>
          <w:color w:val="auto"/>
        </w:rPr>
        <w:t>awards not previously granted</w:t>
      </w:r>
      <w:r>
        <w:rPr>
          <w:rFonts w:ascii="Arial" w:cs="Arial" w:eastAsia="Arial" w:hAnsi="Arial"/>
          <w:sz w:val="28"/>
          <w:szCs w:val="28"/>
          <w:color w:val="auto"/>
          <w:vertAlign w:val="superscript"/>
        </w:rPr>
        <w:t>(7)</w:t>
      </w:r>
    </w:p>
    <w:p>
      <w:pPr>
        <w:spacing w:after="0" w:line="1" w:lineRule="exact"/>
        <w:rPr>
          <w:sz w:val="20"/>
          <w:szCs w:val="20"/>
          <w:color w:val="auto"/>
        </w:rPr>
      </w:pPr>
    </w:p>
    <w:p>
      <w:pPr>
        <w:ind w:left="244" w:hanging="244"/>
        <w:spacing w:after="0"/>
        <w:tabs>
          <w:tab w:leader="none" w:pos="244" w:val="left"/>
        </w:tabs>
        <w:numPr>
          <w:ilvl w:val="0"/>
          <w:numId w:val="127"/>
        </w:numPr>
        <w:rPr>
          <w:rFonts w:ascii="Arial" w:cs="Arial" w:eastAsia="Arial" w:hAnsi="Arial"/>
          <w:sz w:val="17"/>
          <w:szCs w:val="17"/>
          <w:color w:val="345988"/>
        </w:rPr>
      </w:pPr>
      <w:r>
        <w:rPr>
          <w:rFonts w:ascii="Arial" w:cs="Arial" w:eastAsia="Arial" w:hAnsi="Arial"/>
          <w:sz w:val="18"/>
          <w:szCs w:val="18"/>
          <w:color w:val="auto"/>
        </w:rPr>
        <w:t>36 months of benefit continuation/payments</w:t>
      </w:r>
    </w:p>
    <w:p>
      <w:pPr>
        <w:spacing w:after="0" w:line="12" w:lineRule="exact"/>
        <w:rPr>
          <w:sz w:val="20"/>
          <w:szCs w:val="20"/>
          <w:color w:val="auto"/>
        </w:rPr>
      </w:pPr>
    </w:p>
    <w:p>
      <w:pPr>
        <w:sectPr>
          <w:pgSz w:w="11900" w:h="16838" w:orient="portrait"/>
          <w:cols w:equalWidth="0" w:num="2">
            <w:col w:w="6300" w:space="656"/>
            <w:col w:w="4424"/>
          </w:cols>
          <w:pgMar w:left="240" w:top="119" w:right="279" w:bottom="1440" w:gutter="0" w:footer="0" w:header="0"/>
          <w:type w:val="continuous"/>
        </w:sectPr>
      </w:pPr>
    </w:p>
    <w:p>
      <w:pPr>
        <w:spacing w:after="0"/>
        <w:tabs>
          <w:tab w:leader="none" w:pos="1920" w:val="left"/>
        </w:tabs>
        <w:rPr>
          <w:sz w:val="20"/>
          <w:szCs w:val="20"/>
          <w:color w:val="auto"/>
        </w:rPr>
      </w:pPr>
      <w:r>
        <w:rPr>
          <w:rFonts w:ascii="Arial" w:cs="Arial" w:eastAsia="Arial" w:hAnsi="Arial"/>
          <w:sz w:val="18"/>
          <w:szCs w:val="18"/>
          <w:b w:val="1"/>
          <w:bCs w:val="1"/>
          <w:color w:val="auto"/>
        </w:rPr>
        <w:t>Post-Change-in-</w:t>
      </w:r>
      <w:r>
        <w:rPr>
          <w:sz w:val="20"/>
          <w:szCs w:val="20"/>
          <w:color w:val="auto"/>
        </w:rPr>
        <w:tab/>
      </w:r>
      <w:r>
        <w:rPr>
          <w:rFonts w:ascii="Arial" w:cs="Arial" w:eastAsia="Arial" w:hAnsi="Arial"/>
          <w:sz w:val="16"/>
          <w:szCs w:val="16"/>
          <w:color w:val="auto"/>
        </w:rPr>
        <w:t>For periods following a Change-in-Control, in lieu of the base salary, annual bonus, deferred compensation and 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ind w:left="1940" w:right="100" w:hanging="1939"/>
        <w:spacing w:after="0" w:line="237" w:lineRule="auto"/>
        <w:tabs>
          <w:tab w:leader="none" w:pos="1920" w:val="left"/>
        </w:tabs>
        <w:rPr>
          <w:sz w:val="20"/>
          <w:szCs w:val="20"/>
          <w:color w:val="auto"/>
        </w:rPr>
      </w:pPr>
      <w:r>
        <w:rPr>
          <w:rFonts w:ascii="Arial" w:cs="Arial" w:eastAsia="Arial" w:hAnsi="Arial"/>
          <w:sz w:val="18"/>
          <w:szCs w:val="18"/>
          <w:b w:val="1"/>
          <w:bCs w:val="1"/>
          <w:color w:val="auto"/>
        </w:rPr>
        <w:t>Control Salary</w:t>
      </w:r>
      <w:r>
        <w:rPr>
          <w:sz w:val="20"/>
          <w:szCs w:val="20"/>
          <w:color w:val="auto"/>
        </w:rPr>
        <w:tab/>
      </w:r>
      <w:r>
        <w:rPr>
          <w:rFonts w:ascii="Arial" w:cs="Arial" w:eastAsia="Arial" w:hAnsi="Arial"/>
          <w:sz w:val="18"/>
          <w:szCs w:val="18"/>
          <w:color w:val="auto"/>
        </w:rPr>
        <w:t>awards described above, each executive, while employed, will be entitled to receive salary payable in cash at a per annum rate equal to the sum of his annual base salary in effect prior to the Change-in-Control plus his annual bonus and the value of his deferred compensation contributions and his equity awards (other than those granted under outperformance plans) that vested during the most recent fiscal year prior to the Change-in-Control.</w:t>
      </w:r>
    </w:p>
    <w:p>
      <w:pPr>
        <w:sectPr>
          <w:pgSz w:w="11900" w:h="16838" w:orient="portrait"/>
          <w:cols w:equalWidth="0" w:num="1">
            <w:col w:w="11380"/>
          </w:cols>
          <w:pgMar w:left="240" w:top="119" w:right="27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Borders>
              <w:top w:val="single" w:sz="8" w:color="8590A9"/>
            </w:tcBorders>
          </w:tcPr>
          <w:p>
            <w:pPr>
              <w:spacing w:after="0" w:line="186" w:lineRule="exact"/>
              <w:rPr>
                <w:sz w:val="20"/>
                <w:szCs w:val="20"/>
                <w:color w:val="auto"/>
              </w:rPr>
            </w:pPr>
            <w:r>
              <w:rPr>
                <w:rFonts w:ascii="Arial" w:cs="Arial" w:eastAsia="Arial" w:hAnsi="Arial"/>
                <w:sz w:val="18"/>
                <w:szCs w:val="18"/>
                <w:b w:val="1"/>
                <w:bCs w:val="1"/>
                <w:color w:val="auto"/>
              </w:rPr>
              <w:t>Restrictive</w:t>
            </w:r>
          </w:p>
        </w:tc>
        <w:tc>
          <w:tcPr>
            <w:tcW w:w="160" w:type="dxa"/>
            <w:vAlign w:val="bottom"/>
          </w:tcPr>
          <w:p>
            <w:pPr>
              <w:spacing w:after="0"/>
              <w:rPr>
                <w:sz w:val="16"/>
                <w:szCs w:val="16"/>
                <w:color w:val="auto"/>
              </w:rPr>
            </w:pPr>
          </w:p>
        </w:tc>
        <w:tc>
          <w:tcPr>
            <w:tcW w:w="4720" w:type="dxa"/>
            <w:vAlign w:val="bottom"/>
            <w:tcBorders>
              <w:top w:val="single" w:sz="8" w:color="8590A9"/>
            </w:tcBorders>
          </w:tcPr>
          <w:p>
            <w:pPr>
              <w:spacing w:after="0" w:line="186" w:lineRule="exact"/>
              <w:rPr>
                <w:sz w:val="20"/>
                <w:szCs w:val="20"/>
                <w:color w:val="auto"/>
              </w:rPr>
            </w:pPr>
            <w:r>
              <w:rPr>
                <w:rFonts w:ascii="Arial" w:cs="Arial" w:eastAsia="Arial" w:hAnsi="Arial"/>
                <w:sz w:val="18"/>
                <w:szCs w:val="18"/>
                <w:color w:val="auto"/>
              </w:rPr>
              <w:t>For Messrs. Holliday, Green and Mathias, noncompetition</w:t>
            </w:r>
          </w:p>
        </w:tc>
      </w:tr>
      <w:tr>
        <w:trPr>
          <w:trHeight w:val="204"/>
        </w:trPr>
        <w:tc>
          <w:tcPr>
            <w:tcW w:w="194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Covenants</w:t>
            </w:r>
          </w:p>
        </w:tc>
        <w:tc>
          <w:tcPr>
            <w:tcW w:w="4720" w:type="dxa"/>
            <w:vAlign w:val="bottom"/>
          </w:tcPr>
          <w:p>
            <w:pPr>
              <w:spacing w:after="0" w:line="204" w:lineRule="exact"/>
              <w:rPr>
                <w:sz w:val="20"/>
                <w:szCs w:val="20"/>
                <w:color w:val="auto"/>
              </w:rPr>
            </w:pPr>
            <w:r>
              <w:rPr>
                <w:rFonts w:ascii="Arial" w:cs="Arial" w:eastAsia="Arial" w:hAnsi="Arial"/>
                <w:sz w:val="18"/>
                <w:szCs w:val="18"/>
                <w:color w:val="auto"/>
              </w:rPr>
              <w:t>with us for 18 months following termination (12 months if</w:t>
            </w:r>
          </w:p>
        </w:tc>
      </w:tr>
      <w:tr>
        <w:trPr>
          <w:trHeight w:val="202"/>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employment is terminated upon or after the scheduled</w:t>
            </w:r>
          </w:p>
        </w:tc>
      </w:tr>
      <w:tr>
        <w:trPr>
          <w:trHeight w:val="202"/>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expiration of the term of employment or 6 months if</w:t>
            </w:r>
          </w:p>
        </w:tc>
      </w:tr>
      <w:tr>
        <w:trPr>
          <w:trHeight w:val="202"/>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employment is terminated in connection with or within 18</w:t>
            </w:r>
          </w:p>
        </w:tc>
      </w:tr>
      <w:tr>
        <w:trPr>
          <w:trHeight w:val="202"/>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months after a Change-in-Control). Non-solicitation, non-</w:t>
            </w:r>
          </w:p>
        </w:tc>
      </w:tr>
      <w:tr>
        <w:trPr>
          <w:trHeight w:val="202"/>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disparagement, non-interference and litigation cooperation</w:t>
            </w:r>
          </w:p>
        </w:tc>
      </w:tr>
      <w:tr>
        <w:trPr>
          <w:trHeight w:val="228"/>
        </w:trPr>
        <w:tc>
          <w:tcPr>
            <w:tcW w:w="1780" w:type="dxa"/>
            <w:vAlign w:val="bottom"/>
            <w:tcBorders>
              <w:bottom w:val="single" w:sz="8" w:color="345988"/>
            </w:tcBorders>
          </w:tcPr>
          <w:p>
            <w:pPr>
              <w:spacing w:after="0"/>
              <w:rPr>
                <w:sz w:val="19"/>
                <w:szCs w:val="19"/>
                <w:color w:val="auto"/>
              </w:rPr>
            </w:pPr>
          </w:p>
        </w:tc>
        <w:tc>
          <w:tcPr>
            <w:tcW w:w="160" w:type="dxa"/>
            <w:vAlign w:val="bottom"/>
          </w:tcPr>
          <w:p>
            <w:pPr>
              <w:spacing w:after="0"/>
              <w:rPr>
                <w:sz w:val="19"/>
                <w:szCs w:val="19"/>
                <w:color w:val="auto"/>
              </w:rPr>
            </w:pPr>
          </w:p>
        </w:tc>
        <w:tc>
          <w:tcPr>
            <w:tcW w:w="472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covenants also apply.</w:t>
            </w:r>
          </w:p>
        </w:tc>
      </w:tr>
    </w:tbl>
    <w:p>
      <w:pPr>
        <w:spacing w:after="0" w:line="20" w:lineRule="exact"/>
        <w:rPr>
          <w:sz w:val="20"/>
          <w:szCs w:val="20"/>
          <w:color w:val="auto"/>
        </w:rPr>
      </w:pPr>
      <w:r>
        <w:rPr>
          <w:sz w:val="20"/>
          <w:szCs w:val="20"/>
          <w:color w:val="auto"/>
        </w:rPr>
        <w:br w:type="column"/>
      </w:r>
    </w:p>
    <w:p>
      <w:pPr>
        <w:ind w:right="40"/>
        <w:spacing w:after="0"/>
        <w:rPr>
          <w:sz w:val="20"/>
          <w:szCs w:val="20"/>
          <w:color w:val="auto"/>
        </w:rPr>
      </w:pPr>
      <w:r>
        <w:rPr>
          <w:rFonts w:ascii="Arial" w:cs="Arial" w:eastAsia="Arial" w:hAnsi="Arial"/>
          <w:sz w:val="18"/>
          <w:szCs w:val="18"/>
          <w:color w:val="auto"/>
        </w:rPr>
        <w:t>For Messrs. DiLiberto and Levine, noncompetition with us for 12 months after termination unless employment is terminated upon non-renewal of the agreement or without Cause or for Good Reason in connection with or within 18 months after a Change-in-Control. Non-solicitation, non-disparagement, non-interference and litigation cooperation covenants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292608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92608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-916305</wp:posOffset>
            </wp:positionV>
            <wp:extent cx="29260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926080" cy="825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6660" w:space="160"/>
            <w:col w:w="4560"/>
          </w:cols>
          <w:pgMar w:left="240" w:top="119" w:right="279" w:bottom="1440" w:gutter="0" w:footer="0" w:header="0"/>
          <w:type w:val="continuous"/>
        </w:sectPr>
      </w:pPr>
    </w:p>
    <w:p>
      <w:pPr>
        <w:ind w:left="360" w:hanging="352"/>
        <w:spacing w:after="0" w:line="286" w:lineRule="auto"/>
        <w:tabs>
          <w:tab w:leader="none" w:pos="3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terms automatically renew for one year (for Messrs. Green and Mathias) and six months (for Messrs. DiLiberto and Levine) unless either party provide advance written notice of non-renewal. In April 2018, Mr. Holliday entered into a new employment agreement, which will be effective beginning January 18, 2019.</w:t>
      </w:r>
    </w:p>
    <w:p>
      <w:pPr>
        <w:spacing w:after="0" w:line="47" w:lineRule="exact"/>
        <w:rPr>
          <w:rFonts w:ascii="Arial" w:cs="Arial" w:eastAsia="Arial" w:hAnsi="Arial"/>
          <w:sz w:val="13"/>
          <w:szCs w:val="13"/>
          <w:color w:val="auto"/>
        </w:rPr>
      </w:pPr>
    </w:p>
    <w:p>
      <w:pPr>
        <w:ind w:left="360" w:right="220" w:hanging="352"/>
        <w:spacing w:after="0" w:line="262" w:lineRule="auto"/>
        <w:tabs>
          <w:tab w:leader="none" w:pos="3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Annual deferred compensation contributions are made in the form of notional stock units at the beginning of the term and on each anniversary of such date during the term, subject to vesting based on continued employment for one year from the grant date, and are payable no later than 30 days following the earliest of (i) the executive’s death, (ii) the date of the executive’s separation from service with us and (iii) the effective date of a Change-in-Control based on the value of such stock units at that time.</w:t>
      </w:r>
    </w:p>
    <w:p>
      <w:pPr>
        <w:spacing w:after="0" w:line="62" w:lineRule="exact"/>
        <w:rPr>
          <w:rFonts w:ascii="Arial" w:cs="Arial" w:eastAsia="Arial" w:hAnsi="Arial"/>
          <w:sz w:val="13"/>
          <w:szCs w:val="13"/>
          <w:color w:val="auto"/>
        </w:rPr>
      </w:pPr>
    </w:p>
    <w:p>
      <w:pPr>
        <w:ind w:left="360" w:right="120" w:hanging="352"/>
        <w:spacing w:after="0" w:line="286" w:lineRule="auto"/>
        <w:tabs>
          <w:tab w:leader="none" w:pos="3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Mr. Holliday is eligible to participate in an annual formulaic cash bonus program pursuant to which he will be able to earn up to three times his base salary based on the achievement of specific goals established in advance by the Committee.</w:t>
      </w:r>
    </w:p>
    <w:p>
      <w:pPr>
        <w:spacing w:after="0" w:line="47" w:lineRule="exact"/>
        <w:rPr>
          <w:rFonts w:ascii="Arial" w:cs="Arial" w:eastAsia="Arial" w:hAnsi="Arial"/>
          <w:sz w:val="13"/>
          <w:szCs w:val="13"/>
          <w:color w:val="auto"/>
        </w:rPr>
      </w:pPr>
    </w:p>
    <w:p>
      <w:pPr>
        <w:ind w:left="360" w:hanging="352"/>
        <w:spacing w:after="0"/>
        <w:tabs>
          <w:tab w:leader="none" w:pos="3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Severance benefits in the event of a termination by us without Cause or by the executive for Good Reason in connection with or within 18 months after a Change-in-Control.</w:t>
      </w:r>
    </w:p>
    <w:p>
      <w:pPr>
        <w:spacing w:after="0" w:line="106" w:lineRule="exact"/>
        <w:rPr>
          <w:rFonts w:ascii="Arial" w:cs="Arial" w:eastAsia="Arial" w:hAnsi="Arial"/>
          <w:sz w:val="13"/>
          <w:szCs w:val="13"/>
          <w:color w:val="auto"/>
        </w:rPr>
      </w:pPr>
    </w:p>
    <w:p>
      <w:pPr>
        <w:ind w:left="360" w:right="60" w:hanging="352"/>
        <w:spacing w:after="0" w:line="247" w:lineRule="auto"/>
        <w:tabs>
          <w:tab w:leader="none" w:pos="3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Calculated based on the sum of the named executive officer’s (i) average annual base salary in effect during the preceding 24 months, plus (ii) average annual cash bonuses (including any portion of the annual cash bonus paid in the form of equity awards, but excluding any annual or other equity awards made other than as payment of a cash bonus) paid for the two most recently completed fiscal years, plus (iii) average annual deferred compensation contribution, if any, during the preceding 24 months, calculated based on the cash value of the annual deferred compensation contributions as of the dates of such contributions. In connection with a Change-in- Control, Messrs. Holliday and Green are entitled to three times, Mr. Mathias is entitled to two and one-half times and Messrs. DiLiberto and Levine are entitled to two times the foregoing sum. Average deferred compensation is only applicable to Messrs. Holliday, Mathias and Green.</w:t>
      </w:r>
    </w:p>
    <w:p>
      <w:pPr>
        <w:spacing w:after="0" w:line="73" w:lineRule="exact"/>
        <w:rPr>
          <w:rFonts w:ascii="Arial" w:cs="Arial" w:eastAsia="Arial" w:hAnsi="Arial"/>
          <w:sz w:val="13"/>
          <w:szCs w:val="13"/>
          <w:color w:val="auto"/>
        </w:rPr>
      </w:pPr>
    </w:p>
    <w:p>
      <w:pPr>
        <w:ind w:left="360" w:right="400" w:hanging="352"/>
        <w:spacing w:after="0" w:line="286" w:lineRule="auto"/>
        <w:tabs>
          <w:tab w:leader="none" w:pos="3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Pro-rata bonus is for the year in which employment is terminated (and a bonus for the prior year if such bonus had not yet been determined) based on average annual cash bonus calculated in the manner described in footnote (5) above.</w:t>
      </w:r>
    </w:p>
    <w:p>
      <w:pPr>
        <w:spacing w:after="0" w:line="47" w:lineRule="exact"/>
        <w:rPr>
          <w:rFonts w:ascii="Arial" w:cs="Arial" w:eastAsia="Arial" w:hAnsi="Arial"/>
          <w:sz w:val="13"/>
          <w:szCs w:val="13"/>
          <w:color w:val="auto"/>
        </w:rPr>
      </w:pPr>
    </w:p>
    <w:p>
      <w:pPr>
        <w:ind w:left="360" w:right="40" w:hanging="352"/>
        <w:spacing w:after="0" w:line="262" w:lineRule="auto"/>
        <w:tabs>
          <w:tab w:leader="none" w:pos="3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Only applicable to Mr. Holliday. Mr. Holliday will be entitled to receive the stock options or Class O LTIP units provided for in his employment agreement, but will not be entitled to receive any other employment agreement equity awards that had not yet been granted unless his termination is in connection with or within 18 months after a Change-in-Control; provided that Mr. Holliday will not be subject to the non-competition provisions in his employment agreement if such other employment agreement equity awards are not granted.</w:t>
      </w:r>
    </w:p>
    <w:p>
      <w:pPr>
        <w:spacing w:after="0" w:line="168" w:lineRule="exact"/>
        <w:rPr>
          <w:sz w:val="20"/>
          <w:szCs w:val="20"/>
          <w:color w:val="auto"/>
        </w:rPr>
      </w:pPr>
    </w:p>
    <w:p>
      <w:pPr>
        <w:ind w:left="300" w:hanging="292"/>
        <w:spacing w:after="0"/>
        <w:tabs>
          <w:tab w:leader="none" w:pos="300" w:val="left"/>
        </w:tabs>
        <w:numPr>
          <w:ilvl w:val="0"/>
          <w:numId w:val="129"/>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80"/>
          </w:cols>
          <w:pgMar w:left="240" w:top="119" w:right="27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213" w:lineRule="exact"/>
        <w:rPr>
          <w:sz w:val="20"/>
          <w:szCs w:val="20"/>
          <w:color w:val="auto"/>
        </w:rPr>
      </w:pPr>
    </w:p>
    <w:p>
      <w:pPr>
        <w:ind w:left="360" w:right="160" w:hanging="352"/>
        <w:spacing w:after="0" w:line="262" w:lineRule="auto"/>
        <w:tabs>
          <w:tab w:leader="none" w:pos="36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In the event that any payment or benefit constitutes an excess “parachute payment” under Section 280G of the IRC subject to an excise tax, the executive will not be entitled to a tax gross-up payment; however, the executive’s payments and benefits would be reduced to the extent necessary to avoid such excise taxes, but only if such a reduction of pay or benefits would result in a greater after-tax benefit to the executive.</w:t>
      </w:r>
    </w:p>
    <w:p>
      <w:pPr>
        <w:spacing w:after="0" w:line="62" w:lineRule="exact"/>
        <w:rPr>
          <w:rFonts w:ascii="Arial" w:cs="Arial" w:eastAsia="Arial" w:hAnsi="Arial"/>
          <w:sz w:val="13"/>
          <w:szCs w:val="13"/>
          <w:color w:val="auto"/>
        </w:rPr>
      </w:pPr>
    </w:p>
    <w:p>
      <w:pPr>
        <w:ind w:left="360" w:right="340" w:hanging="352"/>
        <w:spacing w:after="0" w:line="286" w:lineRule="auto"/>
        <w:tabs>
          <w:tab w:leader="none" w:pos="36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Full acceleration of vesting of any unvested equity awards granted in lieu of cash bonuses and deferred compensation and 24 months (Messrs. Holliday and Green), 18 months (Mr. Mathias) or 12 months (Messrs. DiLiberto and Levine) of additional vesting of other outstanding equity awards (other than OPP awards).</w:t>
      </w:r>
    </w:p>
    <w:p>
      <w:pPr>
        <w:spacing w:after="0" w:line="15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The terms Cause, Good Reason and Change-in-Control, as used above, are specifically defined in each executive’s employment agreement. The summary above is qualified in its entirety by reference to the copies of the employment agreements and the deferred compensation agreements with our named executive officers, which have been previously filed by us with the SEC, as referenced in our Form 10-K for the year ended December 31, 2017, and are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Performance-Based Equity Awards</w:t>
      </w:r>
    </w:p>
    <w:p>
      <w:pPr>
        <w:spacing w:after="0" w:line="21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Upon a change in control, the performance-based vesting criteria for the performance-based LTIP unit awards that we granted to our named executive officers pursuant to their employment agreements will be determined based on performance through the date of the change in control. Regardless of the satisfaction of the performance-based vesting criteria, these awards will remain subject to vesting based on continued employment through the originally established vesting dates. In the event of a termination by us without Cause or by an executive for Good Reason (as defined in each executive’s employment agreement) in connection with or within 18 months after a change in control, all of the performance-based LTIP units will vest. Otherwise, the vesting of these performance-based LTIP units upon a termination of employment will be treated in the same manner as other equity awards under our executive’s employment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Stock Options and Class O LTIP units</w:t>
      </w:r>
    </w:p>
    <w:p>
      <w:pPr>
        <w:spacing w:after="0" w:line="21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Under the general terms of the 2005 Plan, the vesting of stock options and Class O LTIP units granted thereunder, including those granted to our named executive officers, will fully accelerate in the event of a termination of the recipient’s employment upon death or disability. Vested stock options and Class O LTIP units generally may be exercised or converted until the earlier of (i) their stated expiration date or mandatory conversion date or (ii) subject to extension of the exercise period or conversion period pursuant to our named executive officers’ employment agreements, a specified period of time after termination of employment (i.e., upon termination in the event of termination for cause, one year after termination in the event of termination due to death or disability and three months after termination in all other cases).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Hypothetical Illustration of Payments upon Termination or Change in Control</w:t>
      </w:r>
    </w:p>
    <w:p>
      <w:pPr>
        <w:spacing w:after="0" w:line="2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tables show the potential payments and estimated value of the benefits that our named executive officers would have been entitled to receive upon a termination of their employment by us without cause or by them for good reason or upon the death or disability as of December 31, 2017 based on the employment agreements and other contractual arrangements in effect as of that date. Our named executive officers would not have been entitled to any payments or benefits other than those already accrued in the event of a termination of their employment by us for cause or by them without good reason (including upon retirement) or a change in control without termination. The types of events constituting cause, good reason, disability and a change in control may differ in some respects among the different arrangements providing for benefits to the named executive officers; however, for consistency in presentation, the payments and estimated value of benefits have been grouped together based on these concepts without regard for any such differences.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60" w:type="dxa"/>
            <w:vAlign w:val="bottom"/>
            <w:gridSpan w:val="5"/>
          </w:tcPr>
          <w:p>
            <w:pPr>
              <w:spacing w:after="0"/>
              <w:rPr>
                <w:sz w:val="20"/>
                <w:szCs w:val="20"/>
                <w:color w:val="auto"/>
              </w:rPr>
            </w:pPr>
            <w:r>
              <w:rPr>
                <w:rFonts w:ascii="Arial" w:cs="Arial" w:eastAsia="Arial" w:hAnsi="Arial"/>
                <w:sz w:val="13"/>
                <w:szCs w:val="13"/>
                <w:b w:val="1"/>
                <w:bCs w:val="1"/>
                <w:color w:val="345988"/>
              </w:rPr>
              <w:t>Marc Holliday</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34598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345988"/>
              </w:rPr>
              <w:t>Termination without</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345988"/>
              </w:rPr>
              <w:t>Termination</w:t>
            </w: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345988"/>
              </w:rPr>
              <w:t>Death</w:t>
            </w:r>
            <w:r>
              <w:rPr>
                <w:rFonts w:ascii="Arial" w:cs="Arial" w:eastAsia="Arial" w:hAnsi="Arial"/>
                <w:sz w:val="22"/>
                <w:szCs w:val="22"/>
                <w:b w:val="1"/>
                <w:bCs w:val="1"/>
                <w:color w:val="345988"/>
                <w:vertAlign w:val="superscript"/>
              </w:rPr>
              <w:t>(1)</w:t>
            </w:r>
          </w:p>
        </w:tc>
        <w:tc>
          <w:tcPr>
            <w:tcW w:w="0" w:type="dxa"/>
            <w:vAlign w:val="bottom"/>
          </w:tcPr>
          <w:p>
            <w:pPr>
              <w:spacing w:after="0" w:line="20" w:lineRule="exact"/>
              <w:rPr>
                <w:sz w:val="1"/>
                <w:szCs w:val="1"/>
                <w:color w:val="auto"/>
              </w:rPr>
            </w:pPr>
          </w:p>
        </w:tc>
      </w:tr>
      <w:tr>
        <w:trPr>
          <w:trHeight w:val="339"/>
        </w:trPr>
        <w:tc>
          <w:tcPr>
            <w:tcW w:w="576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Payment/Benefit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345988"/>
              </w:rPr>
              <w:t>Disability</w:t>
            </w:r>
          </w:p>
        </w:tc>
        <w:tc>
          <w:tcPr>
            <w:tcW w:w="18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760" w:type="dxa"/>
            <w:vAlign w:val="bottom"/>
            <w:gridSpan w:val="5"/>
            <w:vMerge w:val="continue"/>
          </w:tcPr>
          <w:p>
            <w:pPr>
              <w:spacing w:after="0"/>
              <w:rPr>
                <w:sz w:val="17"/>
                <w:szCs w:val="17"/>
                <w:color w:val="auto"/>
              </w:rPr>
            </w:pPr>
          </w:p>
        </w:tc>
        <w:tc>
          <w:tcPr>
            <w:tcW w:w="1800" w:type="dxa"/>
            <w:vAlign w:val="bottom"/>
            <w:gridSpan w:val="4"/>
          </w:tcPr>
          <w:p>
            <w:pPr>
              <w:spacing w:after="0"/>
              <w:rPr>
                <w:sz w:val="20"/>
                <w:szCs w:val="20"/>
                <w:color w:val="auto"/>
              </w:rPr>
            </w:pPr>
            <w:r>
              <w:rPr>
                <w:rFonts w:ascii="Arial" w:cs="Arial" w:eastAsia="Arial" w:hAnsi="Arial"/>
                <w:sz w:val="13"/>
                <w:szCs w:val="13"/>
                <w:b w:val="1"/>
                <w:bCs w:val="1"/>
                <w:color w:val="345988"/>
              </w:rPr>
              <w:t>Cause or for Good Reason</w:t>
            </w:r>
          </w:p>
        </w:tc>
        <w:tc>
          <w:tcPr>
            <w:tcW w:w="100" w:type="dxa"/>
            <w:vAlign w:val="bottom"/>
          </w:tcPr>
          <w:p>
            <w:pPr>
              <w:spacing w:after="0"/>
              <w:rPr>
                <w:sz w:val="17"/>
                <w:szCs w:val="17"/>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345988"/>
              </w:rPr>
              <w:t>w/ Change in Control</w:t>
            </w: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0" w:type="dxa"/>
            <w:vAlign w:val="bottom"/>
            <w:tcBorders>
              <w:top w:val="single" w:sz="8" w:color="345988"/>
              <w:bottom w:val="single" w:sz="8" w:color="8590A9"/>
            </w:tcBorders>
            <w:gridSpan w:val="3"/>
          </w:tcPr>
          <w:p>
            <w:pPr>
              <w:spacing w:after="0" w:line="202" w:lineRule="exact"/>
              <w:rPr>
                <w:sz w:val="20"/>
                <w:szCs w:val="20"/>
                <w:color w:val="auto"/>
              </w:rPr>
            </w:pPr>
            <w:r>
              <w:rPr>
                <w:rFonts w:ascii="Arial" w:cs="Arial" w:eastAsia="Arial" w:hAnsi="Arial"/>
                <w:sz w:val="18"/>
                <w:szCs w:val="18"/>
                <w:color w:val="auto"/>
              </w:rPr>
              <w:t>Pro-Rata Bonus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345988"/>
              <w:bottom w:val="single" w:sz="8" w:color="8590A9"/>
            </w:tcBorders>
            <w:gridSpan w:val="2"/>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6,875,000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345988"/>
              <w:bottom w:val="single" w:sz="8" w:color="8590A9"/>
            </w:tcBorders>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6,875,000</w:t>
            </w:r>
          </w:p>
        </w:tc>
        <w:tc>
          <w:tcPr>
            <w:tcW w:w="160" w:type="dxa"/>
            <w:vAlign w:val="bottom"/>
          </w:tcPr>
          <w:p>
            <w:pPr>
              <w:spacing w:after="0"/>
              <w:rPr>
                <w:sz w:val="17"/>
                <w:szCs w:val="17"/>
                <w:color w:val="auto"/>
              </w:rPr>
            </w:pPr>
          </w:p>
        </w:tc>
        <w:tc>
          <w:tcPr>
            <w:tcW w:w="1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6,875,000</w:t>
            </w:r>
          </w:p>
        </w:tc>
        <w:tc>
          <w:tcPr>
            <w:tcW w:w="160" w:type="dxa"/>
            <w:vAlign w:val="bottom"/>
          </w:tcPr>
          <w:p>
            <w:pPr>
              <w:spacing w:after="0"/>
              <w:rPr>
                <w:sz w:val="17"/>
                <w:szCs w:val="17"/>
                <w:color w:val="auto"/>
              </w:rPr>
            </w:pPr>
          </w:p>
        </w:tc>
        <w:tc>
          <w:tcPr>
            <w:tcW w:w="1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6,875,000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8590A9"/>
            </w:tcBorders>
            <w:gridSpan w:val="3"/>
          </w:tcPr>
          <w:p>
            <w:pPr>
              <w:spacing w:after="0" w:line="195" w:lineRule="exact"/>
              <w:rPr>
                <w:sz w:val="20"/>
                <w:szCs w:val="20"/>
                <w:color w:val="auto"/>
              </w:rPr>
            </w:pPr>
            <w:r>
              <w:rPr>
                <w:rFonts w:ascii="Arial" w:cs="Arial" w:eastAsia="Arial" w:hAnsi="Arial"/>
                <w:sz w:val="18"/>
                <w:szCs w:val="18"/>
                <w:color w:val="auto"/>
              </w:rPr>
              <w:t>Cash Severance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8590A9"/>
            </w:tcBorders>
            <w:gridSpan w:val="2"/>
          </w:tcPr>
          <w:p>
            <w:pPr>
              <w:spacing w:after="0" w:line="195"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8,975,000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8590A9"/>
            </w:tcBorders>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26,925,000</w:t>
            </w:r>
          </w:p>
        </w:tc>
        <w:tc>
          <w:tcPr>
            <w:tcW w:w="160" w:type="dxa"/>
            <w:vAlign w:val="bottom"/>
          </w:tcPr>
          <w:p>
            <w:pPr>
              <w:spacing w:after="0"/>
              <w:rPr>
                <w:sz w:val="17"/>
                <w:szCs w:val="17"/>
                <w:color w:val="auto"/>
              </w:rPr>
            </w:pPr>
          </w:p>
        </w:tc>
        <w:tc>
          <w:tcPr>
            <w:tcW w:w="18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8,975,000</w:t>
            </w:r>
          </w:p>
        </w:tc>
        <w:tc>
          <w:tcPr>
            <w:tcW w:w="160" w:type="dxa"/>
            <w:vAlign w:val="bottom"/>
          </w:tcPr>
          <w:p>
            <w:pPr>
              <w:spacing w:after="0"/>
              <w:rPr>
                <w:sz w:val="17"/>
                <w:szCs w:val="17"/>
                <w:color w:val="auto"/>
              </w:rPr>
            </w:pPr>
          </w:p>
        </w:tc>
        <w:tc>
          <w:tcPr>
            <w:tcW w:w="180" w:type="dxa"/>
            <w:vAlign w:val="bottom"/>
            <w:tcBorders>
              <w:bottom w:val="single" w:sz="8" w:color="8590A9"/>
            </w:tcBorders>
          </w:tcPr>
          <w:p>
            <w:pPr>
              <w:spacing w:after="0"/>
              <w:rPr>
                <w:sz w:val="17"/>
                <w:szCs w:val="17"/>
                <w:color w:val="auto"/>
              </w:rPr>
            </w:pPr>
          </w:p>
        </w:tc>
        <w:tc>
          <w:tcPr>
            <w:tcW w:w="86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00" w:type="dxa"/>
            <w:vAlign w:val="bottom"/>
            <w:gridSpan w:val="3"/>
          </w:tcPr>
          <w:p>
            <w:pPr>
              <w:spacing w:after="0" w:line="236" w:lineRule="exact"/>
              <w:rPr>
                <w:sz w:val="20"/>
                <w:szCs w:val="20"/>
                <w:color w:val="auto"/>
              </w:rPr>
            </w:pPr>
            <w:r>
              <w:rPr>
                <w:rFonts w:ascii="Arial" w:cs="Arial" w:eastAsia="Arial" w:hAnsi="Arial"/>
                <w:sz w:val="17"/>
                <w:szCs w:val="17"/>
                <w:color w:val="auto"/>
              </w:rPr>
              <w:t>Stock Option / Class O LTIP Unit Vesting</w:t>
            </w:r>
            <w:r>
              <w:rPr>
                <w:rFonts w:ascii="Arial" w:cs="Arial" w:eastAsia="Arial" w:hAnsi="Arial"/>
                <w:sz w:val="27"/>
                <w:szCs w:val="27"/>
                <w:color w:val="auto"/>
                <w:vertAlign w:val="superscript"/>
              </w:rPr>
              <w:t>(2)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shd w:val="clear" w:color="auto" w:fill="8590A9"/>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4480" w:type="dxa"/>
            <w:vAlign w:val="bottom"/>
            <w:shd w:val="clear" w:color="auto" w:fill="8590A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shd w:val="clear" w:color="auto" w:fill="8590A9"/>
          </w:tcPr>
          <w:p>
            <w:pPr>
              <w:spacing w:after="0" w:line="20" w:lineRule="exact"/>
              <w:rPr>
                <w:sz w:val="1"/>
                <w:szCs w:val="1"/>
                <w:color w:val="auto"/>
              </w:rPr>
            </w:pPr>
          </w:p>
        </w:tc>
        <w:tc>
          <w:tcPr>
            <w:tcW w:w="260" w:type="dxa"/>
            <w:vAlign w:val="bottom"/>
            <w:shd w:val="clear" w:color="auto" w:fill="8590A9"/>
          </w:tcPr>
          <w:p>
            <w:pPr>
              <w:spacing w:after="0" w:line="20" w:lineRule="exact"/>
              <w:rPr>
                <w:sz w:val="1"/>
                <w:szCs w:val="1"/>
                <w:color w:val="auto"/>
              </w:rPr>
            </w:pPr>
          </w:p>
        </w:tc>
        <w:tc>
          <w:tcPr>
            <w:tcW w:w="144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8590A9"/>
            </w:tcBorders>
          </w:tcPr>
          <w:p>
            <w:pPr>
              <w:spacing w:after="0" w:line="20" w:lineRule="exact"/>
              <w:rPr>
                <w:sz w:val="1"/>
                <w:szCs w:val="1"/>
                <w:color w:val="auto"/>
              </w:rPr>
            </w:pPr>
          </w:p>
        </w:tc>
        <w:tc>
          <w:tcPr>
            <w:tcW w:w="280" w:type="dxa"/>
            <w:vAlign w:val="bottom"/>
            <w:shd w:val="clear" w:color="auto" w:fill="8590A9"/>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gridSpan w:val="3"/>
          </w:tcPr>
          <w:p>
            <w:pPr>
              <w:spacing w:after="0" w:line="236" w:lineRule="exact"/>
              <w:rPr>
                <w:sz w:val="20"/>
                <w:szCs w:val="20"/>
                <w:color w:val="auto"/>
              </w:rPr>
            </w:pPr>
            <w:r>
              <w:rPr>
                <w:rFonts w:ascii="Arial" w:cs="Arial" w:eastAsia="Arial" w:hAnsi="Arial"/>
                <w:sz w:val="17"/>
                <w:szCs w:val="17"/>
                <w:color w:val="auto"/>
              </w:rPr>
              <w:t>LTIP Unit/Stock Unit Vesting</w:t>
            </w:r>
            <w:r>
              <w:rPr>
                <w:rFonts w:ascii="Arial" w:cs="Arial" w:eastAsia="Arial" w:hAnsi="Arial"/>
                <w:sz w:val="27"/>
                <w:szCs w:val="27"/>
                <w:color w:val="auto"/>
                <w:vertAlign w:val="superscript"/>
              </w:rPr>
              <w:t>(3)</w:t>
            </w:r>
          </w:p>
        </w:tc>
        <w:tc>
          <w:tcPr>
            <w:tcW w:w="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702,069</w:t>
            </w:r>
          </w:p>
        </w:tc>
        <w:tc>
          <w:tcPr>
            <w:tcW w:w="80" w:type="dxa"/>
            <w:vAlign w:val="bottom"/>
          </w:tcPr>
          <w:p>
            <w:pPr>
              <w:spacing w:after="0"/>
              <w:rPr>
                <w:sz w:val="20"/>
                <w:szCs w:val="20"/>
                <w:color w:val="auto"/>
              </w:rPr>
            </w:pPr>
          </w:p>
        </w:tc>
        <w:tc>
          <w:tcPr>
            <w:tcW w:w="380" w:type="dxa"/>
            <w:vAlign w:val="bottom"/>
            <w:gridSpan w:val="2"/>
          </w:tcPr>
          <w:p>
            <w:pPr>
              <w:jc w:val="right"/>
              <w:ind w:right="126"/>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13,133,415</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702,069</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702,069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8590A9"/>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4480" w:type="dxa"/>
            <w:vAlign w:val="bottom"/>
            <w:shd w:val="clear" w:color="auto" w:fill="8590A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shd w:val="clear" w:color="auto" w:fill="8590A9"/>
          </w:tcPr>
          <w:p>
            <w:pPr>
              <w:spacing w:after="0" w:line="20" w:lineRule="exact"/>
              <w:rPr>
                <w:sz w:val="1"/>
                <w:szCs w:val="1"/>
                <w:color w:val="auto"/>
              </w:rPr>
            </w:pPr>
          </w:p>
        </w:tc>
        <w:tc>
          <w:tcPr>
            <w:tcW w:w="260" w:type="dxa"/>
            <w:vAlign w:val="bottom"/>
            <w:shd w:val="clear" w:color="auto" w:fill="8590A9"/>
          </w:tcPr>
          <w:p>
            <w:pPr>
              <w:spacing w:after="0" w:line="20" w:lineRule="exact"/>
              <w:rPr>
                <w:sz w:val="1"/>
                <w:szCs w:val="1"/>
                <w:color w:val="auto"/>
              </w:rPr>
            </w:pPr>
          </w:p>
        </w:tc>
        <w:tc>
          <w:tcPr>
            <w:tcW w:w="144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8590A9"/>
            </w:tcBorders>
          </w:tcPr>
          <w:p>
            <w:pPr>
              <w:spacing w:after="0" w:line="20" w:lineRule="exact"/>
              <w:rPr>
                <w:sz w:val="1"/>
                <w:szCs w:val="1"/>
                <w:color w:val="auto"/>
              </w:rPr>
            </w:pPr>
          </w:p>
        </w:tc>
        <w:tc>
          <w:tcPr>
            <w:tcW w:w="280" w:type="dxa"/>
            <w:vAlign w:val="bottom"/>
            <w:shd w:val="clear" w:color="auto" w:fill="8590A9"/>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3"/>
          </w:tcPr>
          <w:p>
            <w:pPr>
              <w:spacing w:after="0" w:line="236" w:lineRule="exact"/>
              <w:rPr>
                <w:sz w:val="20"/>
                <w:szCs w:val="20"/>
                <w:color w:val="auto"/>
              </w:rPr>
            </w:pPr>
            <w:r>
              <w:rPr>
                <w:rFonts w:ascii="Arial" w:cs="Arial" w:eastAsia="Arial" w:hAnsi="Arial"/>
                <w:sz w:val="17"/>
                <w:szCs w:val="17"/>
                <w:color w:val="auto"/>
              </w:rPr>
              <w:t>Benefits Continuation</w:t>
            </w:r>
            <w:r>
              <w:rPr>
                <w:rFonts w:ascii="Arial" w:cs="Arial" w:eastAsia="Arial" w:hAnsi="Arial"/>
                <w:sz w:val="27"/>
                <w:szCs w:val="27"/>
                <w:color w:val="auto"/>
                <w:vertAlign w:val="superscript"/>
              </w:rPr>
              <w:t>(4)</w:t>
            </w:r>
          </w:p>
        </w:tc>
        <w:tc>
          <w:tcPr>
            <w:tcW w:w="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46,976</w:t>
            </w:r>
          </w:p>
        </w:tc>
        <w:tc>
          <w:tcPr>
            <w:tcW w:w="80" w:type="dxa"/>
            <w:vAlign w:val="bottom"/>
          </w:tcPr>
          <w:p>
            <w:pPr>
              <w:spacing w:after="0"/>
              <w:rPr>
                <w:sz w:val="21"/>
                <w:szCs w:val="21"/>
                <w:color w:val="auto"/>
              </w:rPr>
            </w:pPr>
          </w:p>
        </w:tc>
        <w:tc>
          <w:tcPr>
            <w:tcW w:w="380" w:type="dxa"/>
            <w:vAlign w:val="bottom"/>
            <w:gridSpan w:val="2"/>
          </w:tcPr>
          <w:p>
            <w:pPr>
              <w:jc w:val="right"/>
              <w:ind w:right="126"/>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93,951</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140,927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5600" w:type="dxa"/>
            <w:vAlign w:val="bottom"/>
            <w:tcBorders>
              <w:top w:val="single" w:sz="8" w:color="345988"/>
            </w:tcBorders>
            <w:gridSpan w:val="3"/>
          </w:tcPr>
          <w:p>
            <w:pPr>
              <w:spacing w:after="0"/>
              <w:rPr>
                <w:sz w:val="20"/>
                <w:szCs w:val="20"/>
                <w:color w:val="auto"/>
              </w:rPr>
            </w:pPr>
            <w:r>
              <w:rPr>
                <w:rFonts w:ascii="Arial" w:cs="Arial" w:eastAsia="Arial" w:hAnsi="Arial"/>
                <w:sz w:val="13"/>
                <w:szCs w:val="13"/>
                <w:b w:val="1"/>
                <w:bCs w:val="1"/>
                <w:color w:val="345988"/>
              </w:rPr>
              <w:t>Stephen L. Green</w:t>
            </w:r>
          </w:p>
        </w:tc>
        <w:tc>
          <w:tcPr>
            <w:tcW w:w="160" w:type="dxa"/>
            <w:vAlign w:val="bottom"/>
            <w:gridSpan w:val="2"/>
          </w:tcPr>
          <w:p>
            <w:pPr>
              <w:spacing w:after="0"/>
              <w:rPr>
                <w:sz w:val="24"/>
                <w:szCs w:val="24"/>
                <w:color w:val="auto"/>
              </w:rPr>
            </w:pPr>
          </w:p>
        </w:tc>
        <w:tc>
          <w:tcPr>
            <w:tcW w:w="20" w:type="dxa"/>
            <w:vAlign w:val="bottom"/>
            <w:tcBorders>
              <w:top w:val="single" w:sz="8" w:color="345988"/>
            </w:tcBorders>
          </w:tcPr>
          <w:p>
            <w:pPr>
              <w:spacing w:after="0"/>
              <w:rPr>
                <w:sz w:val="24"/>
                <w:szCs w:val="24"/>
                <w:color w:val="auto"/>
              </w:rPr>
            </w:pPr>
          </w:p>
        </w:tc>
        <w:tc>
          <w:tcPr>
            <w:tcW w:w="260" w:type="dxa"/>
            <w:vAlign w:val="bottom"/>
            <w:tcBorders>
              <w:top w:val="single" w:sz="8" w:color="345988"/>
            </w:tcBorders>
          </w:tcPr>
          <w:p>
            <w:pPr>
              <w:spacing w:after="0"/>
              <w:rPr>
                <w:sz w:val="24"/>
                <w:szCs w:val="24"/>
                <w:color w:val="auto"/>
              </w:rPr>
            </w:pPr>
          </w:p>
        </w:tc>
        <w:tc>
          <w:tcPr>
            <w:tcW w:w="1440" w:type="dxa"/>
            <w:vAlign w:val="bottom"/>
            <w:tcBorders>
              <w:top w:val="single" w:sz="8" w:color="345988"/>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345988"/>
            </w:tcBorders>
          </w:tcPr>
          <w:p>
            <w:pPr>
              <w:spacing w:after="0"/>
              <w:rPr>
                <w:sz w:val="24"/>
                <w:szCs w:val="24"/>
                <w:color w:val="auto"/>
              </w:rPr>
            </w:pPr>
          </w:p>
        </w:tc>
        <w:tc>
          <w:tcPr>
            <w:tcW w:w="1080" w:type="dxa"/>
            <w:vAlign w:val="bottom"/>
            <w:tcBorders>
              <w:top w:val="single" w:sz="8" w:color="345988"/>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345988"/>
            </w:tcBorders>
          </w:tcPr>
          <w:p>
            <w:pPr>
              <w:spacing w:after="0"/>
              <w:rPr>
                <w:sz w:val="24"/>
                <w:szCs w:val="24"/>
                <w:color w:val="auto"/>
              </w:rPr>
            </w:pPr>
          </w:p>
        </w:tc>
        <w:tc>
          <w:tcPr>
            <w:tcW w:w="860" w:type="dxa"/>
            <w:vAlign w:val="bottom"/>
            <w:tcBorders>
              <w:top w:val="single" w:sz="8" w:color="345988"/>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345988"/>
            </w:tcBorders>
          </w:tcPr>
          <w:p>
            <w:pPr>
              <w:spacing w:after="0"/>
              <w:rPr>
                <w:sz w:val="24"/>
                <w:szCs w:val="24"/>
                <w:color w:val="auto"/>
              </w:rPr>
            </w:pPr>
          </w:p>
        </w:tc>
        <w:tc>
          <w:tcPr>
            <w:tcW w:w="860" w:type="dxa"/>
            <w:vAlign w:val="bottom"/>
            <w:tcBorders>
              <w:top w:val="single" w:sz="8" w:color="345988"/>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120" w:type="dxa"/>
            <w:vAlign w:val="bottom"/>
            <w:tcBorders>
              <w:top w:val="single" w:sz="8" w:color="345988"/>
            </w:tcBorders>
            <w:gridSpan w:val="2"/>
            <w:vMerge w:val="restart"/>
          </w:tcPr>
          <w:p>
            <w:pPr>
              <w:spacing w:after="0"/>
              <w:rPr>
                <w:sz w:val="20"/>
                <w:szCs w:val="20"/>
                <w:color w:val="auto"/>
              </w:rPr>
            </w:pPr>
            <w:r>
              <w:rPr>
                <w:rFonts w:ascii="Arial" w:cs="Arial" w:eastAsia="Arial" w:hAnsi="Arial"/>
                <w:sz w:val="13"/>
                <w:szCs w:val="13"/>
                <w:b w:val="1"/>
                <w:bCs w:val="1"/>
                <w:color w:val="auto"/>
              </w:rPr>
              <w:t>Payment/Benefit</w:t>
            </w:r>
          </w:p>
        </w:tc>
        <w:tc>
          <w:tcPr>
            <w:tcW w:w="4640" w:type="dxa"/>
            <w:vAlign w:val="bottom"/>
            <w:gridSpan w:val="3"/>
            <w:vMerge w:val="restart"/>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45988"/>
              </w:rPr>
              <w:t>Termination without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Termination</w:t>
            </w:r>
          </w:p>
        </w:tc>
        <w:tc>
          <w:tcPr>
            <w:tcW w:w="180" w:type="dxa"/>
            <w:vAlign w:val="bottom"/>
          </w:tcPr>
          <w:p>
            <w:pPr>
              <w:spacing w:after="0"/>
              <w:rPr>
                <w:sz w:val="24"/>
                <w:szCs w:val="2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345988"/>
              </w:rPr>
              <w:t>Disability</w:t>
            </w:r>
          </w:p>
        </w:tc>
        <w:tc>
          <w:tcPr>
            <w:tcW w:w="180" w:type="dxa"/>
            <w:vAlign w:val="bottom"/>
          </w:tcPr>
          <w:p>
            <w:pPr>
              <w:spacing w:after="0"/>
              <w:rPr>
                <w:sz w:val="24"/>
                <w:szCs w:val="24"/>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345988"/>
              </w:rPr>
              <w:t>Death</w:t>
            </w:r>
            <w:r>
              <w:rPr>
                <w:rFonts w:ascii="Arial" w:cs="Arial" w:eastAsia="Arial" w:hAnsi="Arial"/>
                <w:sz w:val="22"/>
                <w:szCs w:val="22"/>
                <w:b w:val="1"/>
                <w:bCs w:val="1"/>
                <w:color w:val="345988"/>
                <w:vertAlign w:val="superscript"/>
              </w:rPr>
              <w:t>(1)</w:t>
            </w:r>
          </w:p>
        </w:tc>
        <w:tc>
          <w:tcPr>
            <w:tcW w:w="0" w:type="dxa"/>
            <w:vAlign w:val="bottom"/>
          </w:tcPr>
          <w:p>
            <w:pPr>
              <w:spacing w:after="0"/>
              <w:rPr>
                <w:sz w:val="1"/>
                <w:szCs w:val="1"/>
                <w:color w:val="auto"/>
              </w:rPr>
            </w:pPr>
          </w:p>
        </w:tc>
      </w:tr>
      <w:tr>
        <w:trPr>
          <w:trHeight w:val="201"/>
        </w:trPr>
        <w:tc>
          <w:tcPr>
            <w:tcW w:w="1120" w:type="dxa"/>
            <w:vAlign w:val="bottom"/>
            <w:gridSpan w:val="2"/>
            <w:vMerge w:val="continue"/>
          </w:tcPr>
          <w:p>
            <w:pPr>
              <w:spacing w:after="0"/>
              <w:rPr>
                <w:sz w:val="17"/>
                <w:szCs w:val="17"/>
                <w:color w:val="auto"/>
              </w:rPr>
            </w:pPr>
          </w:p>
        </w:tc>
        <w:tc>
          <w:tcPr>
            <w:tcW w:w="46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3"/>
          </w:tcPr>
          <w:p>
            <w:pPr>
              <w:spacing w:after="0"/>
              <w:rPr>
                <w:sz w:val="20"/>
                <w:szCs w:val="20"/>
                <w:color w:val="auto"/>
              </w:rPr>
            </w:pPr>
            <w:r>
              <w:rPr>
                <w:rFonts w:ascii="Arial" w:cs="Arial" w:eastAsia="Arial" w:hAnsi="Arial"/>
                <w:sz w:val="13"/>
                <w:szCs w:val="13"/>
                <w:b w:val="1"/>
                <w:bCs w:val="1"/>
                <w:color w:val="345988"/>
              </w:rPr>
              <w:t>Cause or for Good Reason</w:t>
            </w:r>
          </w:p>
        </w:tc>
        <w:tc>
          <w:tcPr>
            <w:tcW w:w="100" w:type="dxa"/>
            <w:vAlign w:val="bottom"/>
          </w:tcPr>
          <w:p>
            <w:pPr>
              <w:spacing w:after="0"/>
              <w:rPr>
                <w:sz w:val="17"/>
                <w:szCs w:val="17"/>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345988"/>
              </w:rPr>
              <w:t>w/ Change in Control</w:t>
            </w: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tcBorders>
              <w:top w:val="single" w:sz="8" w:color="345988"/>
              <w:bottom w:val="single" w:sz="8" w:color="8590A9"/>
            </w:tcBorders>
            <w:gridSpan w:val="4"/>
          </w:tcPr>
          <w:p>
            <w:pPr>
              <w:spacing w:after="0" w:line="202" w:lineRule="exact"/>
              <w:rPr>
                <w:sz w:val="20"/>
                <w:szCs w:val="20"/>
                <w:color w:val="auto"/>
              </w:rPr>
            </w:pPr>
            <w:r>
              <w:rPr>
                <w:rFonts w:ascii="Arial" w:cs="Arial" w:eastAsia="Arial" w:hAnsi="Arial"/>
                <w:sz w:val="18"/>
                <w:szCs w:val="18"/>
                <w:color w:val="auto"/>
              </w:rPr>
              <w:t>Pro-Rata Bonus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345988"/>
              <w:bottom w:val="single" w:sz="8" w:color="8590A9"/>
            </w:tcBorders>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2,925,000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345988"/>
              <w:bottom w:val="single" w:sz="8" w:color="8590A9"/>
            </w:tcBorders>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2,925,000</w:t>
            </w:r>
          </w:p>
        </w:tc>
        <w:tc>
          <w:tcPr>
            <w:tcW w:w="160" w:type="dxa"/>
            <w:vAlign w:val="bottom"/>
          </w:tcPr>
          <w:p>
            <w:pPr>
              <w:spacing w:after="0"/>
              <w:rPr>
                <w:sz w:val="17"/>
                <w:szCs w:val="17"/>
                <w:color w:val="auto"/>
              </w:rPr>
            </w:pPr>
          </w:p>
        </w:tc>
        <w:tc>
          <w:tcPr>
            <w:tcW w:w="1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2,925,000</w:t>
            </w:r>
          </w:p>
        </w:tc>
        <w:tc>
          <w:tcPr>
            <w:tcW w:w="160" w:type="dxa"/>
            <w:vAlign w:val="bottom"/>
          </w:tcPr>
          <w:p>
            <w:pPr>
              <w:spacing w:after="0"/>
              <w:rPr>
                <w:sz w:val="17"/>
                <w:szCs w:val="17"/>
                <w:color w:val="auto"/>
              </w:rPr>
            </w:pPr>
          </w:p>
        </w:tc>
        <w:tc>
          <w:tcPr>
            <w:tcW w:w="1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2,925,000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590A9"/>
            </w:tcBorders>
            <w:gridSpan w:val="4"/>
          </w:tcPr>
          <w:p>
            <w:pPr>
              <w:spacing w:after="0" w:line="195" w:lineRule="exact"/>
              <w:rPr>
                <w:sz w:val="20"/>
                <w:szCs w:val="20"/>
                <w:color w:val="auto"/>
              </w:rPr>
            </w:pPr>
            <w:r>
              <w:rPr>
                <w:rFonts w:ascii="Arial" w:cs="Arial" w:eastAsia="Arial" w:hAnsi="Arial"/>
                <w:sz w:val="18"/>
                <w:szCs w:val="18"/>
                <w:color w:val="auto"/>
              </w:rPr>
              <w:t>Cash Severance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8590A9"/>
            </w:tcBorders>
          </w:tcPr>
          <w:p>
            <w:pPr>
              <w:spacing w:after="0" w:line="195"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3,825,000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8590A9"/>
            </w:tcBorders>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11,475,000</w:t>
            </w:r>
          </w:p>
        </w:tc>
        <w:tc>
          <w:tcPr>
            <w:tcW w:w="160" w:type="dxa"/>
            <w:vAlign w:val="bottom"/>
          </w:tcPr>
          <w:p>
            <w:pPr>
              <w:spacing w:after="0"/>
              <w:rPr>
                <w:sz w:val="17"/>
                <w:szCs w:val="17"/>
                <w:color w:val="auto"/>
              </w:rPr>
            </w:pPr>
          </w:p>
        </w:tc>
        <w:tc>
          <w:tcPr>
            <w:tcW w:w="18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3,825,000</w:t>
            </w:r>
          </w:p>
        </w:tc>
        <w:tc>
          <w:tcPr>
            <w:tcW w:w="160" w:type="dxa"/>
            <w:vAlign w:val="bottom"/>
          </w:tcPr>
          <w:p>
            <w:pPr>
              <w:spacing w:after="0"/>
              <w:rPr>
                <w:sz w:val="17"/>
                <w:szCs w:val="17"/>
                <w:color w:val="auto"/>
              </w:rPr>
            </w:pPr>
          </w:p>
        </w:tc>
        <w:tc>
          <w:tcPr>
            <w:tcW w:w="180" w:type="dxa"/>
            <w:vAlign w:val="bottom"/>
            <w:tcBorders>
              <w:bottom w:val="single" w:sz="8" w:color="8590A9"/>
            </w:tcBorders>
          </w:tcPr>
          <w:p>
            <w:pPr>
              <w:spacing w:after="0"/>
              <w:rPr>
                <w:sz w:val="17"/>
                <w:szCs w:val="17"/>
                <w:color w:val="auto"/>
              </w:rPr>
            </w:pPr>
          </w:p>
        </w:tc>
        <w:tc>
          <w:tcPr>
            <w:tcW w:w="86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gridSpan w:val="4"/>
          </w:tcPr>
          <w:p>
            <w:pPr>
              <w:spacing w:after="0" w:line="236" w:lineRule="exact"/>
              <w:rPr>
                <w:sz w:val="20"/>
                <w:szCs w:val="20"/>
                <w:color w:val="auto"/>
              </w:rPr>
            </w:pPr>
            <w:r>
              <w:rPr>
                <w:rFonts w:ascii="Arial" w:cs="Arial" w:eastAsia="Arial" w:hAnsi="Arial"/>
                <w:sz w:val="17"/>
                <w:szCs w:val="17"/>
                <w:color w:val="auto"/>
              </w:rPr>
              <w:t>Stock Option / Class O LTIP Unit Vesting</w:t>
            </w:r>
            <w:r>
              <w:rPr>
                <w:rFonts w:ascii="Arial" w:cs="Arial" w:eastAsia="Arial" w:hAnsi="Arial"/>
                <w:sz w:val="27"/>
                <w:szCs w:val="27"/>
                <w:color w:val="auto"/>
                <w:vertAlign w:val="superscript"/>
              </w:rPr>
              <w:t>(2)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shd w:val="clear" w:color="auto" w:fill="8590A9"/>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4500" w:type="dxa"/>
            <w:vAlign w:val="bottom"/>
            <w:gridSpan w:val="2"/>
            <w:shd w:val="clear" w:color="auto" w:fill="8590A9"/>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8590A9"/>
          </w:tcPr>
          <w:p>
            <w:pPr>
              <w:spacing w:after="0" w:line="20" w:lineRule="exact"/>
              <w:rPr>
                <w:sz w:val="1"/>
                <w:szCs w:val="1"/>
                <w:color w:val="auto"/>
              </w:rPr>
            </w:pPr>
          </w:p>
        </w:tc>
        <w:tc>
          <w:tcPr>
            <w:tcW w:w="144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590A9"/>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20" w:type="dxa"/>
            <w:vAlign w:val="bottom"/>
            <w:gridSpan w:val="4"/>
          </w:tcPr>
          <w:p>
            <w:pPr>
              <w:spacing w:after="0" w:line="236" w:lineRule="exact"/>
              <w:rPr>
                <w:sz w:val="20"/>
                <w:szCs w:val="20"/>
                <w:color w:val="auto"/>
              </w:rPr>
            </w:pPr>
            <w:r>
              <w:rPr>
                <w:rFonts w:ascii="Arial" w:cs="Arial" w:eastAsia="Arial" w:hAnsi="Arial"/>
                <w:sz w:val="17"/>
                <w:szCs w:val="17"/>
                <w:color w:val="auto"/>
              </w:rPr>
              <w:t>LTIP Unit/Stock Unit Vesting</w:t>
            </w:r>
            <w:r>
              <w:rPr>
                <w:rFonts w:ascii="Arial" w:cs="Arial" w:eastAsia="Arial" w:hAnsi="Arial"/>
                <w:sz w:val="27"/>
                <w:szCs w:val="27"/>
                <w:color w:val="auto"/>
                <w:vertAlign w:val="superscript"/>
              </w:rPr>
              <w:t>(3)</w:t>
            </w:r>
          </w:p>
        </w:tc>
        <w:tc>
          <w:tcPr>
            <w:tcW w:w="1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shd w:val="clear" w:color="auto" w:fill="8590A9"/>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4500" w:type="dxa"/>
            <w:vAlign w:val="bottom"/>
            <w:gridSpan w:val="2"/>
            <w:shd w:val="clear" w:color="auto" w:fill="8590A9"/>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8590A9"/>
          </w:tcPr>
          <w:p>
            <w:pPr>
              <w:spacing w:after="0" w:line="20" w:lineRule="exact"/>
              <w:rPr>
                <w:sz w:val="1"/>
                <w:szCs w:val="1"/>
                <w:color w:val="auto"/>
              </w:rPr>
            </w:pPr>
          </w:p>
        </w:tc>
        <w:tc>
          <w:tcPr>
            <w:tcW w:w="144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8590A9"/>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20" w:type="dxa"/>
            <w:vAlign w:val="bottom"/>
            <w:gridSpan w:val="4"/>
          </w:tcPr>
          <w:p>
            <w:pPr>
              <w:spacing w:after="0" w:line="236" w:lineRule="exact"/>
              <w:rPr>
                <w:sz w:val="20"/>
                <w:szCs w:val="20"/>
                <w:color w:val="auto"/>
              </w:rPr>
            </w:pPr>
            <w:r>
              <w:rPr>
                <w:rFonts w:ascii="Arial" w:cs="Arial" w:eastAsia="Arial" w:hAnsi="Arial"/>
                <w:sz w:val="17"/>
                <w:szCs w:val="17"/>
                <w:color w:val="auto"/>
              </w:rPr>
              <w:t>Benefits Continuation</w:t>
            </w:r>
            <w:r>
              <w:rPr>
                <w:rFonts w:ascii="Arial" w:cs="Arial" w:eastAsia="Arial" w:hAnsi="Arial"/>
                <w:sz w:val="27"/>
                <w:szCs w:val="27"/>
                <w:color w:val="auto"/>
                <w:vertAlign w:val="superscript"/>
              </w:rPr>
              <w:t>(4)</w:t>
            </w:r>
          </w:p>
        </w:tc>
        <w:tc>
          <w:tcPr>
            <w:tcW w:w="140" w:type="dxa"/>
            <w:vAlign w:val="bottom"/>
            <w:vMerge w:val="continue"/>
          </w:tcPr>
          <w:p>
            <w:pPr>
              <w:spacing w:after="0"/>
              <w:rPr>
                <w:sz w:val="20"/>
                <w:szCs w:val="20"/>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33,015</w:t>
            </w:r>
          </w:p>
        </w:tc>
        <w:tc>
          <w:tcPr>
            <w:tcW w:w="80" w:type="dxa"/>
            <w:vAlign w:val="bottom"/>
          </w:tcPr>
          <w:p>
            <w:pPr>
              <w:spacing w:after="0"/>
              <w:rPr>
                <w:sz w:val="20"/>
                <w:szCs w:val="20"/>
                <w:color w:val="auto"/>
              </w:rPr>
            </w:pPr>
          </w:p>
        </w:tc>
        <w:tc>
          <w:tcPr>
            <w:tcW w:w="380" w:type="dxa"/>
            <w:vAlign w:val="bottom"/>
            <w:gridSpan w:val="2"/>
          </w:tcPr>
          <w:p>
            <w:pPr>
              <w:jc w:val="right"/>
              <w:ind w:right="126"/>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66,029</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99,044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shd w:val="clear" w:color="auto" w:fill="345988"/>
          </w:tcPr>
          <w:p>
            <w:pPr>
              <w:spacing w:after="0"/>
              <w:rPr>
                <w:sz w:val="2"/>
                <w:szCs w:val="2"/>
                <w:color w:val="auto"/>
              </w:rPr>
            </w:pPr>
          </w:p>
        </w:tc>
        <w:tc>
          <w:tcPr>
            <w:tcW w:w="240" w:type="dxa"/>
            <w:vAlign w:val="bottom"/>
            <w:shd w:val="clear" w:color="auto" w:fill="345988"/>
          </w:tcPr>
          <w:p>
            <w:pPr>
              <w:spacing w:after="0"/>
              <w:rPr>
                <w:sz w:val="2"/>
                <w:szCs w:val="2"/>
                <w:color w:val="auto"/>
              </w:rPr>
            </w:pPr>
          </w:p>
        </w:tc>
        <w:tc>
          <w:tcPr>
            <w:tcW w:w="4480" w:type="dxa"/>
            <w:vAlign w:val="bottom"/>
            <w:shd w:val="clear" w:color="auto" w:fill="345988"/>
          </w:tcPr>
          <w:p>
            <w:pPr>
              <w:spacing w:after="0"/>
              <w:rPr>
                <w:sz w:val="2"/>
                <w:szCs w:val="2"/>
                <w:color w:val="auto"/>
              </w:rPr>
            </w:pPr>
          </w:p>
        </w:tc>
        <w:tc>
          <w:tcPr>
            <w:tcW w:w="20" w:type="dxa"/>
            <w:vAlign w:val="bottom"/>
            <w:shd w:val="clear" w:color="auto" w:fill="345988"/>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345988"/>
          </w:tcPr>
          <w:p>
            <w:pPr>
              <w:spacing w:after="0"/>
              <w:rPr>
                <w:sz w:val="2"/>
                <w:szCs w:val="2"/>
                <w:color w:val="auto"/>
              </w:rPr>
            </w:pPr>
          </w:p>
        </w:tc>
        <w:tc>
          <w:tcPr>
            <w:tcW w:w="1440" w:type="dxa"/>
            <w:vAlign w:val="bottom"/>
            <w:shd w:val="clear" w:color="auto" w:fill="345988"/>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345988"/>
          </w:tcPr>
          <w:p>
            <w:pPr>
              <w:spacing w:after="0"/>
              <w:rPr>
                <w:sz w:val="2"/>
                <w:szCs w:val="2"/>
                <w:color w:val="auto"/>
              </w:rPr>
            </w:pPr>
          </w:p>
        </w:tc>
        <w:tc>
          <w:tcPr>
            <w:tcW w:w="108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345988"/>
          </w:tcPr>
          <w:p>
            <w:pPr>
              <w:spacing w:after="0"/>
              <w:rPr>
                <w:sz w:val="2"/>
                <w:szCs w:val="2"/>
                <w:color w:val="auto"/>
              </w:rPr>
            </w:pPr>
          </w:p>
        </w:tc>
        <w:tc>
          <w:tcPr>
            <w:tcW w:w="8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345988"/>
          </w:tcPr>
          <w:p>
            <w:pPr>
              <w:spacing w:after="0"/>
              <w:rPr>
                <w:sz w:val="2"/>
                <w:szCs w:val="2"/>
                <w:color w:val="auto"/>
              </w:rPr>
            </w:pPr>
          </w:p>
        </w:tc>
        <w:tc>
          <w:tcPr>
            <w:tcW w:w="860" w:type="dxa"/>
            <w:vAlign w:val="bottom"/>
            <w:shd w:val="clear" w:color="auto" w:fill="345988"/>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00" w:type="dxa"/>
            <w:vAlign w:val="bottom"/>
            <w:gridSpan w:val="5"/>
          </w:tcPr>
          <w:p>
            <w:pPr>
              <w:spacing w:after="0"/>
              <w:rPr>
                <w:sz w:val="20"/>
                <w:szCs w:val="20"/>
                <w:color w:val="auto"/>
              </w:rPr>
            </w:pPr>
            <w:r>
              <w:rPr>
                <w:rFonts w:ascii="Arial" w:cs="Arial" w:eastAsia="Arial" w:hAnsi="Arial"/>
                <w:sz w:val="13"/>
                <w:szCs w:val="13"/>
                <w:b w:val="1"/>
                <w:bCs w:val="1"/>
                <w:color w:val="345988"/>
              </w:rPr>
              <w:t>Andrew Mathias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3459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345988"/>
              </w:rPr>
              <w:t>Termination without</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345988"/>
              </w:rPr>
              <w:t>Termination</w:t>
            </w: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345988"/>
              </w:rPr>
              <w:t>Death</w:t>
            </w:r>
            <w:r>
              <w:rPr>
                <w:rFonts w:ascii="Arial" w:cs="Arial" w:eastAsia="Arial" w:hAnsi="Arial"/>
                <w:sz w:val="22"/>
                <w:szCs w:val="22"/>
                <w:b w:val="1"/>
                <w:bCs w:val="1"/>
                <w:color w:val="345988"/>
                <w:vertAlign w:val="superscript"/>
              </w:rPr>
              <w:t>(1)</w:t>
            </w:r>
          </w:p>
        </w:tc>
        <w:tc>
          <w:tcPr>
            <w:tcW w:w="0" w:type="dxa"/>
            <w:vAlign w:val="bottom"/>
          </w:tcPr>
          <w:p>
            <w:pPr>
              <w:spacing w:after="0" w:line="20" w:lineRule="exact"/>
              <w:rPr>
                <w:sz w:val="1"/>
                <w:szCs w:val="1"/>
                <w:color w:val="auto"/>
              </w:rPr>
            </w:pPr>
          </w:p>
        </w:tc>
      </w:tr>
      <w:tr>
        <w:trPr>
          <w:trHeight w:val="339"/>
        </w:trPr>
        <w:tc>
          <w:tcPr>
            <w:tcW w:w="560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Payment/Benefit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345988"/>
              </w:rPr>
              <w:t>Disability</w:t>
            </w:r>
          </w:p>
        </w:tc>
        <w:tc>
          <w:tcPr>
            <w:tcW w:w="18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60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spacing w:after="0"/>
              <w:rPr>
                <w:sz w:val="20"/>
                <w:szCs w:val="20"/>
                <w:color w:val="auto"/>
              </w:rPr>
            </w:pPr>
            <w:r>
              <w:rPr>
                <w:rFonts w:ascii="Arial" w:cs="Arial" w:eastAsia="Arial" w:hAnsi="Arial"/>
                <w:sz w:val="13"/>
                <w:szCs w:val="13"/>
                <w:b w:val="1"/>
                <w:bCs w:val="1"/>
                <w:color w:val="345988"/>
              </w:rPr>
              <w:t>Cause or for Good Reason</w:t>
            </w:r>
          </w:p>
        </w:tc>
        <w:tc>
          <w:tcPr>
            <w:tcW w:w="100" w:type="dxa"/>
            <w:vAlign w:val="bottom"/>
          </w:tcPr>
          <w:p>
            <w:pPr>
              <w:spacing w:after="0"/>
              <w:rPr>
                <w:sz w:val="17"/>
                <w:szCs w:val="17"/>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345988"/>
              </w:rPr>
              <w:t>w/ Change in Control</w:t>
            </w: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0" w:type="dxa"/>
            <w:vAlign w:val="bottom"/>
            <w:tcBorders>
              <w:top w:val="single" w:sz="8" w:color="345988"/>
              <w:bottom w:val="single" w:sz="8" w:color="8590A9"/>
            </w:tcBorders>
            <w:gridSpan w:val="5"/>
          </w:tcPr>
          <w:p>
            <w:pPr>
              <w:spacing w:after="0" w:line="202" w:lineRule="exact"/>
              <w:rPr>
                <w:sz w:val="20"/>
                <w:szCs w:val="20"/>
                <w:color w:val="auto"/>
              </w:rPr>
            </w:pPr>
            <w:r>
              <w:rPr>
                <w:rFonts w:ascii="Arial" w:cs="Arial" w:eastAsia="Arial" w:hAnsi="Arial"/>
                <w:sz w:val="18"/>
                <w:szCs w:val="18"/>
                <w:color w:val="auto"/>
              </w:rPr>
              <w:t>Pro-Rata Bonus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345988"/>
              <w:bottom w:val="single" w:sz="8" w:color="8590A9"/>
            </w:tcBorders>
          </w:tcPr>
          <w:p>
            <w:pPr>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345988"/>
              <w:bottom w:val="single" w:sz="8" w:color="8590A9"/>
            </w:tcBorders>
            <w:gridSpan w:val="2"/>
          </w:tcPr>
          <w:p>
            <w:pPr>
              <w:jc w:val="right"/>
              <w:spacing w:after="0" w:line="202" w:lineRule="exact"/>
              <w:rPr>
                <w:sz w:val="20"/>
                <w:szCs w:val="20"/>
                <w:color w:val="auto"/>
              </w:rPr>
            </w:pPr>
            <w:r>
              <w:rPr>
                <w:rFonts w:ascii="Arial" w:cs="Arial" w:eastAsia="Arial" w:hAnsi="Arial"/>
                <w:sz w:val="18"/>
                <w:szCs w:val="18"/>
                <w:color w:val="auto"/>
              </w:rPr>
              <w:t>4,900,000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345988"/>
              <w:bottom w:val="single" w:sz="8" w:color="8590A9"/>
            </w:tcBorders>
          </w:tcPr>
          <w:p>
            <w:pPr>
              <w:jc w:val="right"/>
              <w:ind w:right="125"/>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4,900,000</w:t>
            </w:r>
          </w:p>
        </w:tc>
        <w:tc>
          <w:tcPr>
            <w:tcW w:w="160" w:type="dxa"/>
            <w:vAlign w:val="bottom"/>
          </w:tcPr>
          <w:p>
            <w:pPr>
              <w:spacing w:after="0"/>
              <w:rPr>
                <w:sz w:val="17"/>
                <w:szCs w:val="17"/>
                <w:color w:val="auto"/>
              </w:rPr>
            </w:pPr>
          </w:p>
        </w:tc>
        <w:tc>
          <w:tcPr>
            <w:tcW w:w="1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4,900,000</w:t>
            </w:r>
          </w:p>
        </w:tc>
        <w:tc>
          <w:tcPr>
            <w:tcW w:w="160" w:type="dxa"/>
            <w:vAlign w:val="bottom"/>
          </w:tcPr>
          <w:p>
            <w:pPr>
              <w:spacing w:after="0"/>
              <w:rPr>
                <w:sz w:val="17"/>
                <w:szCs w:val="17"/>
                <w:color w:val="auto"/>
              </w:rPr>
            </w:pPr>
          </w:p>
        </w:tc>
        <w:tc>
          <w:tcPr>
            <w:tcW w:w="1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4,900,000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8590A9"/>
            </w:tcBorders>
            <w:gridSpan w:val="5"/>
          </w:tcPr>
          <w:p>
            <w:pPr>
              <w:spacing w:after="0" w:line="195" w:lineRule="exact"/>
              <w:rPr>
                <w:sz w:val="20"/>
                <w:szCs w:val="20"/>
                <w:color w:val="auto"/>
              </w:rPr>
            </w:pPr>
            <w:r>
              <w:rPr>
                <w:rFonts w:ascii="Arial" w:cs="Arial" w:eastAsia="Arial" w:hAnsi="Arial"/>
                <w:sz w:val="18"/>
                <w:szCs w:val="18"/>
                <w:color w:val="auto"/>
              </w:rPr>
              <w:t>Cash Severance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8590A9"/>
            </w:tcBorders>
          </w:tcPr>
          <w:p>
            <w:pPr>
              <w:spacing w:after="0" w:line="195"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8590A9"/>
            </w:tcBorders>
            <w:gridSpan w:val="2"/>
          </w:tcPr>
          <w:p>
            <w:pPr>
              <w:jc w:val="right"/>
              <w:spacing w:after="0" w:line="195" w:lineRule="exact"/>
              <w:rPr>
                <w:sz w:val="20"/>
                <w:szCs w:val="20"/>
                <w:color w:val="auto"/>
              </w:rPr>
            </w:pPr>
            <w:r>
              <w:rPr>
                <w:rFonts w:ascii="Arial" w:cs="Arial" w:eastAsia="Arial" w:hAnsi="Arial"/>
                <w:sz w:val="18"/>
                <w:szCs w:val="18"/>
                <w:color w:val="auto"/>
              </w:rPr>
              <w:t>6,225,000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8590A9"/>
            </w:tcBorders>
          </w:tcPr>
          <w:p>
            <w:pPr>
              <w:jc w:val="right"/>
              <w:ind w:right="125"/>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15,562,500</w:t>
            </w:r>
          </w:p>
        </w:tc>
        <w:tc>
          <w:tcPr>
            <w:tcW w:w="160" w:type="dxa"/>
            <w:vAlign w:val="bottom"/>
          </w:tcPr>
          <w:p>
            <w:pPr>
              <w:spacing w:after="0"/>
              <w:rPr>
                <w:sz w:val="17"/>
                <w:szCs w:val="17"/>
                <w:color w:val="auto"/>
              </w:rPr>
            </w:pPr>
          </w:p>
        </w:tc>
        <w:tc>
          <w:tcPr>
            <w:tcW w:w="18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6,225,000</w:t>
            </w:r>
          </w:p>
        </w:tc>
        <w:tc>
          <w:tcPr>
            <w:tcW w:w="160" w:type="dxa"/>
            <w:vAlign w:val="bottom"/>
          </w:tcPr>
          <w:p>
            <w:pPr>
              <w:spacing w:after="0"/>
              <w:rPr>
                <w:sz w:val="17"/>
                <w:szCs w:val="17"/>
                <w:color w:val="auto"/>
              </w:rPr>
            </w:pPr>
          </w:p>
        </w:tc>
        <w:tc>
          <w:tcPr>
            <w:tcW w:w="180" w:type="dxa"/>
            <w:vAlign w:val="bottom"/>
            <w:tcBorders>
              <w:bottom w:val="single" w:sz="8" w:color="8590A9"/>
            </w:tcBorders>
          </w:tcPr>
          <w:p>
            <w:pPr>
              <w:spacing w:after="0"/>
              <w:rPr>
                <w:sz w:val="17"/>
                <w:szCs w:val="17"/>
                <w:color w:val="auto"/>
              </w:rPr>
            </w:pPr>
          </w:p>
        </w:tc>
        <w:tc>
          <w:tcPr>
            <w:tcW w:w="86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00" w:type="dxa"/>
            <w:vAlign w:val="bottom"/>
            <w:gridSpan w:val="5"/>
          </w:tcPr>
          <w:p>
            <w:pPr>
              <w:spacing w:after="0" w:line="236" w:lineRule="exact"/>
              <w:rPr>
                <w:sz w:val="20"/>
                <w:szCs w:val="20"/>
                <w:color w:val="auto"/>
              </w:rPr>
            </w:pPr>
            <w:r>
              <w:rPr>
                <w:rFonts w:ascii="Arial" w:cs="Arial" w:eastAsia="Arial" w:hAnsi="Arial"/>
                <w:sz w:val="17"/>
                <w:szCs w:val="17"/>
                <w:color w:val="auto"/>
              </w:rPr>
              <w:t>Stock Option / Class O LTIP Unit Vesting</w:t>
            </w:r>
            <w:r>
              <w:rPr>
                <w:rFonts w:ascii="Arial" w:cs="Arial" w:eastAsia="Arial" w:hAnsi="Arial"/>
                <w:sz w:val="27"/>
                <w:szCs w:val="27"/>
                <w:color w:val="auto"/>
                <w:vertAlign w:val="superscript"/>
              </w:rPr>
              <w:t>(2)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40" w:type="dxa"/>
            <w:vAlign w:val="bottom"/>
            <w:shd w:val="clear" w:color="auto" w:fill="8590A9"/>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4180" w:type="dxa"/>
            <w:vAlign w:val="bottom"/>
            <w:shd w:val="clear" w:color="auto" w:fill="8590A9"/>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8590A9"/>
          </w:tcPr>
          <w:p>
            <w:pPr>
              <w:spacing w:after="0" w:line="20" w:lineRule="exact"/>
              <w:rPr>
                <w:sz w:val="1"/>
                <w:szCs w:val="1"/>
                <w:color w:val="auto"/>
              </w:rPr>
            </w:pPr>
          </w:p>
        </w:tc>
        <w:tc>
          <w:tcPr>
            <w:tcW w:w="1400" w:type="dxa"/>
            <w:vAlign w:val="bottom"/>
            <w:shd w:val="clear" w:color="auto" w:fill="8590A9"/>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8590A9"/>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gridSpan w:val="5"/>
          </w:tcPr>
          <w:p>
            <w:pPr>
              <w:spacing w:after="0" w:line="236" w:lineRule="exact"/>
              <w:rPr>
                <w:sz w:val="20"/>
                <w:szCs w:val="20"/>
                <w:color w:val="auto"/>
              </w:rPr>
            </w:pPr>
            <w:r>
              <w:rPr>
                <w:rFonts w:ascii="Arial" w:cs="Arial" w:eastAsia="Arial" w:hAnsi="Arial"/>
                <w:sz w:val="17"/>
                <w:szCs w:val="17"/>
                <w:color w:val="auto"/>
              </w:rPr>
              <w:t>LTIP Unit/Stock Unit Vesting</w:t>
            </w:r>
            <w:r>
              <w:rPr>
                <w:rFonts w:ascii="Arial" w:cs="Arial" w:eastAsia="Arial" w:hAnsi="Arial"/>
                <w:sz w:val="27"/>
                <w:szCs w:val="27"/>
                <w:color w:val="auto"/>
                <w:vertAlign w:val="superscript"/>
              </w:rPr>
              <w:t>(3)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40" w:type="dxa"/>
            <w:vAlign w:val="bottom"/>
            <w:shd w:val="clear" w:color="auto" w:fill="8590A9"/>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4180" w:type="dxa"/>
            <w:vAlign w:val="bottom"/>
            <w:shd w:val="clear" w:color="auto" w:fill="8590A9"/>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8590A9"/>
          </w:tcPr>
          <w:p>
            <w:pPr>
              <w:spacing w:after="0" w:line="20" w:lineRule="exact"/>
              <w:rPr>
                <w:sz w:val="1"/>
                <w:szCs w:val="1"/>
                <w:color w:val="auto"/>
              </w:rPr>
            </w:pPr>
          </w:p>
        </w:tc>
        <w:tc>
          <w:tcPr>
            <w:tcW w:w="1400" w:type="dxa"/>
            <w:vAlign w:val="bottom"/>
            <w:shd w:val="clear" w:color="auto" w:fill="8590A9"/>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8590A9"/>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0A9"/>
          </w:tcPr>
          <w:p>
            <w:pPr>
              <w:spacing w:after="0" w:line="20" w:lineRule="exact"/>
              <w:rPr>
                <w:sz w:val="1"/>
                <w:szCs w:val="1"/>
                <w:color w:val="auto"/>
              </w:rPr>
            </w:pPr>
          </w:p>
        </w:tc>
        <w:tc>
          <w:tcPr>
            <w:tcW w:w="860" w:type="dxa"/>
            <w:vAlign w:val="bottom"/>
            <w:shd w:val="clear" w:color="auto" w:fill="8590A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5"/>
          </w:tcPr>
          <w:p>
            <w:pPr>
              <w:spacing w:after="0" w:line="236" w:lineRule="exact"/>
              <w:rPr>
                <w:sz w:val="20"/>
                <w:szCs w:val="20"/>
                <w:color w:val="auto"/>
              </w:rPr>
            </w:pPr>
            <w:r>
              <w:rPr>
                <w:rFonts w:ascii="Arial" w:cs="Arial" w:eastAsia="Arial" w:hAnsi="Arial"/>
                <w:sz w:val="17"/>
                <w:szCs w:val="17"/>
                <w:color w:val="auto"/>
              </w:rPr>
              <w:t>Benefits Continuation</w:t>
            </w:r>
            <w:r>
              <w:rPr>
                <w:rFonts w:ascii="Arial" w:cs="Arial" w:eastAsia="Arial" w:hAnsi="Arial"/>
                <w:sz w:val="27"/>
                <w:szCs w:val="27"/>
                <w:color w:val="auto"/>
                <w:vertAlign w:val="superscript"/>
              </w:rPr>
              <w:t>(4)</w:t>
            </w:r>
          </w:p>
        </w:tc>
        <w:tc>
          <w:tcPr>
            <w:tcW w:w="160" w:type="dxa"/>
            <w:vAlign w:val="bottom"/>
            <w:gridSpan w:val="2"/>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46,967</w:t>
            </w:r>
          </w:p>
        </w:tc>
        <w:tc>
          <w:tcPr>
            <w:tcW w:w="60" w:type="dxa"/>
            <w:vAlign w:val="bottom"/>
          </w:tcPr>
          <w:p>
            <w:pPr>
              <w:spacing w:after="0"/>
              <w:rPr>
                <w:sz w:val="21"/>
                <w:szCs w:val="21"/>
                <w:color w:val="auto"/>
              </w:rPr>
            </w:pP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93,951</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140,927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5600" w:type="dxa"/>
            <w:vAlign w:val="bottom"/>
            <w:tcBorders>
              <w:top w:val="single" w:sz="8" w:color="345988"/>
            </w:tcBorders>
            <w:gridSpan w:val="5"/>
          </w:tcPr>
          <w:p>
            <w:pPr>
              <w:spacing w:after="0"/>
              <w:rPr>
                <w:sz w:val="20"/>
                <w:szCs w:val="20"/>
                <w:color w:val="auto"/>
              </w:rPr>
            </w:pPr>
            <w:r>
              <w:rPr>
                <w:rFonts w:ascii="Arial" w:cs="Arial" w:eastAsia="Arial" w:hAnsi="Arial"/>
                <w:sz w:val="13"/>
                <w:szCs w:val="13"/>
                <w:b w:val="1"/>
                <w:bCs w:val="1"/>
                <w:color w:val="345988"/>
              </w:rPr>
              <w:t>Matthew J. DiLiberto</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345988"/>
            </w:tcBorders>
          </w:tcPr>
          <w:p>
            <w:pPr>
              <w:spacing w:after="0"/>
              <w:rPr>
                <w:sz w:val="24"/>
                <w:szCs w:val="24"/>
                <w:color w:val="auto"/>
              </w:rPr>
            </w:pPr>
          </w:p>
        </w:tc>
        <w:tc>
          <w:tcPr>
            <w:tcW w:w="1400" w:type="dxa"/>
            <w:vAlign w:val="bottom"/>
            <w:tcBorders>
              <w:top w:val="single" w:sz="8" w:color="345988"/>
            </w:tcBorders>
          </w:tcPr>
          <w:p>
            <w:pPr>
              <w:spacing w:after="0"/>
              <w:rPr>
                <w:sz w:val="24"/>
                <w:szCs w:val="24"/>
                <w:color w:val="auto"/>
              </w:rPr>
            </w:pPr>
          </w:p>
        </w:tc>
        <w:tc>
          <w:tcPr>
            <w:tcW w:w="100" w:type="dxa"/>
            <w:vAlign w:val="bottom"/>
            <w:tcBorders>
              <w:top w:val="single" w:sz="8" w:color="345988"/>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345988"/>
            </w:tcBorders>
          </w:tcPr>
          <w:p>
            <w:pPr>
              <w:spacing w:after="0"/>
              <w:rPr>
                <w:sz w:val="24"/>
                <w:szCs w:val="24"/>
                <w:color w:val="auto"/>
              </w:rPr>
            </w:pPr>
          </w:p>
        </w:tc>
        <w:tc>
          <w:tcPr>
            <w:tcW w:w="1080" w:type="dxa"/>
            <w:vAlign w:val="bottom"/>
            <w:tcBorders>
              <w:top w:val="single" w:sz="8" w:color="345988"/>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345988"/>
            </w:tcBorders>
          </w:tcPr>
          <w:p>
            <w:pPr>
              <w:spacing w:after="0"/>
              <w:rPr>
                <w:sz w:val="24"/>
                <w:szCs w:val="24"/>
                <w:color w:val="auto"/>
              </w:rPr>
            </w:pPr>
          </w:p>
        </w:tc>
        <w:tc>
          <w:tcPr>
            <w:tcW w:w="860" w:type="dxa"/>
            <w:vAlign w:val="bottom"/>
            <w:tcBorders>
              <w:top w:val="single" w:sz="8" w:color="345988"/>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345988"/>
            </w:tcBorders>
          </w:tcPr>
          <w:p>
            <w:pPr>
              <w:spacing w:after="0"/>
              <w:rPr>
                <w:sz w:val="24"/>
                <w:szCs w:val="24"/>
                <w:color w:val="auto"/>
              </w:rPr>
            </w:pPr>
          </w:p>
        </w:tc>
        <w:tc>
          <w:tcPr>
            <w:tcW w:w="860" w:type="dxa"/>
            <w:vAlign w:val="bottom"/>
            <w:tcBorders>
              <w:top w:val="single" w:sz="8" w:color="345988"/>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320" w:type="dxa"/>
            <w:vAlign w:val="bottom"/>
            <w:tcBorders>
              <w:top w:val="single" w:sz="8" w:color="345988"/>
            </w:tcBorders>
            <w:gridSpan w:val="3"/>
            <w:vMerge w:val="restart"/>
          </w:tcPr>
          <w:p>
            <w:pPr>
              <w:spacing w:after="0"/>
              <w:rPr>
                <w:sz w:val="20"/>
                <w:szCs w:val="20"/>
                <w:color w:val="auto"/>
              </w:rPr>
            </w:pPr>
            <w:r>
              <w:rPr>
                <w:rFonts w:ascii="Arial" w:cs="Arial" w:eastAsia="Arial" w:hAnsi="Arial"/>
                <w:sz w:val="13"/>
                <w:szCs w:val="13"/>
                <w:b w:val="1"/>
                <w:bCs w:val="1"/>
                <w:color w:val="auto"/>
              </w:rPr>
              <w:t>Payment/Benefit</w:t>
            </w:r>
          </w:p>
        </w:tc>
        <w:tc>
          <w:tcPr>
            <w:tcW w:w="4280" w:type="dxa"/>
            <w:vAlign w:val="bottom"/>
            <w:gridSpan w:val="2"/>
            <w:vMerge w:val="restart"/>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ind w:left="120"/>
              <w:spacing w:after="0"/>
              <w:rPr>
                <w:sz w:val="20"/>
                <w:szCs w:val="20"/>
                <w:color w:val="auto"/>
              </w:rPr>
            </w:pPr>
            <w:r>
              <w:rPr>
                <w:rFonts w:ascii="Arial" w:cs="Arial" w:eastAsia="Arial" w:hAnsi="Arial"/>
                <w:sz w:val="13"/>
                <w:szCs w:val="13"/>
                <w:b w:val="1"/>
                <w:bCs w:val="1"/>
                <w:color w:val="345988"/>
              </w:rPr>
              <w:t>Termination without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Termination</w:t>
            </w:r>
          </w:p>
        </w:tc>
        <w:tc>
          <w:tcPr>
            <w:tcW w:w="180" w:type="dxa"/>
            <w:vAlign w:val="bottom"/>
          </w:tcPr>
          <w:p>
            <w:pPr>
              <w:spacing w:after="0"/>
              <w:rPr>
                <w:sz w:val="24"/>
                <w:szCs w:val="2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345988"/>
              </w:rPr>
              <w:t>Disability</w:t>
            </w:r>
          </w:p>
        </w:tc>
        <w:tc>
          <w:tcPr>
            <w:tcW w:w="180" w:type="dxa"/>
            <w:vAlign w:val="bottom"/>
          </w:tcPr>
          <w:p>
            <w:pPr>
              <w:spacing w:after="0"/>
              <w:rPr>
                <w:sz w:val="24"/>
                <w:szCs w:val="24"/>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345988"/>
              </w:rPr>
              <w:t>Death</w:t>
            </w:r>
            <w:r>
              <w:rPr>
                <w:rFonts w:ascii="Arial" w:cs="Arial" w:eastAsia="Arial" w:hAnsi="Arial"/>
                <w:sz w:val="22"/>
                <w:szCs w:val="22"/>
                <w:b w:val="1"/>
                <w:bCs w:val="1"/>
                <w:color w:val="345988"/>
                <w:vertAlign w:val="superscript"/>
              </w:rPr>
              <w:t>(1)</w:t>
            </w:r>
          </w:p>
        </w:tc>
        <w:tc>
          <w:tcPr>
            <w:tcW w:w="0" w:type="dxa"/>
            <w:vAlign w:val="bottom"/>
          </w:tcPr>
          <w:p>
            <w:pPr>
              <w:spacing w:after="0"/>
              <w:rPr>
                <w:sz w:val="1"/>
                <w:szCs w:val="1"/>
                <w:color w:val="auto"/>
              </w:rPr>
            </w:pPr>
          </w:p>
        </w:tc>
      </w:tr>
      <w:tr>
        <w:trPr>
          <w:trHeight w:val="201"/>
        </w:trPr>
        <w:tc>
          <w:tcPr>
            <w:tcW w:w="1320" w:type="dxa"/>
            <w:vAlign w:val="bottom"/>
            <w:gridSpan w:val="3"/>
            <w:vMerge w:val="continue"/>
          </w:tcPr>
          <w:p>
            <w:pPr>
              <w:spacing w:after="0"/>
              <w:rPr>
                <w:sz w:val="17"/>
                <w:szCs w:val="17"/>
                <w:color w:val="auto"/>
              </w:rPr>
            </w:pPr>
          </w:p>
        </w:tc>
        <w:tc>
          <w:tcPr>
            <w:tcW w:w="42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gridSpan w:val="5"/>
          </w:tcPr>
          <w:p>
            <w:pPr>
              <w:ind w:left="20"/>
              <w:spacing w:after="0"/>
              <w:rPr>
                <w:sz w:val="20"/>
                <w:szCs w:val="20"/>
                <w:color w:val="auto"/>
              </w:rPr>
            </w:pPr>
            <w:r>
              <w:rPr>
                <w:rFonts w:ascii="Arial" w:cs="Arial" w:eastAsia="Arial" w:hAnsi="Arial"/>
                <w:sz w:val="13"/>
                <w:szCs w:val="13"/>
                <w:b w:val="1"/>
                <w:bCs w:val="1"/>
                <w:color w:val="345988"/>
              </w:rPr>
              <w:t>Cause or for Good Reason</w:t>
            </w:r>
          </w:p>
        </w:tc>
        <w:tc>
          <w:tcPr>
            <w:tcW w:w="100" w:type="dxa"/>
            <w:vAlign w:val="bottom"/>
          </w:tcPr>
          <w:p>
            <w:pPr>
              <w:spacing w:after="0"/>
              <w:rPr>
                <w:sz w:val="17"/>
                <w:szCs w:val="17"/>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345988"/>
              </w:rPr>
              <w:t>w/ Change in Control</w:t>
            </w: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tcBorders>
              <w:top w:val="single" w:sz="8" w:color="345988"/>
              <w:bottom w:val="single" w:sz="8" w:color="8590A9"/>
            </w:tcBorders>
            <w:gridSpan w:val="4"/>
          </w:tcPr>
          <w:p>
            <w:pPr>
              <w:spacing w:after="0" w:line="202" w:lineRule="exact"/>
              <w:rPr>
                <w:sz w:val="20"/>
                <w:szCs w:val="20"/>
                <w:color w:val="auto"/>
              </w:rPr>
            </w:pPr>
            <w:r>
              <w:rPr>
                <w:rFonts w:ascii="Arial" w:cs="Arial" w:eastAsia="Arial" w:hAnsi="Arial"/>
                <w:sz w:val="18"/>
                <w:szCs w:val="18"/>
                <w:color w:val="auto"/>
              </w:rPr>
              <w:t>Pro-Rata Bonus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345988"/>
              <w:bottom w:val="single" w:sz="8" w:color="8590A9"/>
            </w:tcBorders>
            <w:gridSpan w:val="2"/>
          </w:tcPr>
          <w:p>
            <w:pPr>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1,550,000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345988"/>
              <w:bottom w:val="single" w:sz="8" w:color="8590A9"/>
            </w:tcBorders>
            <w:gridSpan w:val="2"/>
          </w:tcPr>
          <w:p>
            <w:pPr>
              <w:jc w:val="right"/>
              <w:ind w:right="225"/>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1,550,000</w:t>
            </w:r>
          </w:p>
        </w:tc>
        <w:tc>
          <w:tcPr>
            <w:tcW w:w="160" w:type="dxa"/>
            <w:vAlign w:val="bottom"/>
          </w:tcPr>
          <w:p>
            <w:pPr>
              <w:spacing w:after="0"/>
              <w:rPr>
                <w:sz w:val="17"/>
                <w:szCs w:val="17"/>
                <w:color w:val="auto"/>
              </w:rPr>
            </w:pPr>
          </w:p>
        </w:tc>
        <w:tc>
          <w:tcPr>
            <w:tcW w:w="1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1,550,000</w:t>
            </w:r>
          </w:p>
        </w:tc>
        <w:tc>
          <w:tcPr>
            <w:tcW w:w="160" w:type="dxa"/>
            <w:vAlign w:val="bottom"/>
          </w:tcPr>
          <w:p>
            <w:pPr>
              <w:spacing w:after="0"/>
              <w:rPr>
                <w:sz w:val="17"/>
                <w:szCs w:val="17"/>
                <w:color w:val="auto"/>
              </w:rPr>
            </w:pPr>
          </w:p>
        </w:tc>
        <w:tc>
          <w:tcPr>
            <w:tcW w:w="1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1,550,000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8590A9"/>
            </w:tcBorders>
            <w:gridSpan w:val="4"/>
          </w:tcPr>
          <w:p>
            <w:pPr>
              <w:spacing w:after="0" w:line="195" w:lineRule="exact"/>
              <w:rPr>
                <w:sz w:val="20"/>
                <w:szCs w:val="20"/>
                <w:color w:val="auto"/>
              </w:rPr>
            </w:pPr>
            <w:r>
              <w:rPr>
                <w:rFonts w:ascii="Arial" w:cs="Arial" w:eastAsia="Arial" w:hAnsi="Arial"/>
                <w:sz w:val="18"/>
                <w:szCs w:val="18"/>
                <w:color w:val="auto"/>
              </w:rPr>
              <w:t>Cash Severance</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8590A9"/>
            </w:tcBorders>
            <w:gridSpan w:val="2"/>
          </w:tcPr>
          <w:p>
            <w:pPr>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8590A9"/>
            </w:tcBorders>
            <w:gridSpan w:val="2"/>
          </w:tcPr>
          <w:p>
            <w:pPr>
              <w:jc w:val="right"/>
              <w:ind w:right="225"/>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4,000,000</w:t>
            </w:r>
          </w:p>
        </w:tc>
        <w:tc>
          <w:tcPr>
            <w:tcW w:w="160" w:type="dxa"/>
            <w:vAlign w:val="bottom"/>
          </w:tcPr>
          <w:p>
            <w:pPr>
              <w:spacing w:after="0"/>
              <w:rPr>
                <w:sz w:val="17"/>
                <w:szCs w:val="17"/>
                <w:color w:val="auto"/>
              </w:rPr>
            </w:pPr>
          </w:p>
        </w:tc>
        <w:tc>
          <w:tcPr>
            <w:tcW w:w="18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17"/>
                <w:szCs w:val="17"/>
                <w:color w:val="auto"/>
              </w:rPr>
            </w:pPr>
          </w:p>
        </w:tc>
        <w:tc>
          <w:tcPr>
            <w:tcW w:w="180" w:type="dxa"/>
            <w:vAlign w:val="bottom"/>
            <w:tcBorders>
              <w:bottom w:val="single" w:sz="8" w:color="8590A9"/>
            </w:tcBorders>
          </w:tcPr>
          <w:p>
            <w:pPr>
              <w:spacing w:after="0"/>
              <w:rPr>
                <w:sz w:val="17"/>
                <w:szCs w:val="17"/>
                <w:color w:val="auto"/>
              </w:rPr>
            </w:pPr>
          </w:p>
        </w:tc>
        <w:tc>
          <w:tcPr>
            <w:tcW w:w="86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00" w:type="dxa"/>
            <w:vAlign w:val="bottom"/>
            <w:gridSpan w:val="4"/>
          </w:tcPr>
          <w:p>
            <w:pPr>
              <w:spacing w:after="0" w:line="236" w:lineRule="exact"/>
              <w:rPr>
                <w:sz w:val="20"/>
                <w:szCs w:val="20"/>
                <w:color w:val="auto"/>
              </w:rPr>
            </w:pPr>
            <w:r>
              <w:rPr>
                <w:rFonts w:ascii="Arial" w:cs="Arial" w:eastAsia="Arial" w:hAnsi="Arial"/>
                <w:sz w:val="17"/>
                <w:szCs w:val="17"/>
                <w:color w:val="auto"/>
              </w:rPr>
              <w:t>Stock Option / Class O LTIP Unit Vesting</w:t>
            </w:r>
            <w:r>
              <w:rPr>
                <w:rFonts w:ascii="Arial" w:cs="Arial" w:eastAsia="Arial" w:hAnsi="Arial"/>
                <w:sz w:val="27"/>
                <w:szCs w:val="27"/>
                <w:color w:val="auto"/>
                <w:vertAlign w:val="superscript"/>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500" w:type="dxa"/>
            <w:vAlign w:val="bottom"/>
            <w:tcBorders>
              <w:top w:val="single" w:sz="8" w:color="8590A9"/>
              <w:bottom w:val="single" w:sz="8" w:color="8590A9"/>
            </w:tcBorders>
            <w:gridSpan w:val="4"/>
          </w:tcPr>
          <w:p>
            <w:pPr>
              <w:spacing w:after="0" w:line="236" w:lineRule="exact"/>
              <w:rPr>
                <w:sz w:val="20"/>
                <w:szCs w:val="20"/>
                <w:color w:val="auto"/>
              </w:rPr>
            </w:pPr>
            <w:r>
              <w:rPr>
                <w:rFonts w:ascii="Arial" w:cs="Arial" w:eastAsia="Arial" w:hAnsi="Arial"/>
                <w:sz w:val="17"/>
                <w:szCs w:val="17"/>
                <w:color w:val="auto"/>
              </w:rPr>
              <w:t>LTIP Unit/Stock Unit Vesting</w:t>
            </w:r>
            <w:r>
              <w:rPr>
                <w:rFonts w:ascii="Arial" w:cs="Arial" w:eastAsia="Arial" w:hAnsi="Arial"/>
                <w:sz w:val="27"/>
                <w:szCs w:val="27"/>
                <w:color w:val="auto"/>
                <w:vertAlign w:val="superscript"/>
              </w:rPr>
              <w:t>(3)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8590A9"/>
              <w:bottom w:val="single" w:sz="8" w:color="8590A9"/>
            </w:tcBorders>
            <w:gridSpan w:val="2"/>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706,510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top w:val="single" w:sz="8" w:color="8590A9"/>
              <w:bottom w:val="single" w:sz="8" w:color="8590A9"/>
            </w:tcBorders>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706,510</w:t>
            </w:r>
          </w:p>
        </w:tc>
        <w:tc>
          <w:tcPr>
            <w:tcW w:w="160" w:type="dxa"/>
            <w:vAlign w:val="bottom"/>
          </w:tcPr>
          <w:p>
            <w:pPr>
              <w:spacing w:after="0"/>
              <w:rPr>
                <w:sz w:val="20"/>
                <w:szCs w:val="20"/>
                <w:color w:val="auto"/>
              </w:rPr>
            </w:pPr>
          </w:p>
        </w:tc>
        <w:tc>
          <w:tcPr>
            <w:tcW w:w="1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706,510</w:t>
            </w:r>
          </w:p>
        </w:tc>
        <w:tc>
          <w:tcPr>
            <w:tcW w:w="160" w:type="dxa"/>
            <w:vAlign w:val="bottom"/>
          </w:tcPr>
          <w:p>
            <w:pPr>
              <w:spacing w:after="0"/>
              <w:rPr>
                <w:sz w:val="20"/>
                <w:szCs w:val="20"/>
                <w:color w:val="auto"/>
              </w:rPr>
            </w:pPr>
          </w:p>
        </w:tc>
        <w:tc>
          <w:tcPr>
            <w:tcW w:w="1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706,510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345988"/>
            </w:tcBorders>
            <w:gridSpan w:val="4"/>
          </w:tcPr>
          <w:p>
            <w:pPr>
              <w:spacing w:after="0" w:line="236" w:lineRule="exact"/>
              <w:rPr>
                <w:sz w:val="20"/>
                <w:szCs w:val="20"/>
                <w:color w:val="auto"/>
              </w:rPr>
            </w:pPr>
            <w:r>
              <w:rPr>
                <w:rFonts w:ascii="Arial" w:cs="Arial" w:eastAsia="Arial" w:hAnsi="Arial"/>
                <w:sz w:val="17"/>
                <w:szCs w:val="17"/>
                <w:color w:val="auto"/>
              </w:rPr>
              <w:t>Benefits Continuation</w:t>
            </w:r>
            <w:r>
              <w:rPr>
                <w:rFonts w:ascii="Arial" w:cs="Arial" w:eastAsia="Arial" w:hAnsi="Arial"/>
                <w:sz w:val="27"/>
                <w:szCs w:val="27"/>
                <w:color w:val="auto"/>
                <w:vertAlign w:val="superscript"/>
              </w:rPr>
              <w:t>(4)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345988"/>
            </w:tcBorders>
            <w:gridSpan w:val="2"/>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44,504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345988"/>
            </w:tcBorders>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89,007</w:t>
            </w:r>
          </w:p>
        </w:tc>
        <w:tc>
          <w:tcPr>
            <w:tcW w:w="160" w:type="dxa"/>
            <w:vAlign w:val="bottom"/>
          </w:tcPr>
          <w:p>
            <w:pPr>
              <w:spacing w:after="0"/>
              <w:rPr>
                <w:sz w:val="21"/>
                <w:szCs w:val="21"/>
                <w:color w:val="auto"/>
              </w:rPr>
            </w:pPr>
          </w:p>
        </w:tc>
        <w:tc>
          <w:tcPr>
            <w:tcW w:w="1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133,511</w:t>
            </w:r>
          </w:p>
        </w:tc>
        <w:tc>
          <w:tcPr>
            <w:tcW w:w="160" w:type="dxa"/>
            <w:vAlign w:val="bottom"/>
          </w:tcPr>
          <w:p>
            <w:pPr>
              <w:spacing w:after="0"/>
              <w:rPr>
                <w:sz w:val="21"/>
                <w:szCs w:val="21"/>
                <w:color w:val="auto"/>
              </w:rPr>
            </w:pPr>
          </w:p>
        </w:tc>
        <w:tc>
          <w:tcPr>
            <w:tcW w:w="180" w:type="dxa"/>
            <w:vAlign w:val="bottom"/>
            <w:tcBorders>
              <w:bottom w:val="single" w:sz="8" w:color="345988"/>
            </w:tcBorders>
          </w:tcPr>
          <w:p>
            <w:pPr>
              <w:spacing w:after="0"/>
              <w:rPr>
                <w:sz w:val="21"/>
                <w:szCs w:val="21"/>
                <w:color w:val="auto"/>
              </w:rPr>
            </w:pP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0"/>
        </w:trPr>
        <w:tc>
          <w:tcPr>
            <w:tcW w:w="1140" w:type="dxa"/>
            <w:vAlign w:val="bottom"/>
            <w:tcBorders>
              <w:bottom w:val="single" w:sz="8" w:color="345988"/>
            </w:tcBorders>
            <w:gridSpan w:val="2"/>
          </w:tcPr>
          <w:p>
            <w:pPr>
              <w:spacing w:after="0"/>
              <w:rPr>
                <w:sz w:val="20"/>
                <w:szCs w:val="20"/>
                <w:color w:val="auto"/>
              </w:rPr>
            </w:pPr>
            <w:r>
              <w:rPr>
                <w:rFonts w:ascii="Arial" w:cs="Arial" w:eastAsia="Arial" w:hAnsi="Arial"/>
                <w:sz w:val="13"/>
                <w:szCs w:val="13"/>
                <w:b w:val="1"/>
                <w:bCs w:val="1"/>
                <w:color w:val="345988"/>
              </w:rPr>
              <w:t>Andrew S. Levine</w:t>
            </w:r>
          </w:p>
        </w:tc>
        <w:tc>
          <w:tcPr>
            <w:tcW w:w="446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60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Payment/Benefit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ind w:left="120"/>
              <w:spacing w:after="0"/>
              <w:rPr>
                <w:sz w:val="20"/>
                <w:szCs w:val="20"/>
                <w:color w:val="auto"/>
              </w:rPr>
            </w:pPr>
            <w:r>
              <w:rPr>
                <w:rFonts w:ascii="Arial" w:cs="Arial" w:eastAsia="Arial" w:hAnsi="Arial"/>
                <w:sz w:val="13"/>
                <w:szCs w:val="13"/>
                <w:b w:val="1"/>
                <w:bCs w:val="1"/>
                <w:color w:val="345988"/>
              </w:rPr>
              <w:t>Termination without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45988"/>
              </w:rPr>
              <w:t>Termination</w:t>
            </w:r>
          </w:p>
        </w:tc>
        <w:tc>
          <w:tcPr>
            <w:tcW w:w="180" w:type="dxa"/>
            <w:vAlign w:val="bottom"/>
          </w:tcPr>
          <w:p>
            <w:pPr>
              <w:spacing w:after="0"/>
              <w:rPr>
                <w:sz w:val="24"/>
                <w:szCs w:val="2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345988"/>
              </w:rPr>
              <w:t>Disability</w:t>
            </w:r>
          </w:p>
        </w:tc>
        <w:tc>
          <w:tcPr>
            <w:tcW w:w="180" w:type="dxa"/>
            <w:vAlign w:val="bottom"/>
          </w:tcPr>
          <w:p>
            <w:pPr>
              <w:spacing w:after="0"/>
              <w:rPr>
                <w:sz w:val="24"/>
                <w:szCs w:val="24"/>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345988"/>
              </w:rPr>
              <w:t>Death</w:t>
            </w:r>
            <w:r>
              <w:rPr>
                <w:rFonts w:ascii="Arial" w:cs="Arial" w:eastAsia="Arial" w:hAnsi="Arial"/>
                <w:sz w:val="22"/>
                <w:szCs w:val="22"/>
                <w:b w:val="1"/>
                <w:bCs w:val="1"/>
                <w:color w:val="345988"/>
                <w:vertAlign w:val="superscript"/>
              </w:rPr>
              <w:t>(1)</w:t>
            </w:r>
          </w:p>
        </w:tc>
        <w:tc>
          <w:tcPr>
            <w:tcW w:w="0" w:type="dxa"/>
            <w:vAlign w:val="bottom"/>
          </w:tcPr>
          <w:p>
            <w:pPr>
              <w:spacing w:after="0"/>
              <w:rPr>
                <w:sz w:val="1"/>
                <w:szCs w:val="1"/>
                <w:color w:val="auto"/>
              </w:rPr>
            </w:pPr>
          </w:p>
        </w:tc>
      </w:tr>
      <w:tr>
        <w:trPr>
          <w:trHeight w:val="201"/>
        </w:trPr>
        <w:tc>
          <w:tcPr>
            <w:tcW w:w="560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gridSpan w:val="5"/>
          </w:tcPr>
          <w:p>
            <w:pPr>
              <w:ind w:left="20"/>
              <w:spacing w:after="0"/>
              <w:rPr>
                <w:sz w:val="20"/>
                <w:szCs w:val="20"/>
                <w:color w:val="auto"/>
              </w:rPr>
            </w:pPr>
            <w:r>
              <w:rPr>
                <w:rFonts w:ascii="Arial" w:cs="Arial" w:eastAsia="Arial" w:hAnsi="Arial"/>
                <w:sz w:val="13"/>
                <w:szCs w:val="13"/>
                <w:b w:val="1"/>
                <w:bCs w:val="1"/>
                <w:color w:val="345988"/>
              </w:rPr>
              <w:t>Cause or for Good Reason</w:t>
            </w:r>
          </w:p>
        </w:tc>
        <w:tc>
          <w:tcPr>
            <w:tcW w:w="100" w:type="dxa"/>
            <w:vAlign w:val="bottom"/>
          </w:tcPr>
          <w:p>
            <w:pPr>
              <w:spacing w:after="0"/>
              <w:rPr>
                <w:sz w:val="17"/>
                <w:szCs w:val="17"/>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345988"/>
              </w:rPr>
              <w:t>w/ Change in Control</w:t>
            </w: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tcBorders>
              <w:top w:val="single" w:sz="8" w:color="345988"/>
              <w:bottom w:val="single" w:sz="8" w:color="8590A9"/>
            </w:tcBorders>
            <w:gridSpan w:val="4"/>
          </w:tcPr>
          <w:p>
            <w:pPr>
              <w:spacing w:after="0" w:line="202" w:lineRule="exact"/>
              <w:rPr>
                <w:sz w:val="20"/>
                <w:szCs w:val="20"/>
                <w:color w:val="auto"/>
              </w:rPr>
            </w:pPr>
            <w:r>
              <w:rPr>
                <w:rFonts w:ascii="Arial" w:cs="Arial" w:eastAsia="Arial" w:hAnsi="Arial"/>
                <w:sz w:val="18"/>
                <w:szCs w:val="18"/>
                <w:color w:val="auto"/>
              </w:rPr>
              <w:t>Pro-Rata Bonus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345988"/>
              <w:bottom w:val="single" w:sz="8" w:color="8590A9"/>
            </w:tcBorders>
            <w:gridSpan w:val="2"/>
          </w:tcPr>
          <w:p>
            <w:pPr>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1,225,000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345988"/>
              <w:bottom w:val="single" w:sz="8" w:color="8590A9"/>
            </w:tcBorders>
            <w:gridSpan w:val="2"/>
          </w:tcPr>
          <w:p>
            <w:pPr>
              <w:jc w:val="right"/>
              <w:ind w:right="225"/>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1,225,000</w:t>
            </w:r>
          </w:p>
        </w:tc>
        <w:tc>
          <w:tcPr>
            <w:tcW w:w="160" w:type="dxa"/>
            <w:vAlign w:val="bottom"/>
          </w:tcPr>
          <w:p>
            <w:pPr>
              <w:spacing w:after="0"/>
              <w:rPr>
                <w:sz w:val="17"/>
                <w:szCs w:val="17"/>
                <w:color w:val="auto"/>
              </w:rPr>
            </w:pPr>
          </w:p>
        </w:tc>
        <w:tc>
          <w:tcPr>
            <w:tcW w:w="1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1,225,000</w:t>
            </w:r>
          </w:p>
        </w:tc>
        <w:tc>
          <w:tcPr>
            <w:tcW w:w="160" w:type="dxa"/>
            <w:vAlign w:val="bottom"/>
          </w:tcPr>
          <w:p>
            <w:pPr>
              <w:spacing w:after="0"/>
              <w:rPr>
                <w:sz w:val="17"/>
                <w:szCs w:val="17"/>
                <w:color w:val="auto"/>
              </w:rPr>
            </w:pPr>
          </w:p>
        </w:tc>
        <w:tc>
          <w:tcPr>
            <w:tcW w:w="18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345988"/>
              <w:bottom w:val="single" w:sz="8" w:color="8590A9"/>
            </w:tcBorders>
          </w:tcPr>
          <w:p>
            <w:pPr>
              <w:jc w:val="right"/>
              <w:spacing w:after="0" w:line="202" w:lineRule="exact"/>
              <w:rPr>
                <w:sz w:val="20"/>
                <w:szCs w:val="20"/>
                <w:color w:val="auto"/>
              </w:rPr>
            </w:pPr>
            <w:r>
              <w:rPr>
                <w:rFonts w:ascii="Arial" w:cs="Arial" w:eastAsia="Arial" w:hAnsi="Arial"/>
                <w:sz w:val="18"/>
                <w:szCs w:val="18"/>
                <w:color w:val="auto"/>
              </w:rPr>
              <w:t>1,225,000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8590A9"/>
            </w:tcBorders>
            <w:gridSpan w:val="4"/>
          </w:tcPr>
          <w:p>
            <w:pPr>
              <w:spacing w:after="0" w:line="195" w:lineRule="exact"/>
              <w:rPr>
                <w:sz w:val="20"/>
                <w:szCs w:val="20"/>
                <w:color w:val="auto"/>
              </w:rPr>
            </w:pPr>
            <w:r>
              <w:rPr>
                <w:rFonts w:ascii="Arial" w:cs="Arial" w:eastAsia="Arial" w:hAnsi="Arial"/>
                <w:sz w:val="18"/>
                <w:szCs w:val="18"/>
                <w:color w:val="auto"/>
              </w:rPr>
              <w:t>Cash Severance</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8590A9"/>
            </w:tcBorders>
            <w:gridSpan w:val="2"/>
          </w:tcPr>
          <w:p>
            <w:pPr>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1,775,000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8590A9"/>
            </w:tcBorders>
            <w:gridSpan w:val="2"/>
          </w:tcPr>
          <w:p>
            <w:pPr>
              <w:jc w:val="right"/>
              <w:ind w:right="225"/>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3,550,000</w:t>
            </w:r>
          </w:p>
        </w:tc>
        <w:tc>
          <w:tcPr>
            <w:tcW w:w="160" w:type="dxa"/>
            <w:vAlign w:val="bottom"/>
          </w:tcPr>
          <w:p>
            <w:pPr>
              <w:spacing w:after="0"/>
              <w:rPr>
                <w:sz w:val="17"/>
                <w:szCs w:val="17"/>
                <w:color w:val="auto"/>
              </w:rPr>
            </w:pPr>
          </w:p>
        </w:tc>
        <w:tc>
          <w:tcPr>
            <w:tcW w:w="18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1,775,000</w:t>
            </w:r>
          </w:p>
        </w:tc>
        <w:tc>
          <w:tcPr>
            <w:tcW w:w="160" w:type="dxa"/>
            <w:vAlign w:val="bottom"/>
          </w:tcPr>
          <w:p>
            <w:pPr>
              <w:spacing w:after="0"/>
              <w:rPr>
                <w:sz w:val="17"/>
                <w:szCs w:val="17"/>
                <w:color w:val="auto"/>
              </w:rPr>
            </w:pPr>
          </w:p>
        </w:tc>
        <w:tc>
          <w:tcPr>
            <w:tcW w:w="180" w:type="dxa"/>
            <w:vAlign w:val="bottom"/>
            <w:tcBorders>
              <w:bottom w:val="single" w:sz="8" w:color="8590A9"/>
            </w:tcBorders>
          </w:tcPr>
          <w:p>
            <w:pPr>
              <w:spacing w:after="0"/>
              <w:rPr>
                <w:sz w:val="17"/>
                <w:szCs w:val="17"/>
                <w:color w:val="auto"/>
              </w:rPr>
            </w:pPr>
          </w:p>
        </w:tc>
        <w:tc>
          <w:tcPr>
            <w:tcW w:w="860" w:type="dxa"/>
            <w:vAlign w:val="bottom"/>
            <w:tcBorders>
              <w:bottom w:val="single" w:sz="8" w:color="8590A9"/>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00" w:type="dxa"/>
            <w:vAlign w:val="bottom"/>
            <w:gridSpan w:val="4"/>
          </w:tcPr>
          <w:p>
            <w:pPr>
              <w:spacing w:after="0" w:line="236" w:lineRule="exact"/>
              <w:rPr>
                <w:sz w:val="20"/>
                <w:szCs w:val="20"/>
                <w:color w:val="auto"/>
              </w:rPr>
            </w:pPr>
            <w:r>
              <w:rPr>
                <w:rFonts w:ascii="Arial" w:cs="Arial" w:eastAsia="Arial" w:hAnsi="Arial"/>
                <w:sz w:val="17"/>
                <w:szCs w:val="17"/>
                <w:color w:val="auto"/>
              </w:rPr>
              <w:t>Stock Option / Class O LTIP Unit Vesting</w:t>
            </w:r>
            <w:r>
              <w:rPr>
                <w:rFonts w:ascii="Arial" w:cs="Arial" w:eastAsia="Arial" w:hAnsi="Arial"/>
                <w:sz w:val="27"/>
                <w:szCs w:val="27"/>
                <w:color w:val="auto"/>
                <w:vertAlign w:val="superscript"/>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500" w:type="dxa"/>
            <w:vAlign w:val="bottom"/>
            <w:tcBorders>
              <w:top w:val="single" w:sz="8" w:color="8590A9"/>
              <w:bottom w:val="single" w:sz="8" w:color="8590A9"/>
            </w:tcBorders>
            <w:gridSpan w:val="4"/>
          </w:tcPr>
          <w:p>
            <w:pPr>
              <w:spacing w:after="0" w:line="236" w:lineRule="exact"/>
              <w:rPr>
                <w:sz w:val="20"/>
                <w:szCs w:val="20"/>
                <w:color w:val="auto"/>
              </w:rPr>
            </w:pPr>
            <w:r>
              <w:rPr>
                <w:rFonts w:ascii="Arial" w:cs="Arial" w:eastAsia="Arial" w:hAnsi="Arial"/>
                <w:sz w:val="17"/>
                <w:szCs w:val="17"/>
                <w:color w:val="auto"/>
              </w:rPr>
              <w:t>LTIP Unit/Stock Unit Vesting</w:t>
            </w:r>
            <w:r>
              <w:rPr>
                <w:rFonts w:ascii="Arial" w:cs="Arial" w:eastAsia="Arial" w:hAnsi="Arial"/>
                <w:sz w:val="27"/>
                <w:szCs w:val="27"/>
                <w:color w:val="auto"/>
                <w:vertAlign w:val="superscript"/>
              </w:rPr>
              <w:t>(3)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8590A9"/>
              <w:bottom w:val="single" w:sz="8" w:color="8590A9"/>
            </w:tcBorders>
            <w:gridSpan w:val="2"/>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2,422,320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top w:val="single" w:sz="8" w:color="8590A9"/>
              <w:bottom w:val="single" w:sz="8" w:color="8590A9"/>
            </w:tcBorders>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2,422,320</w:t>
            </w:r>
          </w:p>
        </w:tc>
        <w:tc>
          <w:tcPr>
            <w:tcW w:w="160" w:type="dxa"/>
            <w:vAlign w:val="bottom"/>
          </w:tcPr>
          <w:p>
            <w:pPr>
              <w:spacing w:after="0"/>
              <w:rPr>
                <w:sz w:val="20"/>
                <w:szCs w:val="20"/>
                <w:color w:val="auto"/>
              </w:rPr>
            </w:pPr>
          </w:p>
        </w:tc>
        <w:tc>
          <w:tcPr>
            <w:tcW w:w="1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1,211,160</w:t>
            </w:r>
          </w:p>
        </w:tc>
        <w:tc>
          <w:tcPr>
            <w:tcW w:w="160" w:type="dxa"/>
            <w:vAlign w:val="bottom"/>
          </w:tcPr>
          <w:p>
            <w:pPr>
              <w:spacing w:after="0"/>
              <w:rPr>
                <w:sz w:val="20"/>
                <w:szCs w:val="20"/>
                <w:color w:val="auto"/>
              </w:rPr>
            </w:pPr>
          </w:p>
        </w:tc>
        <w:tc>
          <w:tcPr>
            <w:tcW w:w="18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1,211,160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345988"/>
            </w:tcBorders>
            <w:gridSpan w:val="4"/>
          </w:tcPr>
          <w:p>
            <w:pPr>
              <w:spacing w:after="0" w:line="236" w:lineRule="exact"/>
              <w:rPr>
                <w:sz w:val="20"/>
                <w:szCs w:val="20"/>
                <w:color w:val="auto"/>
              </w:rPr>
            </w:pPr>
            <w:r>
              <w:rPr>
                <w:rFonts w:ascii="Arial" w:cs="Arial" w:eastAsia="Arial" w:hAnsi="Arial"/>
                <w:sz w:val="17"/>
                <w:szCs w:val="17"/>
                <w:color w:val="auto"/>
              </w:rPr>
              <w:t>Benefits Continuation</w:t>
            </w:r>
            <w:r>
              <w:rPr>
                <w:rFonts w:ascii="Arial" w:cs="Arial" w:eastAsia="Arial" w:hAnsi="Arial"/>
                <w:sz w:val="27"/>
                <w:szCs w:val="27"/>
                <w:color w:val="auto"/>
                <w:vertAlign w:val="superscript"/>
              </w:rPr>
              <w:t>(4)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345988"/>
            </w:tcBorders>
            <w:gridSpan w:val="2"/>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46,976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345988"/>
            </w:tcBorders>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93,951</w:t>
            </w:r>
          </w:p>
        </w:tc>
        <w:tc>
          <w:tcPr>
            <w:tcW w:w="160" w:type="dxa"/>
            <w:vAlign w:val="bottom"/>
          </w:tcPr>
          <w:p>
            <w:pPr>
              <w:spacing w:after="0"/>
              <w:rPr>
                <w:sz w:val="21"/>
                <w:szCs w:val="21"/>
                <w:color w:val="auto"/>
              </w:rPr>
            </w:pPr>
          </w:p>
        </w:tc>
        <w:tc>
          <w:tcPr>
            <w:tcW w:w="1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140,927</w:t>
            </w:r>
          </w:p>
        </w:tc>
        <w:tc>
          <w:tcPr>
            <w:tcW w:w="160" w:type="dxa"/>
            <w:vAlign w:val="bottom"/>
          </w:tcPr>
          <w:p>
            <w:pPr>
              <w:spacing w:after="0"/>
              <w:rPr>
                <w:sz w:val="21"/>
                <w:szCs w:val="21"/>
                <w:color w:val="auto"/>
              </w:rPr>
            </w:pPr>
          </w:p>
        </w:tc>
        <w:tc>
          <w:tcPr>
            <w:tcW w:w="180" w:type="dxa"/>
            <w:vAlign w:val="bottom"/>
            <w:tcBorders>
              <w:bottom w:val="single" w:sz="8" w:color="345988"/>
            </w:tcBorders>
          </w:tcPr>
          <w:p>
            <w:pPr>
              <w:spacing w:after="0"/>
              <w:rPr>
                <w:sz w:val="21"/>
                <w:szCs w:val="21"/>
                <w:color w:val="auto"/>
              </w:rPr>
            </w:pP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60" w:right="160" w:hanging="352"/>
        <w:spacing w:after="0" w:line="262" w:lineRule="auto"/>
        <w:tabs>
          <w:tab w:leader="none" w:pos="36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As we maintained life insurance policies for the benefit of the beneficiaries of Messrs. Holliday and Green in the amount of $10 million and $5 million, respectively, as of December 31, 2017, the amount of the payments and benefits to be received by Messrs. Holliday and Green in the event of a termination upon death will be reduced by these amounts in accordance with their employment agreements.</w:t>
      </w:r>
    </w:p>
    <w:p>
      <w:pPr>
        <w:spacing w:after="0" w:line="62" w:lineRule="exact"/>
        <w:rPr>
          <w:rFonts w:ascii="Arial" w:cs="Arial" w:eastAsia="Arial" w:hAnsi="Arial"/>
          <w:sz w:val="13"/>
          <w:szCs w:val="13"/>
          <w:color w:val="auto"/>
        </w:rPr>
      </w:pPr>
    </w:p>
    <w:p>
      <w:pPr>
        <w:ind w:left="360" w:right="80" w:hanging="352"/>
        <w:spacing w:after="0" w:line="262" w:lineRule="auto"/>
        <w:tabs>
          <w:tab w:leader="none" w:pos="36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Represents the value of the stock options or Class O LTIP units, if any, that would vest. Assumes that the per share value of the stock options or Class O LTIP units that vest equals (i) $100.93 per share, which was the closing price on the NYSE of one share of our common stock on December 31, 2017, less (ii) the exercise price per share of such stock options or the conversion threshold of such Class O LTIP units.</w:t>
      </w:r>
    </w:p>
    <w:p>
      <w:pPr>
        <w:spacing w:after="0" w:line="62" w:lineRule="exact"/>
        <w:rPr>
          <w:rFonts w:ascii="Arial" w:cs="Arial" w:eastAsia="Arial" w:hAnsi="Arial"/>
          <w:sz w:val="13"/>
          <w:szCs w:val="13"/>
          <w:color w:val="auto"/>
        </w:rPr>
      </w:pPr>
    </w:p>
    <w:p>
      <w:pPr>
        <w:ind w:left="360" w:right="80" w:hanging="352"/>
        <w:spacing w:after="0" w:line="286" w:lineRule="auto"/>
        <w:tabs>
          <w:tab w:leader="none" w:pos="36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Represents the value of the LTIP units and notional stock units, if any, that would vest based on a price of $100.93 per unit, which was the closing price on the NYSE of one share of our common stock on December 31, 2017. Assumes that the value of LTIP units on a per unit basis is equal to the per share value of our common stock.</w:t>
      </w:r>
    </w:p>
    <w:p>
      <w:pPr>
        <w:spacing w:after="0" w:line="47" w:lineRule="exact"/>
        <w:rPr>
          <w:rFonts w:ascii="Arial" w:cs="Arial" w:eastAsia="Arial" w:hAnsi="Arial"/>
          <w:sz w:val="13"/>
          <w:szCs w:val="13"/>
          <w:color w:val="auto"/>
        </w:rPr>
      </w:pPr>
    </w:p>
    <w:p>
      <w:pPr>
        <w:ind w:left="360" w:right="140" w:hanging="352"/>
        <w:spacing w:after="0" w:line="269" w:lineRule="auto"/>
        <w:tabs>
          <w:tab w:leader="none" w:pos="36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Benefits continuation amounts are based on the actual expense for financial reporting purposes for the year ended December 31, 2017 for covering an employee under each our group health plans for the entire year, assuming that the employee elected family coverage under each of these plans, less the minimum contribution required by employees participating in these plans.</w:t>
      </w:r>
    </w:p>
    <w:p>
      <w:pPr>
        <w:spacing w:after="0" w:line="32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amounts described above do not include payments and benefits to the extent they have been earned prior to the termination of employment or change in 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 As a result of provisions in the named executive officers’ employment agreements, in the event that any payment or benefit to be paid or provided to an executive set forth above would have been subject to the excise tax under Sections 280G of the IRC,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p>
    <w:p>
      <w:pPr>
        <w:spacing w:after="0" w:line="190" w:lineRule="exact"/>
        <w:rPr>
          <w:sz w:val="20"/>
          <w:szCs w:val="20"/>
          <w:color w:val="auto"/>
        </w:rPr>
      </w:pPr>
    </w:p>
    <w:p>
      <w:pPr>
        <w:ind w:left="300" w:hanging="292"/>
        <w:spacing w:after="0"/>
        <w:tabs>
          <w:tab w:leader="none" w:pos="300" w:val="left"/>
        </w:tabs>
        <w:numPr>
          <w:ilvl w:val="0"/>
          <w:numId w:val="132"/>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Compensation Committee Interlocks and Insider Participation</w:t>
      </w:r>
    </w:p>
    <w:p>
      <w:pPr>
        <w:spacing w:after="0" w:line="21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Compensation Committee is comprised of Lauren B. Dillard (Chair), John H. Alschuler, Edwin Thomas Burton, III and John S. Levy. There are no Compensation Committee interlocks and none of our employees is a member of our Compensation Committee.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Pay Ratio Disclosure Rule</w:t>
      </w:r>
    </w:p>
    <w:p>
      <w:pPr>
        <w:spacing w:after="0" w:line="214" w:lineRule="exact"/>
        <w:rPr>
          <w:sz w:val="20"/>
          <w:szCs w:val="20"/>
          <w:color w:val="auto"/>
        </w:rPr>
      </w:pPr>
    </w:p>
    <w:p>
      <w:pPr>
        <w:jc w:val="both"/>
        <w:ind w:right="60"/>
        <w:spacing w:after="0" w:line="251" w:lineRule="auto"/>
        <w:rPr>
          <w:sz w:val="20"/>
          <w:szCs w:val="20"/>
          <w:color w:val="auto"/>
        </w:rPr>
      </w:pPr>
      <w:r>
        <w:rPr>
          <w:rFonts w:ascii="Arial" w:cs="Arial" w:eastAsia="Arial" w:hAnsi="Arial"/>
          <w:sz w:val="18"/>
          <w:szCs w:val="18"/>
          <w:color w:val="auto"/>
        </w:rPr>
        <w:t>Pursuant to a mandate of the Dodd-Frank Wall Street Reform and Consumer Protection Act, the SEC adopted a rule requiring annual disclosure of the ratio of the median employee’s annual total compensation to the total annual compensation of the principal executive officer (“PEO”). The PEO of our Company is Mr. Holliday.</w:t>
      </w:r>
    </w:p>
    <w:p>
      <w:pPr>
        <w:spacing w:after="0" w:line="17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For 2017, the annual total compensation of Mr. Holliday, our PEO, of $17,407,821, as shown in the Summary Compensation Table above, was approximately 303 times the annual total compensation of $57,508 of a median employee calculated in the same manner. We identified the median employee using the annual base salary and target annual cash incentive compensation, as of December 31, 2017, plus any long-term equity incentive awards granted in 2017 for all individuals (excluding our PEO) who were employed by us on December 31, 2017, the last day of our payroll year, whether employed on a full-time or part-time basis.</w:t>
      </w:r>
    </w:p>
    <w:p>
      <w:pPr>
        <w:spacing w:after="0" w:line="183"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As of December 31, 2017, 754 of our 1,065 employees were hourly-paid employees involved in building operations, all of whom are subject to collective bargaining agreements. If these employees were not included for purposes of identifying our median employee, the annual total compensation of a median employee would be $135,857 and the annual total compensation of our PEO would be approximately 128 times such amount.</w:t>
      </w:r>
    </w:p>
    <w:p>
      <w:pPr>
        <w:spacing w:after="0" w:line="179"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3451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3345180"/>
                    </a:xfrm>
                    <a:prstGeom prst="rect">
                      <a:avLst/>
                    </a:prstGeom>
                    <a:noFill/>
                  </pic:spPr>
                </pic:pic>
              </a:graphicData>
            </a:graphic>
          </wp:anchor>
        </w:drawing>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Proposal 3: Ratification of Appointment of Independent Registered Public Accounting Firm</w:t>
      </w:r>
    </w:p>
    <w:p>
      <w:pPr>
        <w:spacing w:after="0" w:line="29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Audit Committee of the Board has appointed the accounting firm of Ernst &amp; Young LLP to serve as our independent registered public accounting firm for the fiscal year ending December 31, 2018. Stockholder ratification of the appointment of Ernst &amp; Young LLP is not required by law, the NYSE or the Company’s organizational documents. However, as a matter of good corporate governance, the Board has elected to submit the appointment of Ernst &amp; Young LLP to the stockholders for ratification at the 2018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Ernst &amp; Young LLP, the Audit Committee will take that fact into consideration, together with such other factors it deems relevant, in determining its next selection of an independent registered public accounting firm.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190" w:lineRule="exact"/>
        <w:rPr>
          <w:sz w:val="20"/>
          <w:szCs w:val="20"/>
          <w:color w:val="auto"/>
        </w:rPr>
      </w:pPr>
    </w:p>
    <w:p>
      <w:pPr>
        <w:ind w:left="120" w:right="320"/>
        <w:spacing w:after="0" w:line="268" w:lineRule="auto"/>
        <w:rPr>
          <w:sz w:val="20"/>
          <w:szCs w:val="20"/>
          <w:color w:val="auto"/>
        </w:rPr>
      </w:pPr>
      <w:r>
        <w:rPr>
          <w:rFonts w:ascii="Arial" w:cs="Arial" w:eastAsia="Arial" w:hAnsi="Arial"/>
          <w:sz w:val="18"/>
          <w:szCs w:val="18"/>
          <w:color w:val="auto"/>
        </w:rPr>
        <w:t>A representative of Ernst &amp; Young LLP will be present at the annual meeting, will be given the opportunity to make a statement at the annual meeting if he or she so desires and will be available to respond to appropriate questions.</w:t>
      </w:r>
    </w:p>
    <w:p>
      <w:pPr>
        <w:spacing w:after="0" w:line="158" w:lineRule="exact"/>
        <w:rPr>
          <w:sz w:val="20"/>
          <w:szCs w:val="20"/>
          <w:color w:val="auto"/>
        </w:rPr>
      </w:pPr>
    </w:p>
    <w:p>
      <w:pPr>
        <w:ind w:left="120" w:right="420"/>
        <w:spacing w:after="0" w:line="251" w:lineRule="auto"/>
        <w:rPr>
          <w:sz w:val="20"/>
          <w:szCs w:val="20"/>
          <w:color w:val="auto"/>
        </w:rPr>
      </w:pPr>
      <w:r>
        <w:rPr>
          <w:rFonts w:ascii="Arial" w:cs="Arial" w:eastAsia="Arial" w:hAnsi="Arial"/>
          <w:sz w:val="18"/>
          <w:szCs w:val="18"/>
          <w:color w:val="auto"/>
        </w:rPr>
        <w:t>A majority of all of the votes cast with respect to this proposal is required for the ratification of the appointment of Ernst &amp; Young LLP as our independent registered public accounting firm for the fiscal year ending December 31, 2018. Abstentions do not constitute a vote “for” or “against” and will not be counted as “votes cast”. Therefore, abstentions will have no effect on this proposal.</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435F8C"/>
        </w:rPr>
        <w:t xml:space="preserve">The Board unanimously recommends a vote </w:t>
      </w:r>
      <w:r>
        <w:rPr>
          <w:rFonts w:ascii="Arial" w:cs="Arial" w:eastAsia="Arial" w:hAnsi="Arial"/>
          <w:sz w:val="20"/>
          <w:szCs w:val="20"/>
          <w:b w:val="1"/>
          <w:bCs w:val="1"/>
          <w:color w:val="000000"/>
        </w:rPr>
        <w:t>“FOR”</w:t>
      </w:r>
      <w:r>
        <w:rPr>
          <w:rFonts w:ascii="Arial" w:cs="Arial" w:eastAsia="Arial" w:hAnsi="Arial"/>
          <w:sz w:val="20"/>
          <w:szCs w:val="20"/>
          <w:b w:val="1"/>
          <w:bCs w:val="1"/>
          <w:color w:val="435F8C"/>
        </w:rPr>
        <w:t xml:space="preserve"> the ratification of the appointment of</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435F8C"/>
        </w:rPr>
        <w:t>Ernst &amp; Young LLP as our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report of the Audit Committee of the Board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17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2017 filed by the Company with management.</w:t>
      </w:r>
    </w:p>
    <w:p>
      <w:pPr>
        <w:spacing w:after="0" w:line="18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Audit Committee reviewed and discussed with Ernst &amp; Young LLP, our independent registered public accounting firm, the matters required to be discussed with the Audit Committee under Auditing Standard No. 1301, “Communications with Audit Committees,” as adopted by the Public Company Accounting Oversight Board. Our Audit Committee received from Ernst &amp; Young LLP the written disclosures and the letter required by the applicable requirements of the Public Company Accounting Oversight Board regarding communications with the Audit Committee concerning independence, and has discussed with Ernst &amp; Young LLP their independence.</w:t>
      </w:r>
    </w:p>
    <w:p>
      <w:pPr>
        <w:spacing w:after="0" w:line="1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Based on the review and discussions referred to above, our Audit Committee recommended to the Board that the audited financial statements be included in the Annual Report on Form 10-K for the year ended December 31, 2017 filed by the Company.</w:t>
      </w:r>
    </w:p>
    <w:p>
      <w:pPr>
        <w:spacing w:after="0" w:line="158" w:lineRule="exact"/>
        <w:rPr>
          <w:sz w:val="20"/>
          <w:szCs w:val="20"/>
          <w:color w:val="auto"/>
        </w:rPr>
      </w:pPr>
    </w:p>
    <w:p>
      <w:pPr>
        <w:ind w:left="300" w:hanging="292"/>
        <w:spacing w:after="0"/>
        <w:tabs>
          <w:tab w:leader="none" w:pos="300" w:val="left"/>
        </w:tabs>
        <w:numPr>
          <w:ilvl w:val="0"/>
          <w:numId w:val="133"/>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280"/>
          </w:cols>
          <w:pgMar w:left="240" w:top="11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8920"/>
        <w:spacing w:after="0"/>
        <w:rPr>
          <w:sz w:val="20"/>
          <w:szCs w:val="20"/>
          <w:color w:val="auto"/>
        </w:rPr>
      </w:pPr>
      <w:r>
        <w:rPr>
          <w:rFonts w:ascii="Arial" w:cs="Arial" w:eastAsia="Arial" w:hAnsi="Arial"/>
          <w:sz w:val="16"/>
          <w:szCs w:val="16"/>
          <w:u w:val="single" w:color="auto"/>
          <w:color w:val="345988"/>
        </w:rPr>
        <w:t>AUDIT COMMITTEE MATTERS</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members of our Audit Committee are not engaged professionally in the practice of auditing or accounting. Committee 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that the financial statements are presented in accordance with accounting principles generally accepted in the U.S. or that our registered public accounting firm is in fact “independent.”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Submitted by our Audit Committee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Edwin Thomas Burton, III (Chair)</w:t>
      </w:r>
    </w:p>
    <w:p>
      <w:pPr>
        <w:spacing w:after="0" w:line="234" w:lineRule="auto"/>
        <w:rPr>
          <w:sz w:val="20"/>
          <w:szCs w:val="20"/>
          <w:color w:val="auto"/>
        </w:rPr>
      </w:pPr>
      <w:r>
        <w:rPr>
          <w:rFonts w:ascii="Arial" w:cs="Arial" w:eastAsia="Arial" w:hAnsi="Arial"/>
          <w:sz w:val="18"/>
          <w:szCs w:val="18"/>
          <w:color w:val="auto"/>
        </w:rPr>
        <w:t>Betsy Atkins</w:t>
      </w:r>
    </w:p>
    <w:p>
      <w:pPr>
        <w:spacing w:after="0" w:line="234" w:lineRule="auto"/>
        <w:rPr>
          <w:sz w:val="20"/>
          <w:szCs w:val="20"/>
          <w:color w:val="auto"/>
        </w:rPr>
      </w:pPr>
      <w:r>
        <w:rPr>
          <w:rFonts w:ascii="Arial" w:cs="Arial" w:eastAsia="Arial" w:hAnsi="Arial"/>
          <w:sz w:val="18"/>
          <w:szCs w:val="18"/>
          <w:color w:val="auto"/>
        </w:rPr>
        <w:t>Lauren B. Dillard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Craig M. Hatkoff</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Fee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Audit Fees</w:t>
      </w:r>
    </w:p>
    <w:p>
      <w:pPr>
        <w:spacing w:after="0" w:line="21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Fees, including out-of-pocket expenses, for audit services totaled approximately $3,872,000 in fiscal year 2017 and $3,398,000 in fiscal year 2016. Audit fees include fees associated with our annual audits and related reviews of our annual reports on Form 10-K and quarterly reports on Form 10-Q. In addition, audit fees include Sarbanes-Oxley Section 404 planning and testing, fees for public filings in connection with various property acquisitions,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Audit-Related Fees</w:t>
      </w:r>
    </w:p>
    <w:p>
      <w:pPr>
        <w:spacing w:after="0" w:line="21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Fees for audit-related services totaled approximately $70,000 in 2017 and $68,000 in 2016. The audit-related services principally include fees for operating expense audits and agreed-upon procedures projects.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Tax Fees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 fees were incurred for tax services, including tax compliance, tax advice and tax planning in either 2017 or 2016.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All Other Fees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fees for other services not included above in either 2017 or 2016.</w:t>
      </w:r>
    </w:p>
    <w:p>
      <w:pPr>
        <w:spacing w:after="0" w:line="21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Pre-Approval Policies and Procedures of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incurred as a result of non-audit services provided by our independent registered public accounting firm pursuant to this de minimis exception. All services provided by Ernst &amp; Young LLP in 2017 were pre-approved by our Audit Committee. Our Audit Committee may delegate to one or more of its members who is an independent director the authority to grant pre-approvals.</w:t>
      </w:r>
    </w:p>
    <w:p>
      <w:pPr>
        <w:spacing w:after="0" w:line="187"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STOCK OWNERSHIP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following table sets forth the beneficial ownership of our common stock, $0.01 par value per share as of March 31, 2018, unless otherwise noted, for (i) each person known to us to be the beneficial owner of more than 5% of our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 None of our executive officers own any shares of our preferred stock except as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there were 90,190,440 shares outstanding.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45988"/>
              </w:rPr>
              <w:t>Amount and Nature of</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vMerge w:val="restart"/>
          </w:tcPr>
          <w:p>
            <w:pPr>
              <w:spacing w:after="0"/>
              <w:rPr>
                <w:sz w:val="12"/>
                <w:szCs w:val="12"/>
                <w:color w:val="auto"/>
              </w:rPr>
            </w:pPr>
          </w:p>
        </w:tc>
        <w:tc>
          <w:tcPr>
            <w:tcW w:w="164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345988"/>
              </w:rPr>
              <w:t>Beneficial Ownership of</w:t>
            </w: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345988"/>
              </w:rPr>
              <w:t>Percent of Total</w:t>
            </w:r>
          </w:p>
        </w:tc>
        <w:tc>
          <w:tcPr>
            <w:tcW w:w="0" w:type="dxa"/>
            <w:vAlign w:val="bottom"/>
          </w:tcPr>
          <w:p>
            <w:pPr>
              <w:spacing w:after="0"/>
              <w:rPr>
                <w:sz w:val="1"/>
                <w:szCs w:val="1"/>
                <w:color w:val="auto"/>
              </w:rPr>
            </w:pPr>
          </w:p>
        </w:tc>
      </w:tr>
      <w:tr>
        <w:trPr>
          <w:trHeight w:val="201"/>
        </w:trPr>
        <w:tc>
          <w:tcPr>
            <w:tcW w:w="86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45988"/>
              </w:rPr>
              <w:t>Common Stock</w:t>
            </w: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8640" w:type="dxa"/>
            <w:vAlign w:val="bottom"/>
            <w:tcBorders>
              <w:top w:val="single" w:sz="8" w:color="345988"/>
              <w:bottom w:val="single" w:sz="8" w:color="8590A9"/>
            </w:tcBorders>
          </w:tcPr>
          <w:p>
            <w:pPr>
              <w:spacing w:after="0" w:line="310" w:lineRule="exact"/>
              <w:rPr>
                <w:sz w:val="20"/>
                <w:szCs w:val="20"/>
                <w:color w:val="auto"/>
              </w:rPr>
            </w:pPr>
            <w:r>
              <w:rPr>
                <w:rFonts w:ascii="Arial" w:cs="Arial" w:eastAsia="Arial" w:hAnsi="Arial"/>
                <w:sz w:val="18"/>
                <w:szCs w:val="18"/>
                <w:color w:val="auto"/>
              </w:rPr>
              <w:t>The Vanguard Group</w:t>
            </w:r>
            <w:r>
              <w:rPr>
                <w:rFonts w:ascii="Arial" w:cs="Arial" w:eastAsia="Arial" w:hAnsi="Arial"/>
                <w:sz w:val="29"/>
                <w:szCs w:val="29"/>
                <w:color w:val="auto"/>
                <w:vertAlign w:val="superscript"/>
              </w:rPr>
              <w:t>(1)</w:t>
            </w:r>
          </w:p>
        </w:tc>
        <w:tc>
          <w:tcPr>
            <w:tcW w:w="120" w:type="dxa"/>
            <w:vAlign w:val="bottom"/>
          </w:tcPr>
          <w:p>
            <w:pPr>
              <w:spacing w:after="0"/>
              <w:rPr>
                <w:sz w:val="24"/>
                <w:szCs w:val="24"/>
                <w:color w:val="auto"/>
              </w:rPr>
            </w:pPr>
          </w:p>
        </w:tc>
        <w:tc>
          <w:tcPr>
            <w:tcW w:w="152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17,438,332</w:t>
            </w:r>
          </w:p>
        </w:tc>
        <w:tc>
          <w:tcPr>
            <w:tcW w:w="120" w:type="dxa"/>
            <w:vAlign w:val="bottom"/>
          </w:tcPr>
          <w:p>
            <w:pPr>
              <w:spacing w:after="0"/>
              <w:rPr>
                <w:sz w:val="24"/>
                <w:szCs w:val="24"/>
                <w:color w:val="auto"/>
              </w:rPr>
            </w:pPr>
          </w:p>
        </w:tc>
        <w:tc>
          <w:tcPr>
            <w:tcW w:w="102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303"/>
        </w:trPr>
        <w:tc>
          <w:tcPr>
            <w:tcW w:w="8640" w:type="dxa"/>
            <w:vAlign w:val="bottom"/>
          </w:tcPr>
          <w:p>
            <w:pPr>
              <w:spacing w:after="0" w:line="303"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(2)</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9,161,081</w:t>
            </w:r>
          </w:p>
        </w:tc>
        <w:tc>
          <w:tcPr>
            <w:tcW w:w="1020" w:type="dxa"/>
            <w:vAlign w:val="bottom"/>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8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40" w:type="dxa"/>
            <w:vAlign w:val="bottom"/>
          </w:tcPr>
          <w:p>
            <w:pPr>
              <w:spacing w:after="0" w:line="303" w:lineRule="exact"/>
              <w:rPr>
                <w:sz w:val="20"/>
                <w:szCs w:val="20"/>
                <w:color w:val="auto"/>
              </w:rPr>
            </w:pPr>
            <w:r>
              <w:rPr>
                <w:rFonts w:ascii="Arial" w:cs="Arial" w:eastAsia="Arial" w:hAnsi="Arial"/>
                <w:sz w:val="18"/>
                <w:szCs w:val="18"/>
                <w:color w:val="auto"/>
              </w:rPr>
              <w:t>State Street Corporation</w:t>
            </w:r>
            <w:r>
              <w:rPr>
                <w:rFonts w:ascii="Arial" w:cs="Arial" w:eastAsia="Arial" w:hAnsi="Arial"/>
                <w:sz w:val="29"/>
                <w:szCs w:val="29"/>
                <w:color w:val="auto"/>
                <w:vertAlign w:val="superscript"/>
              </w:rPr>
              <w:t>(3)</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5,609,292</w:t>
            </w:r>
          </w:p>
        </w:tc>
        <w:tc>
          <w:tcPr>
            <w:tcW w:w="102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8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40" w:type="dxa"/>
            <w:vAlign w:val="bottom"/>
          </w:tcPr>
          <w:p>
            <w:pPr>
              <w:spacing w:after="0" w:line="303" w:lineRule="exact"/>
              <w:rPr>
                <w:sz w:val="20"/>
                <w:szCs w:val="20"/>
                <w:color w:val="auto"/>
              </w:rPr>
            </w:pPr>
            <w:r>
              <w:rPr>
                <w:rFonts w:ascii="Arial" w:cs="Arial" w:eastAsia="Arial" w:hAnsi="Arial"/>
                <w:sz w:val="18"/>
                <w:szCs w:val="18"/>
                <w:color w:val="auto"/>
              </w:rPr>
              <w:t>Cohen &amp; Steers, Inc.</w:t>
            </w:r>
            <w:r>
              <w:rPr>
                <w:rFonts w:ascii="Arial" w:cs="Arial" w:eastAsia="Arial" w:hAnsi="Arial"/>
                <w:sz w:val="29"/>
                <w:szCs w:val="29"/>
                <w:color w:val="auto"/>
                <w:vertAlign w:val="superscript"/>
              </w:rPr>
              <w:t>(4)</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4,761,589</w:t>
            </w:r>
          </w:p>
        </w:tc>
        <w:tc>
          <w:tcPr>
            <w:tcW w:w="102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8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40" w:type="dxa"/>
            <w:vAlign w:val="bottom"/>
          </w:tcPr>
          <w:p>
            <w:pPr>
              <w:spacing w:after="0" w:line="303" w:lineRule="exact"/>
              <w:rPr>
                <w:sz w:val="20"/>
                <w:szCs w:val="20"/>
                <w:color w:val="auto"/>
              </w:rPr>
            </w:pPr>
            <w:r>
              <w:rPr>
                <w:rFonts w:ascii="Arial" w:cs="Arial" w:eastAsia="Arial" w:hAnsi="Arial"/>
                <w:sz w:val="18"/>
                <w:szCs w:val="18"/>
                <w:color w:val="auto"/>
              </w:rPr>
              <w:t>John H. Alschuler</w:t>
            </w:r>
            <w:r>
              <w:rPr>
                <w:rFonts w:ascii="Arial" w:cs="Arial" w:eastAsia="Arial" w:hAnsi="Arial"/>
                <w:sz w:val="29"/>
                <w:szCs w:val="29"/>
                <w:color w:val="auto"/>
                <w:vertAlign w:val="superscript"/>
              </w:rPr>
              <w:t>(5)</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28,877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40" w:type="dxa"/>
            <w:vAlign w:val="bottom"/>
          </w:tcPr>
          <w:p>
            <w:pPr>
              <w:spacing w:after="0" w:line="303" w:lineRule="exact"/>
              <w:rPr>
                <w:sz w:val="20"/>
                <w:szCs w:val="20"/>
                <w:color w:val="auto"/>
              </w:rPr>
            </w:pPr>
            <w:r>
              <w:rPr>
                <w:rFonts w:ascii="Arial" w:cs="Arial" w:eastAsia="Arial" w:hAnsi="Arial"/>
                <w:sz w:val="18"/>
                <w:szCs w:val="18"/>
                <w:color w:val="auto"/>
              </w:rPr>
              <w:t>Betsy S. Atkins</w:t>
            </w:r>
            <w:r>
              <w:rPr>
                <w:rFonts w:ascii="Arial" w:cs="Arial" w:eastAsia="Arial" w:hAnsi="Arial"/>
                <w:sz w:val="29"/>
                <w:szCs w:val="29"/>
                <w:color w:val="auto"/>
                <w:vertAlign w:val="superscript"/>
              </w:rPr>
              <w:t>(6)</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8,223</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40" w:type="dxa"/>
            <w:vAlign w:val="bottom"/>
          </w:tcPr>
          <w:p>
            <w:pPr>
              <w:spacing w:after="0" w:line="303" w:lineRule="exact"/>
              <w:rPr>
                <w:sz w:val="20"/>
                <w:szCs w:val="20"/>
                <w:color w:val="auto"/>
              </w:rPr>
            </w:pPr>
            <w:r>
              <w:rPr>
                <w:rFonts w:ascii="Arial" w:cs="Arial" w:eastAsia="Arial" w:hAnsi="Arial"/>
                <w:sz w:val="18"/>
                <w:szCs w:val="18"/>
                <w:color w:val="auto"/>
              </w:rPr>
              <w:t>Edwin Thomas Burton, III</w:t>
            </w:r>
            <w:r>
              <w:rPr>
                <w:rFonts w:ascii="Arial" w:cs="Arial" w:eastAsia="Arial" w:hAnsi="Arial"/>
                <w:sz w:val="29"/>
                <w:szCs w:val="29"/>
                <w:color w:val="auto"/>
                <w:vertAlign w:val="superscript"/>
              </w:rPr>
              <w:t>(7)</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39,512</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40" w:type="dxa"/>
            <w:vAlign w:val="bottom"/>
          </w:tcPr>
          <w:p>
            <w:pPr>
              <w:spacing w:after="0" w:line="303" w:lineRule="exact"/>
              <w:rPr>
                <w:sz w:val="20"/>
                <w:szCs w:val="20"/>
                <w:color w:val="auto"/>
              </w:rPr>
            </w:pPr>
            <w:r>
              <w:rPr>
                <w:rFonts w:ascii="Arial" w:cs="Arial" w:eastAsia="Arial" w:hAnsi="Arial"/>
                <w:sz w:val="18"/>
                <w:szCs w:val="18"/>
                <w:color w:val="auto"/>
              </w:rPr>
              <w:t>Matthew J. DiLiberto</w:t>
            </w:r>
            <w:r>
              <w:rPr>
                <w:rFonts w:ascii="Arial" w:cs="Arial" w:eastAsia="Arial" w:hAnsi="Arial"/>
                <w:sz w:val="29"/>
                <w:szCs w:val="29"/>
                <w:color w:val="auto"/>
                <w:vertAlign w:val="superscript"/>
              </w:rPr>
              <w:t>(8)</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66,934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40" w:type="dxa"/>
            <w:vAlign w:val="bottom"/>
          </w:tcPr>
          <w:p>
            <w:pPr>
              <w:spacing w:after="0" w:line="303" w:lineRule="exact"/>
              <w:rPr>
                <w:sz w:val="20"/>
                <w:szCs w:val="20"/>
                <w:color w:val="auto"/>
              </w:rPr>
            </w:pPr>
            <w:r>
              <w:rPr>
                <w:rFonts w:ascii="Arial" w:cs="Arial" w:eastAsia="Arial" w:hAnsi="Arial"/>
                <w:sz w:val="18"/>
                <w:szCs w:val="18"/>
                <w:color w:val="auto"/>
              </w:rPr>
              <w:t>Lauren B. Dillard</w:t>
            </w:r>
            <w:r>
              <w:rPr>
                <w:rFonts w:ascii="Arial" w:cs="Arial" w:eastAsia="Arial" w:hAnsi="Arial"/>
                <w:sz w:val="29"/>
                <w:szCs w:val="29"/>
                <w:color w:val="auto"/>
                <w:vertAlign w:val="superscript"/>
              </w:rPr>
              <w:t>(9)</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6,673</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40" w:type="dxa"/>
            <w:vAlign w:val="bottom"/>
          </w:tcPr>
          <w:p>
            <w:pPr>
              <w:spacing w:after="0" w:line="303" w:lineRule="exact"/>
              <w:rPr>
                <w:sz w:val="20"/>
                <w:szCs w:val="20"/>
                <w:color w:val="auto"/>
              </w:rPr>
            </w:pPr>
            <w:r>
              <w:rPr>
                <w:rFonts w:ascii="Arial" w:cs="Arial" w:eastAsia="Arial" w:hAnsi="Arial"/>
                <w:sz w:val="18"/>
                <w:szCs w:val="18"/>
                <w:color w:val="auto"/>
              </w:rPr>
              <w:t>Stephen L. Green</w:t>
            </w:r>
            <w:r>
              <w:rPr>
                <w:rFonts w:ascii="Arial" w:cs="Arial" w:eastAsia="Arial" w:hAnsi="Arial"/>
                <w:sz w:val="29"/>
                <w:szCs w:val="29"/>
                <w:color w:val="auto"/>
                <w:vertAlign w:val="superscript"/>
              </w:rPr>
              <w:t>(10)</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927,771</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864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color w:val="auto"/>
              </w:rPr>
              <w:t>Craig M. Hatkoff</w:t>
            </w:r>
          </w:p>
        </w:tc>
        <w:tc>
          <w:tcPr>
            <w:tcW w:w="120" w:type="dxa"/>
            <w:vAlign w:val="bottom"/>
          </w:tcPr>
          <w:p>
            <w:pPr>
              <w:spacing w:after="0"/>
              <w:rPr>
                <w:sz w:val="20"/>
                <w:szCs w:val="20"/>
                <w:color w:val="auto"/>
              </w:rPr>
            </w:pPr>
          </w:p>
        </w:tc>
        <w:tc>
          <w:tcPr>
            <w:tcW w:w="152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0"/>
                <w:szCs w:val="20"/>
                <w:color w:val="auto"/>
              </w:rPr>
            </w:pPr>
          </w:p>
        </w:tc>
        <w:tc>
          <w:tcPr>
            <w:tcW w:w="102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6"/>
        </w:trPr>
        <w:tc>
          <w:tcPr>
            <w:tcW w:w="8640" w:type="dxa"/>
            <w:vAlign w:val="bottom"/>
          </w:tcPr>
          <w:p>
            <w:pPr>
              <w:spacing w:after="0" w:line="306" w:lineRule="exact"/>
              <w:rPr>
                <w:sz w:val="20"/>
                <w:szCs w:val="20"/>
                <w:color w:val="auto"/>
              </w:rPr>
            </w:pPr>
            <w:r>
              <w:rPr>
                <w:rFonts w:ascii="Arial" w:cs="Arial" w:eastAsia="Arial" w:hAnsi="Arial"/>
                <w:sz w:val="18"/>
                <w:szCs w:val="18"/>
                <w:color w:val="auto"/>
              </w:rPr>
              <w:t>Marc Holliday</w:t>
            </w:r>
            <w:r>
              <w:rPr>
                <w:rFonts w:ascii="Arial" w:cs="Arial" w:eastAsia="Arial" w:hAnsi="Arial"/>
                <w:sz w:val="29"/>
                <w:szCs w:val="29"/>
                <w:color w:val="auto"/>
                <w:vertAlign w:val="superscript"/>
              </w:rPr>
              <w:t>(11)</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922,169</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40" w:type="dxa"/>
            <w:vAlign w:val="bottom"/>
          </w:tcPr>
          <w:p>
            <w:pPr>
              <w:spacing w:after="0" w:line="303" w:lineRule="exact"/>
              <w:rPr>
                <w:sz w:val="20"/>
                <w:szCs w:val="20"/>
                <w:color w:val="auto"/>
              </w:rPr>
            </w:pPr>
            <w:r>
              <w:rPr>
                <w:rFonts w:ascii="Arial" w:cs="Arial" w:eastAsia="Arial" w:hAnsi="Arial"/>
                <w:sz w:val="18"/>
                <w:szCs w:val="18"/>
                <w:color w:val="auto"/>
              </w:rPr>
              <w:t>Andrew S. Levine</w:t>
            </w:r>
            <w:r>
              <w:rPr>
                <w:rFonts w:ascii="Arial" w:cs="Arial" w:eastAsia="Arial" w:hAnsi="Arial"/>
                <w:sz w:val="29"/>
                <w:szCs w:val="29"/>
                <w:color w:val="auto"/>
                <w:vertAlign w:val="superscript"/>
              </w:rPr>
              <w:t>(12)</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137,771</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40" w:type="dxa"/>
            <w:vAlign w:val="bottom"/>
          </w:tcPr>
          <w:p>
            <w:pPr>
              <w:spacing w:after="0" w:line="303" w:lineRule="exact"/>
              <w:rPr>
                <w:sz w:val="20"/>
                <w:szCs w:val="20"/>
                <w:color w:val="auto"/>
              </w:rPr>
            </w:pPr>
            <w:r>
              <w:rPr>
                <w:rFonts w:ascii="Arial" w:cs="Arial" w:eastAsia="Arial" w:hAnsi="Arial"/>
                <w:sz w:val="18"/>
                <w:szCs w:val="18"/>
                <w:color w:val="auto"/>
              </w:rPr>
              <w:t>John S. Levy</w:t>
            </w:r>
            <w:r>
              <w:rPr>
                <w:rFonts w:ascii="Arial" w:cs="Arial" w:eastAsia="Arial" w:hAnsi="Arial"/>
                <w:sz w:val="29"/>
                <w:szCs w:val="29"/>
                <w:color w:val="auto"/>
                <w:vertAlign w:val="superscript"/>
              </w:rPr>
              <w:t>(13)</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73,113</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40" w:type="dxa"/>
            <w:vAlign w:val="bottom"/>
          </w:tcPr>
          <w:p>
            <w:pPr>
              <w:spacing w:after="0" w:line="303" w:lineRule="exact"/>
              <w:rPr>
                <w:sz w:val="20"/>
                <w:szCs w:val="20"/>
                <w:color w:val="auto"/>
              </w:rPr>
            </w:pPr>
            <w:r>
              <w:rPr>
                <w:rFonts w:ascii="Arial" w:cs="Arial" w:eastAsia="Arial" w:hAnsi="Arial"/>
                <w:sz w:val="18"/>
                <w:szCs w:val="18"/>
                <w:color w:val="auto"/>
              </w:rPr>
              <w:t>Andrew Mathias</w:t>
            </w:r>
            <w:r>
              <w:rPr>
                <w:rFonts w:ascii="Arial" w:cs="Arial" w:eastAsia="Arial" w:hAnsi="Arial"/>
                <w:sz w:val="29"/>
                <w:szCs w:val="29"/>
                <w:color w:val="auto"/>
                <w:vertAlign w:val="superscript"/>
              </w:rPr>
              <w:t>(14)</w:t>
            </w:r>
          </w:p>
        </w:tc>
        <w:tc>
          <w:tcPr>
            <w:tcW w:w="12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1,082,189</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40" w:type="dxa"/>
            <w:vAlign w:val="bottom"/>
            <w:tcBorders>
              <w:top w:val="single" w:sz="8" w:color="8590A9"/>
              <w:bottom w:val="single" w:sz="8" w:color="345988"/>
            </w:tcBorders>
          </w:tcPr>
          <w:p>
            <w:pPr>
              <w:spacing w:after="0"/>
              <w:rPr>
                <w:sz w:val="20"/>
                <w:szCs w:val="20"/>
                <w:color w:val="auto"/>
              </w:rPr>
            </w:pPr>
            <w:r>
              <w:rPr>
                <w:rFonts w:ascii="Arial" w:cs="Arial" w:eastAsia="Arial" w:hAnsi="Arial"/>
                <w:sz w:val="18"/>
                <w:szCs w:val="18"/>
                <w:color w:val="auto"/>
              </w:rPr>
              <w:t>All Directors and Executive Officers as a Group (11 Persons)</w:t>
            </w:r>
          </w:p>
        </w:tc>
        <w:tc>
          <w:tcPr>
            <w:tcW w:w="120" w:type="dxa"/>
            <w:vAlign w:val="bottom"/>
          </w:tcPr>
          <w:p>
            <w:pPr>
              <w:spacing w:after="0"/>
              <w:rPr>
                <w:sz w:val="21"/>
                <w:szCs w:val="21"/>
                <w:color w:val="auto"/>
              </w:rPr>
            </w:pPr>
          </w:p>
        </w:tc>
        <w:tc>
          <w:tcPr>
            <w:tcW w:w="1520" w:type="dxa"/>
            <w:vAlign w:val="bottom"/>
            <w:tcBorders>
              <w:top w:val="single" w:sz="8" w:color="8590A9"/>
              <w:bottom w:val="single" w:sz="8" w:color="345988"/>
            </w:tcBorders>
          </w:tcPr>
          <w:p>
            <w:pPr>
              <w:jc w:val="right"/>
              <w:spacing w:after="0"/>
              <w:rPr>
                <w:sz w:val="20"/>
                <w:szCs w:val="20"/>
                <w:color w:val="auto"/>
              </w:rPr>
            </w:pPr>
            <w:r>
              <w:rPr>
                <w:rFonts w:ascii="Arial" w:cs="Arial" w:eastAsia="Arial" w:hAnsi="Arial"/>
                <w:sz w:val="18"/>
                <w:szCs w:val="18"/>
                <w:color w:val="auto"/>
              </w:rPr>
              <w:t>3,294,598</w:t>
            </w:r>
          </w:p>
        </w:tc>
        <w:tc>
          <w:tcPr>
            <w:tcW w:w="120" w:type="dxa"/>
            <w:vAlign w:val="bottom"/>
          </w:tcPr>
          <w:p>
            <w:pPr>
              <w:spacing w:after="0"/>
              <w:rPr>
                <w:sz w:val="21"/>
                <w:szCs w:val="21"/>
                <w:color w:val="auto"/>
              </w:rPr>
            </w:pPr>
          </w:p>
        </w:tc>
        <w:tc>
          <w:tcPr>
            <w:tcW w:w="1020" w:type="dxa"/>
            <w:vAlign w:val="bottom"/>
            <w:tcBorders>
              <w:top w:val="single" w:sz="8" w:color="8590A9"/>
              <w:bottom w:val="single" w:sz="8" w:color="345988"/>
            </w:tcBorders>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60" w:hanging="352"/>
        <w:spacing w:after="0"/>
        <w:tabs>
          <w:tab w:leader="none" w:pos="3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107" w:lineRule="exact"/>
        <w:rPr>
          <w:sz w:val="20"/>
          <w:szCs w:val="20"/>
          <w:color w:val="auto"/>
        </w:rPr>
      </w:pPr>
    </w:p>
    <w:p>
      <w:pPr>
        <w:ind w:left="360" w:hanging="352"/>
        <w:spacing w:after="0"/>
        <w:tabs>
          <w:tab w:leader="none" w:pos="3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Unless otherwise indicated, the business address is 420 Lexington Avenue, New York, New York 10170-1881.</w:t>
      </w:r>
    </w:p>
    <w:p>
      <w:pPr>
        <w:spacing w:after="0" w:line="107" w:lineRule="exact"/>
        <w:rPr>
          <w:sz w:val="20"/>
          <w:szCs w:val="20"/>
          <w:color w:val="auto"/>
        </w:rPr>
      </w:pPr>
    </w:p>
    <w:p>
      <w:pPr>
        <w:ind w:left="360" w:right="40" w:hanging="352"/>
        <w:spacing w:after="0" w:line="246" w:lineRule="auto"/>
        <w:tabs>
          <w:tab w:leader="none" w:pos="3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Based on information provided on a Schedule 13G/A filed with the SEC on February 12, 2018, as of December 31, 2017, The Vanguard Group (“Vanguard”) may be deemed to beneficially own an aggregate of 17,438,332 shares of our common stock in its capacity as an investment advisor, which includes 107,282 shares of our common stock held by Vanguard Fiduciary Trust Company as a result of its serving as investment manager of collective trust accounts and 306,097 shares of our common stock held by Vanguard Investments Australia, Ltd. as a result of its serving as investment manager of Australian investment offerings. The business address of Vanguard is 100 Vanguard Blvd., Malvern, PA 19355. According to information received from Vanguard, the number of shares reported as beneficially owned by Vanguard in such Schedule 13G/A includes 6,663,725 shares, representing 7.38% of our outstanding common stock, that Vanguard Specialized Funds—Vanguard REIT Index Fund separately reported as beneficially owned in a Schedule 13G/A filed on February 2, 2018 with the SEC.</w:t>
      </w:r>
    </w:p>
    <w:p>
      <w:pPr>
        <w:spacing w:after="0" w:line="225" w:lineRule="exact"/>
        <w:rPr>
          <w:rFonts w:ascii="Arial" w:cs="Arial" w:eastAsia="Arial" w:hAnsi="Arial"/>
          <w:sz w:val="13"/>
          <w:szCs w:val="13"/>
          <w:color w:val="auto"/>
        </w:rPr>
      </w:pPr>
    </w:p>
    <w:p>
      <w:pPr>
        <w:ind w:left="360" w:right="100" w:hanging="352"/>
        <w:spacing w:after="0" w:line="286" w:lineRule="auto"/>
        <w:tabs>
          <w:tab w:leader="none" w:pos="3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Based on information provided on a Schedule 13G/A filed with the SEC on March 8, 2018, as of February 28, 2018, BlackRock, Inc. may be deemed to beneficially own an aggregate of 9,161,081 shares of our common stock. The business address for BlackRock is 55 East 52nd Street, New York, NY 10022.</w:t>
      </w:r>
    </w:p>
    <w:p>
      <w:pPr>
        <w:spacing w:after="0" w:line="47" w:lineRule="exact"/>
        <w:rPr>
          <w:rFonts w:ascii="Arial" w:cs="Arial" w:eastAsia="Arial" w:hAnsi="Arial"/>
          <w:sz w:val="13"/>
          <w:szCs w:val="13"/>
          <w:color w:val="auto"/>
        </w:rPr>
      </w:pPr>
    </w:p>
    <w:p>
      <w:pPr>
        <w:ind w:left="360" w:right="180" w:hanging="352"/>
        <w:spacing w:after="0" w:line="286" w:lineRule="auto"/>
        <w:tabs>
          <w:tab w:leader="none" w:pos="3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Based on information provided on a Schedule 13G filed with the SEC on February 14, 2018, as of December 31, 2017, State Street Corporation may be deemed to beneficially own an aggregate of 5,609,292 shares of our common stock. The business address for State Street is One Lincoln Street, Boston, MA 02111.</w:t>
      </w:r>
    </w:p>
    <w:p>
      <w:pPr>
        <w:spacing w:after="0" w:line="47" w:lineRule="exact"/>
        <w:rPr>
          <w:rFonts w:ascii="Arial" w:cs="Arial" w:eastAsia="Arial" w:hAnsi="Arial"/>
          <w:sz w:val="13"/>
          <w:szCs w:val="13"/>
          <w:color w:val="auto"/>
        </w:rPr>
      </w:pPr>
    </w:p>
    <w:p>
      <w:pPr>
        <w:ind w:left="360" w:right="160" w:hanging="352"/>
        <w:spacing w:after="0" w:line="254" w:lineRule="auto"/>
        <w:tabs>
          <w:tab w:leader="none" w:pos="3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Based on information provided on a Schedule 13G/A filed with the SEC on December 11, 2017, as of November 30, 2017, Cohen &amp; Steers, Inc., Cohen &amp; Steers Capital Management, Inc. and Cohen &amp; Steers UK Ltd., collectively, may be deemed to beneficially own an aggregate of 4,761,589 shares of our common stock. The business address for Cohen &amp; Steers, Inc. and Cohen &amp; Steers Capital Management, Inc. is 280 Park Avenue, 10th Floor, New York, NY 10017. The business address for Cohen &amp; Steers UK Ltd. is 50 Pall Mall, 4th Floor, London, United Kingdom SW1Y 5JH.</w:t>
      </w:r>
    </w:p>
    <w:p>
      <w:pPr>
        <w:spacing w:after="0" w:line="173" w:lineRule="exact"/>
        <w:rPr>
          <w:sz w:val="20"/>
          <w:szCs w:val="20"/>
          <w:color w:val="auto"/>
        </w:rPr>
      </w:pPr>
    </w:p>
    <w:p>
      <w:pPr>
        <w:ind w:left="300" w:hanging="292"/>
        <w:spacing w:after="0"/>
        <w:tabs>
          <w:tab w:leader="none" w:pos="300" w:val="left"/>
        </w:tabs>
        <w:numPr>
          <w:ilvl w:val="0"/>
          <w:numId w:val="137"/>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STOCK OWNERSHIP INFORMATION</w:t>
      </w:r>
    </w:p>
    <w:p>
      <w:pPr>
        <w:spacing w:after="0" w:line="213" w:lineRule="exact"/>
        <w:rPr>
          <w:sz w:val="20"/>
          <w:szCs w:val="20"/>
          <w:color w:val="auto"/>
        </w:rPr>
      </w:pPr>
    </w:p>
    <w:p>
      <w:pPr>
        <w:ind w:left="440" w:hanging="432"/>
        <w:spacing w:after="0"/>
        <w:tabs>
          <w:tab w:leader="none" w:pos="4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Includes 14,500 shares of our common stock subject to options exercisable within 60 days of March 31, 2018 and 13,591 phantom units.</w:t>
      </w:r>
    </w:p>
    <w:p>
      <w:pPr>
        <w:spacing w:after="0" w:line="106" w:lineRule="exact"/>
        <w:rPr>
          <w:rFonts w:ascii="Arial" w:cs="Arial" w:eastAsia="Arial" w:hAnsi="Arial"/>
          <w:sz w:val="13"/>
          <w:szCs w:val="13"/>
          <w:color w:val="auto"/>
        </w:rPr>
      </w:pPr>
    </w:p>
    <w:p>
      <w:pPr>
        <w:ind w:left="440" w:hanging="432"/>
        <w:spacing w:after="0"/>
        <w:tabs>
          <w:tab w:leader="none" w:pos="4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Includes 1,753 phantom units.</w:t>
      </w:r>
    </w:p>
    <w:p>
      <w:pPr>
        <w:spacing w:after="0" w:line="106" w:lineRule="exact"/>
        <w:rPr>
          <w:rFonts w:ascii="Arial" w:cs="Arial" w:eastAsia="Arial" w:hAnsi="Arial"/>
          <w:sz w:val="13"/>
          <w:szCs w:val="13"/>
          <w:color w:val="auto"/>
        </w:rPr>
      </w:pPr>
    </w:p>
    <w:p>
      <w:pPr>
        <w:ind w:left="440" w:hanging="432"/>
        <w:spacing w:after="0"/>
        <w:tabs>
          <w:tab w:leader="none" w:pos="4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Includes 35,434 phantom units.</w:t>
      </w:r>
    </w:p>
    <w:p>
      <w:pPr>
        <w:spacing w:after="0" w:line="106" w:lineRule="exact"/>
        <w:rPr>
          <w:rFonts w:ascii="Arial" w:cs="Arial" w:eastAsia="Arial" w:hAnsi="Arial"/>
          <w:sz w:val="13"/>
          <w:szCs w:val="13"/>
          <w:color w:val="auto"/>
        </w:rPr>
      </w:pPr>
    </w:p>
    <w:p>
      <w:pPr>
        <w:ind w:left="440" w:right="40" w:hanging="432"/>
        <w:spacing w:after="0" w:line="254" w:lineRule="auto"/>
        <w:tabs>
          <w:tab w:leader="none" w:pos="4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Includes 10,000 shares of our common stock subject to options exercisable within 60 days of March 31, 2018 and 55,469 LTIP units convertible into limited partnership units in SL Green Operating Partnership, L.P. (“OP Units”) within 60 days of March 31, 2018. The total excludes LTIP units that remain subject to performance-based vesting conditions, 15,000 LTIP units that remain subject to time-based vesting conditions, 20,000 Class O LTIP units that remain subject to time-based vesting conditions and 7,265 vested LTIP units that are not convertible into OP Units within 60 days of March 31, 2018.</w:t>
      </w:r>
    </w:p>
    <w:p>
      <w:pPr>
        <w:spacing w:after="0" w:line="67" w:lineRule="exact"/>
        <w:rPr>
          <w:rFonts w:ascii="Arial" w:cs="Arial" w:eastAsia="Arial" w:hAnsi="Arial"/>
          <w:sz w:val="13"/>
          <w:szCs w:val="13"/>
          <w:color w:val="auto"/>
        </w:rPr>
      </w:pPr>
    </w:p>
    <w:p>
      <w:pPr>
        <w:ind w:left="440" w:hanging="432"/>
        <w:spacing w:after="0"/>
        <w:tabs>
          <w:tab w:leader="none" w:pos="4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Includes 6,673 phantom units.</w:t>
      </w:r>
    </w:p>
    <w:p>
      <w:pPr>
        <w:spacing w:after="0" w:line="106" w:lineRule="exact"/>
        <w:rPr>
          <w:rFonts w:ascii="Arial" w:cs="Arial" w:eastAsia="Arial" w:hAnsi="Arial"/>
          <w:sz w:val="13"/>
          <w:szCs w:val="13"/>
          <w:color w:val="auto"/>
        </w:rPr>
      </w:pPr>
    </w:p>
    <w:p>
      <w:pPr>
        <w:ind w:left="440" w:right="20" w:hanging="432"/>
        <w:spacing w:after="0" w:line="262" w:lineRule="auto"/>
        <w:tabs>
          <w:tab w:leader="none" w:pos="4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Includes 786,645 OP Units and 141,126 vested LTIP units convertible into OP Units within 60 days of March 31, 2018 held by the Stephen L. Green Revocable Trust. The total excludes LTIP units that remain subject to performance-based vesting conditions, 16,146 vested LTIP units that are not convertible into OP Units within 60 days of March 31, 2018 held by the Stephen L. Green Revocable Trust.</w:t>
      </w:r>
    </w:p>
    <w:p>
      <w:pPr>
        <w:spacing w:after="0" w:line="62" w:lineRule="exact"/>
        <w:rPr>
          <w:rFonts w:ascii="Arial" w:cs="Arial" w:eastAsia="Arial" w:hAnsi="Arial"/>
          <w:sz w:val="13"/>
          <w:szCs w:val="13"/>
          <w:color w:val="auto"/>
        </w:rPr>
      </w:pPr>
    </w:p>
    <w:p>
      <w:pPr>
        <w:ind w:left="440" w:right="20" w:hanging="432"/>
        <w:spacing w:after="0" w:line="254" w:lineRule="auto"/>
        <w:tabs>
          <w:tab w:leader="none" w:pos="4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Includes 205,000 shares of our common stock subject to options exercisable within 60 days of March 31, 2018 and 706,134 LTIP units convertible into OP Units within 60 days of March 31, 2018. The total excludes LTIP units that remain subject to performance-based vesting conditions, 105,000 Class O LTIP units that remain subject to time-based vesting conditions and 236,137 vested LTIP units that are not convertible into OP Units within 60 days of March 31, 2018. Mr. Holliday also beneficially owns 96,780 shares of our Series I preferred stock, which represents 1.05% of our standing Series I preferred stock. This percentage is based on 9,200,000 shares of Series I preferred stock outstanding as of March 31, 2018.</w:t>
      </w:r>
    </w:p>
    <w:p>
      <w:pPr>
        <w:spacing w:after="0" w:line="67" w:lineRule="exact"/>
        <w:rPr>
          <w:rFonts w:ascii="Arial" w:cs="Arial" w:eastAsia="Arial" w:hAnsi="Arial"/>
          <w:sz w:val="13"/>
          <w:szCs w:val="13"/>
          <w:color w:val="auto"/>
        </w:rPr>
      </w:pPr>
    </w:p>
    <w:p>
      <w:pPr>
        <w:ind w:left="440" w:right="160" w:hanging="432"/>
        <w:spacing w:after="0" w:line="250" w:lineRule="auto"/>
        <w:tabs>
          <w:tab w:leader="none" w:pos="4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Includes 22,500 shares of our common stock subject to options exercisable within 60 days of March 31, 2018 and 99,550 LTIP units convertible into OP Units within 60 days of March 31, 2018. The total excludes LTIP units that remain subject to performance-based vesting conditions, 6,000 LTIP units that remain subject to time-based vesting conditions, 20,000 Class O LTIP units that remain subject to time-based vesting conditions and 27,936 vested LTIP units that are not convertible into OP Units within 60 days of March 31, 2018. Mr. Levine also beneficially owns 5,000 shares of our Series I preferred stock, which represents less than 1% of our standing Series I preferred stock. This percentage is based on 9,200,000 shares of Series I preferred stock outstanding as of March 31, 2018.</w:t>
      </w:r>
    </w:p>
    <w:p>
      <w:pPr>
        <w:spacing w:after="0" w:line="70" w:lineRule="exact"/>
        <w:rPr>
          <w:rFonts w:ascii="Arial" w:cs="Arial" w:eastAsia="Arial" w:hAnsi="Arial"/>
          <w:sz w:val="13"/>
          <w:szCs w:val="13"/>
          <w:color w:val="auto"/>
        </w:rPr>
      </w:pPr>
    </w:p>
    <w:p>
      <w:pPr>
        <w:ind w:left="440" w:hanging="432"/>
        <w:spacing w:after="0"/>
        <w:tabs>
          <w:tab w:leader="none" w:pos="4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Includes 20,500 shares of our common stock subject to options exercisable within 60 days of March 31, 2018 and 52,613 phantom units.</w:t>
      </w:r>
    </w:p>
    <w:p>
      <w:pPr>
        <w:spacing w:after="0" w:line="106" w:lineRule="exact"/>
        <w:rPr>
          <w:rFonts w:ascii="Arial" w:cs="Arial" w:eastAsia="Arial" w:hAnsi="Arial"/>
          <w:sz w:val="13"/>
          <w:szCs w:val="13"/>
          <w:color w:val="auto"/>
        </w:rPr>
      </w:pPr>
    </w:p>
    <w:p>
      <w:pPr>
        <w:ind w:left="440" w:right="20" w:hanging="432"/>
        <w:spacing w:after="0" w:line="262" w:lineRule="auto"/>
        <w:tabs>
          <w:tab w:leader="none" w:pos="4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Includes 130,000 shares of our common stock subject to options exercisable within 60 days of March 31, 2018 and 662,090 LTIP units convertible into OP Units within 60 days of March 31, 2018. The total excludes LTIP units that remain subject to performance-based vesting conditions, 56,000 LTIP units that remain subject to time-based vesting conditions and 144,720 vested LTIP units that are not convertible into OP Units within 60 days of March 31, 2018.</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2018 Proxy Statement </w:t>
      </w:r>
      <w:r>
        <w:rPr>
          <w:rFonts w:ascii="Arial" w:cs="Arial" w:eastAsia="Arial" w:hAnsi="Arial"/>
          <w:sz w:val="18"/>
          <w:szCs w:val="18"/>
          <w:color w:val="325889"/>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CERTAIN RELATIONSHIPS AND RELATED PARTY TRANSACTIONS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Policies and Procedures With Respect to Related Party Transactions</w:t>
      </w:r>
    </w:p>
    <w:p>
      <w:pPr>
        <w:spacing w:after="0" w:line="214" w:lineRule="exact"/>
        <w:rPr>
          <w:sz w:val="20"/>
          <w:szCs w:val="20"/>
          <w:color w:val="auto"/>
        </w:rPr>
      </w:pPr>
    </w:p>
    <w:p>
      <w:pPr>
        <w:jc w:val="both"/>
        <w:ind w:right="480"/>
        <w:spacing w:after="0" w:line="251" w:lineRule="auto"/>
        <w:rPr>
          <w:sz w:val="20"/>
          <w:szCs w:val="20"/>
          <w:color w:val="auto"/>
        </w:rPr>
      </w:pPr>
      <w:r>
        <w:rPr>
          <w:rFonts w:ascii="Arial" w:cs="Arial" w:eastAsia="Arial" w:hAnsi="Arial"/>
          <w:sz w:val="18"/>
          <w:szCs w:val="18"/>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17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18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1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 are disclosed in our SEC filings.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One Vanderbilt Investment</w:t>
      </w:r>
    </w:p>
    <w:p>
      <w:pPr>
        <w:spacing w:after="0" w:line="21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In December 2016, we entered into agreements with entities owned and controlled by Messrs. Holliday and Mathias, pursuant to which they agreed to make an investment in our One Vanderbilt project at appraised fair market value for the interests acquired. We entered into these agreements in order to further strengthen the alignment of the interests of Messrs. Holliday and Mathias with those of our company in the successful completion and stabilization of this long-term project.</w:t>
      </w:r>
    </w:p>
    <w:p>
      <w:pPr>
        <w:spacing w:after="0" w:line="17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Pursuant to these agreements, the entities owned and controlled by Messrs. Holliday and Mathias agreed to purchase interests in the One Vanderbilt project that will entitle them to receive approximately 1.50% – 1.80% and 1.00% – 1.20%, respectively, of the profit generated from this project in excess of capital contributions. Fifty percent of these interests were purchased on December 31, 2016 and the remaining fifty percent were purchased on December 31, 2017. The entities owned and controlled by Messrs. Holliday and Mathias paid $1,440,000 and $960,000, respectively, which equals the fair market value of the interests acquired as of the date the investment agreements were entered into as determined by an independent third party appraisal that we obtained.</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entities owned and controlled by Messrs. Holliday and Mathias cannot monetize their interests until after the stabilization of the project, estimated to occur in 2023. Thereafter, such entities may require us to repurchase 50% of the interests within three years after stabilization and 100% following such period. In addition, the agreement calls for us to repurchase these interests in the event of a sale of One Vanderbilt or a transactional change of control of our company. We also have the right to repurchase these interests on the seven-year anniversary of the stabilization of the project or, prior to the stabilization of the project, upon the occurrence of certain separation events relating to each of Messrs. Holliday’s and Mathias’s continued service with us. The price paid upon an exercise of the various rights described above will equal the liquidation value of the interests at the time, with the value of One Vanderbilt being based on its sale price, if applicable, or fair market value as determined by an independent third party appraiser. Messrs. Holliday and Mathias generally have the right to elect whether to receive any amounts paid upon the repurchase of these interests in cash or common units of our operating partnership. In addition, upon the exercise of the rights described above, we may elect to pay the purchase price in shares of our common stock in lieu of paying in cash, subject to a cap on the maximum number of common units and shares of our common stock that we will be required to pay in these circumstances. We have agreed to provide resale registration rights to the entities owned and controlled by Messrs. Holliday and Mathias for any shares of our common stock that are issued.</w:t>
      </w:r>
    </w:p>
    <w:p>
      <w:pPr>
        <w:spacing w:after="0" w:line="364" w:lineRule="exact"/>
        <w:rPr>
          <w:sz w:val="20"/>
          <w:szCs w:val="20"/>
          <w:color w:val="auto"/>
        </w:rPr>
      </w:pPr>
    </w:p>
    <w:p>
      <w:pPr>
        <w:ind w:left="300" w:hanging="292"/>
        <w:spacing w:after="0"/>
        <w:tabs>
          <w:tab w:leader="none" w:pos="300" w:val="left"/>
        </w:tabs>
        <w:numPr>
          <w:ilvl w:val="0"/>
          <w:numId w:val="139"/>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5940"/>
        <w:spacing w:after="0"/>
        <w:rPr>
          <w:sz w:val="20"/>
          <w:szCs w:val="20"/>
          <w:color w:val="auto"/>
        </w:rPr>
      </w:pPr>
      <w:r>
        <w:rPr>
          <w:rFonts w:ascii="Arial" w:cs="Arial" w:eastAsia="Arial" w:hAnsi="Arial"/>
          <w:sz w:val="16"/>
          <w:szCs w:val="16"/>
          <w:u w:val="single" w:color="auto"/>
          <w:color w:val="345988"/>
        </w:rPr>
        <w:t>CERTAIN RELATIONSHIPS AND RELATED PARTY TRANSACTIONS</w:t>
      </w:r>
    </w:p>
    <w:p>
      <w:pPr>
        <w:spacing w:after="0" w:line="23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In accordance with our policies and procedures with respect to related party transactions described above, this investment was reviewed in detail and approved by our Nominating and Corporate Governance Committee. In addition, this investment was also reviewed by the Chairman of the Board, our Lead Independent Director and the Chair of our Audit Committee as well as the other members of the Board and was approved by the Board as well as our Nominating and Corporate Governance Committee.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Cleaning/Security/Messenger and Restoration Services</w:t>
      </w:r>
    </w:p>
    <w:p>
      <w:pPr>
        <w:spacing w:after="0" w:line="2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partially owned by Gary Green, a son of Stephen L. Green, the chairman of the Board. In addition, First Quality has the non-exclusive opportunity to provide cleaning and related services to individual tenants at our properties on a basis separately negotiated with any tenant seeking such additional services. A subsidiary through which we realize income from management, leasing and construction contracts with third parties and joint venture properties has entered into an arrangement with Alliance whereby it will receive profit participation above a certain threshold for services provided by Alliance to certain tenants at certain buildings above the base services specified in their lease agreements. Income earned from profit participation was approximately $3.9 million, $3.5 million and $3.8 million for the years ended December 31, 2017, 2016 and 2015, respectively. We also recorded expenses of approximately $22.6 million, $23.4 million and $21.3 million for the years ended December 31, 2017, 2016 and 2015, respectively, for these services (excluding services provided directly to tenants).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Management Fees</w:t>
      </w:r>
    </w:p>
    <w:p>
      <w:pPr>
        <w:spacing w:after="0" w:line="21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S.L. Green Management Corp., a consolidated entity, receives property management fees from an entity in which Stephen L. Green owns an interest. We received management fees from such entity of approximately $0.5 million, $0.7 million and $0.5 million for the years ended December 31, 2017, 2016 and 2015,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Marketing Services</w:t>
      </w:r>
    </w:p>
    <w:p>
      <w:pPr>
        <w:spacing w:after="0" w:line="21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A-List Marketing, LLC, or A-List, provided marketing services to us. Deena Wolff, a sister of Marc Holliday, our Chief Executive Officer, is the founder of A-List. We recorded expenses of approximately $0.3 million for each of the years ended December 31, 2017, 2016 and 2015, for these services.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Other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Amounts due from related parties at December 31, 2017 and 2016 consisted of the following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345988"/>
              </w:rPr>
              <w:t>2017</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345988"/>
              </w:rPr>
              <w:t>2016</w:t>
            </w:r>
          </w:p>
        </w:tc>
      </w:tr>
      <w:tr>
        <w:trPr>
          <w:trHeight w:val="38"/>
        </w:trPr>
        <w:tc>
          <w:tcPr>
            <w:tcW w:w="952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40"/>
        </w:trPr>
        <w:tc>
          <w:tcPr>
            <w:tcW w:w="940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auto"/>
              </w:rPr>
              <w:t>Due from joint ventures</w:t>
            </w:r>
          </w:p>
        </w:tc>
        <w:tc>
          <w:tcPr>
            <w:tcW w:w="120" w:type="dxa"/>
            <w:vAlign w:val="bottom"/>
          </w:tcPr>
          <w:p>
            <w:pPr>
              <w:spacing w:after="0"/>
              <w:rPr>
                <w:sz w:val="20"/>
                <w:szCs w:val="20"/>
                <w:color w:val="auto"/>
              </w:rPr>
            </w:pPr>
          </w:p>
        </w:tc>
        <w:tc>
          <w:tcPr>
            <w:tcW w:w="240" w:type="dxa"/>
            <w:vAlign w:val="bottom"/>
            <w:tcBorders>
              <w:top w:val="single" w:sz="8" w:color="345988"/>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15,025</w:t>
            </w:r>
          </w:p>
        </w:tc>
        <w:tc>
          <w:tcPr>
            <w:tcW w:w="140" w:type="dxa"/>
            <w:vAlign w:val="bottom"/>
          </w:tcPr>
          <w:p>
            <w:pPr>
              <w:spacing w:after="0"/>
              <w:rPr>
                <w:sz w:val="20"/>
                <w:szCs w:val="20"/>
                <w:color w:val="auto"/>
              </w:rPr>
            </w:pPr>
          </w:p>
        </w:tc>
        <w:tc>
          <w:tcPr>
            <w:tcW w:w="220" w:type="dxa"/>
            <w:vAlign w:val="bottom"/>
            <w:tcBorders>
              <w:top w:val="single" w:sz="8" w:color="345988"/>
              <w:bottom w:val="single" w:sz="8" w:color="8590A9"/>
            </w:tcBorders>
          </w:tcPr>
          <w:p>
            <w:pPr>
              <w:jc w:val="right"/>
              <w:ind w:right="6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1,240</w:t>
            </w:r>
          </w:p>
        </w:tc>
      </w:tr>
      <w:tr>
        <w:trPr>
          <w:trHeight w:val="236"/>
        </w:trPr>
        <w:tc>
          <w:tcPr>
            <w:tcW w:w="94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240" w:type="dxa"/>
            <w:vAlign w:val="bottom"/>
            <w:tcBorders>
              <w:bottom w:val="single" w:sz="8" w:color="8590A9"/>
            </w:tcBorders>
          </w:tcPr>
          <w:p>
            <w:pPr>
              <w:spacing w:after="0"/>
              <w:rPr>
                <w:sz w:val="20"/>
                <w:szCs w:val="20"/>
                <w:color w:val="auto"/>
              </w:rPr>
            </w:pPr>
          </w:p>
        </w:tc>
        <w:tc>
          <w:tcPr>
            <w:tcW w:w="6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8,014</w:t>
            </w:r>
          </w:p>
        </w:tc>
        <w:tc>
          <w:tcPr>
            <w:tcW w:w="140" w:type="dxa"/>
            <w:vAlign w:val="bottom"/>
          </w:tcPr>
          <w:p>
            <w:pPr>
              <w:spacing w:after="0"/>
              <w:rPr>
                <w:sz w:val="20"/>
                <w:szCs w:val="20"/>
                <w:color w:val="auto"/>
              </w:rPr>
            </w:pPr>
          </w:p>
        </w:tc>
        <w:tc>
          <w:tcPr>
            <w:tcW w:w="220" w:type="dxa"/>
            <w:vAlign w:val="bottom"/>
            <w:tcBorders>
              <w:bottom w:val="single" w:sz="8" w:color="8590A9"/>
            </w:tcBorders>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14,616</w:t>
            </w:r>
          </w:p>
        </w:tc>
      </w:tr>
      <w:tr>
        <w:trPr>
          <w:trHeight w:val="246"/>
        </w:trPr>
        <w:tc>
          <w:tcPr>
            <w:tcW w:w="940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Related party receivables</w:t>
            </w:r>
          </w:p>
        </w:tc>
        <w:tc>
          <w:tcPr>
            <w:tcW w:w="120" w:type="dxa"/>
            <w:vAlign w:val="bottom"/>
          </w:tcPr>
          <w:p>
            <w:pPr>
              <w:spacing w:after="0"/>
              <w:rPr>
                <w:sz w:val="21"/>
                <w:szCs w:val="21"/>
                <w:color w:val="auto"/>
              </w:rPr>
            </w:pPr>
          </w:p>
        </w:tc>
        <w:tc>
          <w:tcPr>
            <w:tcW w:w="240" w:type="dxa"/>
            <w:vAlign w:val="bottom"/>
            <w:tcBorders>
              <w:bottom w:val="single" w:sz="8" w:color="345988"/>
            </w:tcBorders>
          </w:tcPr>
          <w:p>
            <w:pPr>
              <w:jc w:val="right"/>
              <w:ind w:right="5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23,039</w:t>
            </w:r>
          </w:p>
        </w:tc>
        <w:tc>
          <w:tcPr>
            <w:tcW w:w="140" w:type="dxa"/>
            <w:vAlign w:val="bottom"/>
          </w:tcPr>
          <w:p>
            <w:pPr>
              <w:spacing w:after="0"/>
              <w:rPr>
                <w:sz w:val="21"/>
                <w:szCs w:val="21"/>
                <w:color w:val="auto"/>
              </w:rPr>
            </w:pPr>
          </w:p>
        </w:tc>
        <w:tc>
          <w:tcPr>
            <w:tcW w:w="220" w:type="dxa"/>
            <w:vAlign w:val="bottom"/>
            <w:tcBorders>
              <w:bottom w:val="single" w:sz="8" w:color="345988"/>
            </w:tcBorders>
          </w:tcPr>
          <w:p>
            <w:pPr>
              <w:jc w:val="right"/>
              <w:ind w:right="6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15,856</w:t>
            </w:r>
          </w:p>
        </w:tc>
      </w:tr>
    </w:tbl>
    <w:p>
      <w:pPr>
        <w:spacing w:after="0" w:line="197"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 xml:space="preserve">2018 Proxy Statement </w:t>
      </w:r>
      <w:r>
        <w:rPr>
          <w:rFonts w:ascii="Arial" w:cs="Arial" w:eastAsia="Arial" w:hAnsi="Arial"/>
          <w:sz w:val="16"/>
          <w:szCs w:val="16"/>
          <w:color w:val="325889"/>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821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OTHER INFORMATION</w:t>
      </w:r>
    </w:p>
    <w:p>
      <w:pPr>
        <w:spacing w:after="0" w:line="248"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These proxy materials are being made available in connection with the solicitation of proxies by the Board of Directors, or the Board, of SL Green Realty Corp., a Maryland corporation, for use at our 2018 annual meeting of stockholders to be held on Thursday, May 31, 2018 at 10:00 a.m., local time, at the Andaz Hotel, 485 5th Avenue (at 41st Street), 2nd Floor, New York, NY 10017, or at any postponement or adjournment of the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Who is entitled to vote at the annual meeting?</w:t>
      </w:r>
    </w:p>
    <w:p>
      <w:pPr>
        <w:spacing w:after="0" w:line="21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Holders of record of our common stock, $0.01 par value per share, at the close of business on March 29, 2018,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What is the purpose of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you will be asked to vote on the following proposals:</w:t>
      </w:r>
    </w:p>
    <w:p>
      <w:pPr>
        <w:spacing w:after="0" w:line="211" w:lineRule="exact"/>
        <w:rPr>
          <w:sz w:val="20"/>
          <w:szCs w:val="20"/>
          <w:color w:val="auto"/>
        </w:rPr>
      </w:pPr>
    </w:p>
    <w:p>
      <w:pPr>
        <w:ind w:left="540" w:right="320" w:hanging="263"/>
        <w:spacing w:after="0" w:line="268" w:lineRule="auto"/>
        <w:tabs>
          <w:tab w:leader="none" w:pos="540" w:val="left"/>
        </w:tabs>
        <w:numPr>
          <w:ilvl w:val="0"/>
          <w:numId w:val="140"/>
        </w:numPr>
        <w:rPr>
          <w:rFonts w:ascii="Arial" w:cs="Arial" w:eastAsia="Arial" w:hAnsi="Arial"/>
          <w:sz w:val="17"/>
          <w:szCs w:val="17"/>
          <w:color w:val="325889"/>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the election of the three director nominees named in this proxy statement to serve on the Board for a one-year term and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their successors are duly elected and qualify</w:t>
      </w:r>
    </w:p>
    <w:p>
      <w:pPr>
        <w:spacing w:after="0" w:line="49" w:lineRule="exact"/>
        <w:rPr>
          <w:rFonts w:ascii="Arial" w:cs="Arial" w:eastAsia="Arial" w:hAnsi="Arial"/>
          <w:sz w:val="17"/>
          <w:szCs w:val="17"/>
          <w:color w:val="325889"/>
        </w:rPr>
      </w:pPr>
    </w:p>
    <w:p>
      <w:pPr>
        <w:ind w:left="540" w:right="320" w:hanging="263"/>
        <w:spacing w:after="0" w:line="268" w:lineRule="auto"/>
        <w:tabs>
          <w:tab w:leader="none" w:pos="540" w:val="left"/>
        </w:tabs>
        <w:numPr>
          <w:ilvl w:val="0"/>
          <w:numId w:val="140"/>
        </w:numPr>
        <w:rPr>
          <w:rFonts w:ascii="Arial" w:cs="Arial" w:eastAsia="Arial" w:hAnsi="Arial"/>
          <w:sz w:val="17"/>
          <w:szCs w:val="17"/>
          <w:color w:val="325889"/>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the approval of an advisory resolution approving the compensation of our named executive officers as disclosed in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Item 402 of Regulation S-K</w:t>
      </w:r>
    </w:p>
    <w:p>
      <w:pPr>
        <w:spacing w:after="0" w:line="49" w:lineRule="exact"/>
        <w:rPr>
          <w:rFonts w:ascii="Arial" w:cs="Arial" w:eastAsia="Arial" w:hAnsi="Arial"/>
          <w:sz w:val="17"/>
          <w:szCs w:val="17"/>
          <w:color w:val="325889"/>
        </w:rPr>
      </w:pPr>
    </w:p>
    <w:p>
      <w:pPr>
        <w:ind w:left="540" w:right="140" w:hanging="263"/>
        <w:spacing w:after="0" w:line="268" w:lineRule="auto"/>
        <w:tabs>
          <w:tab w:leader="none" w:pos="540" w:val="left"/>
        </w:tabs>
        <w:numPr>
          <w:ilvl w:val="0"/>
          <w:numId w:val="140"/>
        </w:numPr>
        <w:rPr>
          <w:rFonts w:ascii="Arial" w:cs="Arial" w:eastAsia="Arial" w:hAnsi="Arial"/>
          <w:sz w:val="17"/>
          <w:szCs w:val="17"/>
          <w:color w:val="325889"/>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the ratification of the appointment of Ernst &amp; Young LLP as our independent registered public accounting firm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2018</w:t>
      </w:r>
    </w:p>
    <w:p>
      <w:pPr>
        <w:spacing w:after="0" w:line="158" w:lineRule="exact"/>
        <w:rPr>
          <w:sz w:val="20"/>
          <w:szCs w:val="20"/>
          <w:color w:val="auto"/>
        </w:rPr>
      </w:pPr>
    </w:p>
    <w:p>
      <w:pPr>
        <w:ind w:right="1000"/>
        <w:spacing w:after="0" w:line="268" w:lineRule="auto"/>
        <w:rPr>
          <w:sz w:val="20"/>
          <w:szCs w:val="20"/>
          <w:color w:val="auto"/>
        </w:rPr>
      </w:pPr>
      <w:r>
        <w:rPr>
          <w:rFonts w:ascii="Arial" w:cs="Arial" w:eastAsia="Arial" w:hAnsi="Arial"/>
          <w:sz w:val="18"/>
          <w:szCs w:val="18"/>
          <w:color w:val="auto"/>
        </w:rPr>
        <w:t>You also may be asked to consider and act upon any other matters that may properly be brought before the annual meeting and at any adjournments or postponements thereof.</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What constitutes a quorum?</w:t>
      </w:r>
    </w:p>
    <w:p>
      <w:pPr>
        <w:spacing w:after="0" w:line="214"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90,190,440 shares outstanding and entitled to vote at the annual meeting.</w:t>
      </w:r>
    </w:p>
    <w:p>
      <w:pPr>
        <w:spacing w:after="0" w:line="17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Each share of our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What vote is required to approve each proposal?</w:t>
      </w:r>
    </w:p>
    <w:p>
      <w:pPr>
        <w:spacing w:after="0" w:line="214"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For Proposal 1, a majority of all the votes cast with respect to a nominee’s election is required for such nominee to be elected to serve on the Board. This means that the number of votes cast “for” a nominee must exceed the number of votes cast “against” such nominee. Abstentions and broker non-votes are not counted as a vote cast either “for” or “against” a nominee, and therefore, will have no effect on the election of directors.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 majority of all of the votes cast with respect to the proposal is required for approval of each of Proposals 2 and 3.</w:t>
      </w:r>
    </w:p>
    <w:p>
      <w:pPr>
        <w:spacing w:after="0" w:line="21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respect of Proposals 2 and 3, abstentions and broker non-votes are not counted as votes cast, and therefore will have no effect on the votes for these proposals.</w:t>
      </w:r>
    </w:p>
    <w:p>
      <w:pPr>
        <w:spacing w:after="0" w:line="158" w:lineRule="exact"/>
        <w:rPr>
          <w:sz w:val="20"/>
          <w:szCs w:val="20"/>
          <w:color w:val="auto"/>
        </w:rPr>
      </w:pPr>
    </w:p>
    <w:p>
      <w:pPr>
        <w:ind w:left="300" w:hanging="292"/>
        <w:spacing w:after="0"/>
        <w:tabs>
          <w:tab w:leader="none" w:pos="300" w:val="left"/>
        </w:tabs>
        <w:numPr>
          <w:ilvl w:val="0"/>
          <w:numId w:val="141"/>
        </w:numPr>
        <w:rPr>
          <w:rFonts w:ascii="Arial" w:cs="Arial" w:eastAsia="Arial" w:hAnsi="Arial"/>
          <w:sz w:val="18"/>
          <w:szCs w:val="18"/>
          <w:color w:val="32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Can I change my vote after I submit my proxy card?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211" w:lineRule="exact"/>
        <w:rPr>
          <w:sz w:val="20"/>
          <w:szCs w:val="20"/>
          <w:color w:val="auto"/>
        </w:rPr>
      </w:pPr>
    </w:p>
    <w:p>
      <w:pPr>
        <w:ind w:left="540" w:hanging="263"/>
        <w:spacing w:after="0"/>
        <w:tabs>
          <w:tab w:leader="none" w:pos="540" w:val="left"/>
        </w:tabs>
        <w:numPr>
          <w:ilvl w:val="0"/>
          <w:numId w:val="142"/>
        </w:numPr>
        <w:rPr>
          <w:rFonts w:ascii="Times New Roman" w:cs="Times New Roman" w:eastAsia="Times New Roman" w:hAnsi="Times New Roman"/>
          <w:sz w:val="17"/>
          <w:szCs w:val="17"/>
          <w:color w:val="345988"/>
        </w:rPr>
      </w:pPr>
      <w:r>
        <w:rPr>
          <w:rFonts w:ascii="Arial" w:cs="Arial" w:eastAsia="Arial" w:hAnsi="Arial"/>
          <w:sz w:val="18"/>
          <w:szCs w:val="18"/>
          <w:color w:val="auto"/>
        </w:rPr>
        <w:t>filing a written notice revoking the proxy with our Secretary at our address</w:t>
      </w:r>
    </w:p>
    <w:p>
      <w:pPr>
        <w:spacing w:after="0" w:line="102" w:lineRule="exact"/>
        <w:rPr>
          <w:rFonts w:ascii="Times New Roman" w:cs="Times New Roman" w:eastAsia="Times New Roman" w:hAnsi="Times New Roman"/>
          <w:sz w:val="17"/>
          <w:szCs w:val="17"/>
          <w:color w:val="345988"/>
        </w:rPr>
      </w:pPr>
    </w:p>
    <w:p>
      <w:pPr>
        <w:ind w:left="540" w:hanging="263"/>
        <w:spacing w:after="0"/>
        <w:tabs>
          <w:tab w:leader="none" w:pos="540" w:val="left"/>
        </w:tabs>
        <w:numPr>
          <w:ilvl w:val="0"/>
          <w:numId w:val="142"/>
        </w:numPr>
        <w:rPr>
          <w:rFonts w:ascii="Times New Roman" w:cs="Times New Roman" w:eastAsia="Times New Roman" w:hAnsi="Times New Roman"/>
          <w:sz w:val="17"/>
          <w:szCs w:val="17"/>
          <w:color w:val="345988"/>
        </w:rPr>
      </w:pPr>
      <w:r>
        <w:rPr>
          <w:rFonts w:ascii="Arial" w:cs="Arial" w:eastAsia="Arial" w:hAnsi="Arial"/>
          <w:sz w:val="18"/>
          <w:szCs w:val="18"/>
          <w:color w:val="auto"/>
        </w:rPr>
        <w:t>properly signing and forwarding to us a proxy with a later date</w:t>
      </w:r>
    </w:p>
    <w:p>
      <w:pPr>
        <w:spacing w:after="0" w:line="102" w:lineRule="exact"/>
        <w:rPr>
          <w:rFonts w:ascii="Times New Roman" w:cs="Times New Roman" w:eastAsia="Times New Roman" w:hAnsi="Times New Roman"/>
          <w:sz w:val="17"/>
          <w:szCs w:val="17"/>
          <w:color w:val="345988"/>
        </w:rPr>
      </w:pPr>
    </w:p>
    <w:p>
      <w:pPr>
        <w:ind w:left="540" w:hanging="263"/>
        <w:spacing w:after="0"/>
        <w:tabs>
          <w:tab w:leader="none" w:pos="540" w:val="left"/>
        </w:tabs>
        <w:numPr>
          <w:ilvl w:val="0"/>
          <w:numId w:val="142"/>
        </w:numPr>
        <w:rPr>
          <w:rFonts w:ascii="Times New Roman" w:cs="Times New Roman" w:eastAsia="Times New Roman" w:hAnsi="Times New Roman"/>
          <w:sz w:val="17"/>
          <w:szCs w:val="17"/>
          <w:color w:val="345988"/>
        </w:rPr>
      </w:pPr>
      <w:r>
        <w:rPr>
          <w:rFonts w:ascii="Arial" w:cs="Arial" w:eastAsia="Arial" w:hAnsi="Arial"/>
          <w:sz w:val="18"/>
          <w:szCs w:val="18"/>
          <w:color w:val="auto"/>
        </w:rPr>
        <w:t>appearing in person and voting by ballot at the annual meeting</w:t>
      </w:r>
    </w:p>
    <w:p>
      <w:pPr>
        <w:spacing w:after="0" w:line="21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If you attend the annual meeting, you may vote in person whether or not you previously have given a proxy, but your presence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17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How do I vote?</w:t>
      </w:r>
    </w:p>
    <w:p>
      <w:pPr>
        <w:spacing w:after="0" w:line="21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 xml:space="preserve">Voting in Person at the Annual Meeting. </w:t>
      </w:r>
      <w:r>
        <w:rPr>
          <w:rFonts w:ascii="Arial" w:cs="Arial" w:eastAsia="Arial" w:hAnsi="Arial"/>
          <w:sz w:val="18"/>
          <w:szCs w:val="18"/>
          <w:color w:val="auto"/>
        </w:rPr>
        <w:t>If you hold your shares in your own name as a holder of record with our transfer agent, Computershare,</w:t>
      </w:r>
      <w:r>
        <w:rPr>
          <w:rFonts w:ascii="Arial" w:cs="Arial" w:eastAsia="Arial" w:hAnsi="Arial"/>
          <w:sz w:val="18"/>
          <w:szCs w:val="18"/>
          <w:i w:val="1"/>
          <w:iCs w:val="1"/>
          <w:color w:val="auto"/>
        </w:rPr>
        <w:t xml:space="preserve"> </w:t>
      </w:r>
      <w:r>
        <w:rPr>
          <w:rFonts w:ascii="Arial" w:cs="Arial" w:eastAsia="Arial" w:hAnsi="Arial"/>
          <w:sz w:val="18"/>
          <w:szCs w:val="18"/>
          <w:color w:val="auto"/>
        </w:rPr>
        <w:t>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7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i w:val="1"/>
          <w:iCs w:val="1"/>
          <w:color w:val="auto"/>
        </w:rPr>
        <w:t xml:space="preserve">Voting by Proxy. </w:t>
      </w:r>
      <w:r>
        <w:rPr>
          <w:rFonts w:ascii="Arial" w:cs="Arial" w:eastAsia="Arial" w:hAnsi="Arial"/>
          <w:sz w:val="18"/>
          <w:szCs w:val="18"/>
          <w:color w:val="auto"/>
        </w:rPr>
        <w:t>You should submit your proxy or voting instructions as soon as possible. You can vote by valid proxy received by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via the Internet or by mail. The deadline for voting by telephone or electronically via the Internet is 11:59 p.m., Eastern Daylight Time, on May 30, 2018. If voting by mail, you must:</w:t>
      </w:r>
    </w:p>
    <w:p>
      <w:pPr>
        <w:spacing w:after="0" w:line="172" w:lineRule="exact"/>
        <w:rPr>
          <w:sz w:val="20"/>
          <w:szCs w:val="20"/>
          <w:color w:val="auto"/>
        </w:rPr>
      </w:pPr>
    </w:p>
    <w:p>
      <w:pPr>
        <w:ind w:left="540" w:hanging="263"/>
        <w:spacing w:after="0"/>
        <w:tabs>
          <w:tab w:leader="none" w:pos="540" w:val="left"/>
        </w:tabs>
        <w:numPr>
          <w:ilvl w:val="0"/>
          <w:numId w:val="143"/>
        </w:numPr>
        <w:rPr>
          <w:rFonts w:ascii="Times New Roman" w:cs="Times New Roman" w:eastAsia="Times New Roman" w:hAnsi="Times New Roman"/>
          <w:sz w:val="17"/>
          <w:szCs w:val="17"/>
          <w:color w:val="345988"/>
        </w:rPr>
      </w:pPr>
      <w:r>
        <w:rPr>
          <w:rFonts w:ascii="Arial" w:cs="Arial" w:eastAsia="Arial" w:hAnsi="Arial"/>
          <w:sz w:val="18"/>
          <w:szCs w:val="18"/>
          <w:color w:val="auto"/>
        </w:rPr>
        <w:t>indicate your instructions on the proxy</w:t>
      </w:r>
    </w:p>
    <w:p>
      <w:pPr>
        <w:spacing w:after="0" w:line="102" w:lineRule="exact"/>
        <w:rPr>
          <w:rFonts w:ascii="Times New Roman" w:cs="Times New Roman" w:eastAsia="Times New Roman" w:hAnsi="Times New Roman"/>
          <w:sz w:val="17"/>
          <w:szCs w:val="17"/>
          <w:color w:val="345988"/>
        </w:rPr>
      </w:pPr>
    </w:p>
    <w:p>
      <w:pPr>
        <w:ind w:left="540" w:hanging="263"/>
        <w:spacing w:after="0"/>
        <w:tabs>
          <w:tab w:leader="none" w:pos="540" w:val="left"/>
        </w:tabs>
        <w:numPr>
          <w:ilvl w:val="0"/>
          <w:numId w:val="143"/>
        </w:numPr>
        <w:rPr>
          <w:rFonts w:ascii="Times New Roman" w:cs="Times New Roman" w:eastAsia="Times New Roman" w:hAnsi="Times New Roman"/>
          <w:sz w:val="17"/>
          <w:szCs w:val="17"/>
          <w:color w:val="345988"/>
        </w:rPr>
      </w:pPr>
      <w:r>
        <w:rPr>
          <w:rFonts w:ascii="Arial" w:cs="Arial" w:eastAsia="Arial" w:hAnsi="Arial"/>
          <w:sz w:val="18"/>
          <w:szCs w:val="18"/>
          <w:color w:val="auto"/>
        </w:rPr>
        <w:t>date and sign the proxy</w:t>
      </w:r>
    </w:p>
    <w:p>
      <w:pPr>
        <w:spacing w:after="0" w:line="102" w:lineRule="exact"/>
        <w:rPr>
          <w:rFonts w:ascii="Times New Roman" w:cs="Times New Roman" w:eastAsia="Times New Roman" w:hAnsi="Times New Roman"/>
          <w:sz w:val="17"/>
          <w:szCs w:val="17"/>
          <w:color w:val="345988"/>
        </w:rPr>
      </w:pPr>
    </w:p>
    <w:p>
      <w:pPr>
        <w:ind w:left="540" w:hanging="263"/>
        <w:spacing w:after="0"/>
        <w:tabs>
          <w:tab w:leader="none" w:pos="540" w:val="left"/>
        </w:tabs>
        <w:numPr>
          <w:ilvl w:val="0"/>
          <w:numId w:val="143"/>
        </w:numPr>
        <w:rPr>
          <w:rFonts w:ascii="Times New Roman" w:cs="Times New Roman" w:eastAsia="Times New Roman" w:hAnsi="Times New Roman"/>
          <w:sz w:val="17"/>
          <w:szCs w:val="17"/>
          <w:color w:val="345988"/>
        </w:rPr>
      </w:pPr>
      <w:r>
        <w:rPr>
          <w:rFonts w:ascii="Arial" w:cs="Arial" w:eastAsia="Arial" w:hAnsi="Arial"/>
          <w:sz w:val="18"/>
          <w:szCs w:val="18"/>
          <w:color w:val="auto"/>
        </w:rPr>
        <w:t>promptly mail the proxy in the enclosed envelope</w:t>
      </w:r>
    </w:p>
    <w:p>
      <w:pPr>
        <w:spacing w:after="0" w:line="102" w:lineRule="exact"/>
        <w:rPr>
          <w:rFonts w:ascii="Times New Roman" w:cs="Times New Roman" w:eastAsia="Times New Roman" w:hAnsi="Times New Roman"/>
          <w:sz w:val="17"/>
          <w:szCs w:val="17"/>
          <w:color w:val="345988"/>
        </w:rPr>
      </w:pPr>
    </w:p>
    <w:p>
      <w:pPr>
        <w:ind w:left="540" w:hanging="263"/>
        <w:spacing w:after="0"/>
        <w:tabs>
          <w:tab w:leader="none" w:pos="540" w:val="left"/>
        </w:tabs>
        <w:numPr>
          <w:ilvl w:val="0"/>
          <w:numId w:val="143"/>
        </w:numPr>
        <w:rPr>
          <w:rFonts w:ascii="Times New Roman" w:cs="Times New Roman" w:eastAsia="Times New Roman" w:hAnsi="Times New Roman"/>
          <w:sz w:val="17"/>
          <w:szCs w:val="17"/>
          <w:color w:val="345988"/>
        </w:rPr>
      </w:pPr>
      <w:r>
        <w:rPr>
          <w:rFonts w:ascii="Arial" w:cs="Arial" w:eastAsia="Arial" w:hAnsi="Arial"/>
          <w:sz w:val="18"/>
          <w:szCs w:val="18"/>
          <w:color w:val="auto"/>
        </w:rPr>
        <w:t>allow sufficient time for the proxy to be received before the date of the annual meeting</w:t>
      </w:r>
    </w:p>
    <w:p>
      <w:pPr>
        <w:spacing w:after="0" w:line="21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If your shares are held in “street name” such as in a stock brokerage account, by a bank or other nominee, please follow the instructions you received from your broker or with respect to the voting of your shares.</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If you have any questions regarding how to authorize your proxy by telephone or via the Internet, please call MacKenzie Partners, Inc., toll-free at (800) 322-2885 or collect at (212) 929-5500.</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Even if you plan to attend the annual meeting, we recommend that you submit a proxy to vote your shares in advance so that your vote will be counted if you later are unable to attend the annual meeting.</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How is my vote counted?</w:t>
      </w:r>
    </w:p>
    <w:p>
      <w:pPr>
        <w:spacing w:after="0" w:line="21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directors named in this proxy statement, “for” advisory approval of the compensation of our named executive officers, and “for” ratification of the appointment of Ernst &amp; Young LLP as our independent registered public accounting firm for the fiscal year ending December 31, 2018. It is not anticipated that any matters other than those set forth in this proxy statement will be presented at the annual meeting. If other matters are presented, proxies will be voted in accordance with the discretion of the proxy holders.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How does the Board recommend that I vote on each of the proposals?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w:t>
      </w:r>
    </w:p>
    <w:p>
      <w:pPr>
        <w:spacing w:after="0" w:line="209" w:lineRule="exact"/>
        <w:rPr>
          <w:sz w:val="20"/>
          <w:szCs w:val="20"/>
          <w:color w:val="auto"/>
        </w:rPr>
      </w:pPr>
    </w:p>
    <w:p>
      <w:pPr>
        <w:ind w:left="540" w:right="40" w:hanging="263"/>
        <w:spacing w:after="0" w:line="270" w:lineRule="auto"/>
        <w:tabs>
          <w:tab w:leader="none" w:pos="540" w:val="left"/>
        </w:tabs>
        <w:numPr>
          <w:ilvl w:val="0"/>
          <w:numId w:val="144"/>
        </w:numPr>
        <w:rPr>
          <w:rFonts w:ascii="Times New Roman" w:cs="Times New Roman" w:eastAsia="Times New Roman" w:hAnsi="Times New Roman"/>
          <w:sz w:val="17"/>
          <w:szCs w:val="17"/>
          <w:color w:val="345988"/>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1</w:t>
      </w:r>
      <w:r>
        <w:rPr>
          <w:rFonts w:ascii="Arial" w:cs="Arial" w:eastAsia="Arial" w:hAnsi="Arial"/>
          <w:sz w:val="18"/>
          <w:szCs w:val="18"/>
          <w:color w:val="auto"/>
        </w:rPr>
        <w:t>: the election of John H. Alschuler, Lauren B. Dillard and Stephen L. Green and as directors to serve on the Board for a one-year term and until their successors are duly elected and qualify</w:t>
      </w:r>
    </w:p>
    <w:p>
      <w:pPr>
        <w:spacing w:after="0" w:line="46" w:lineRule="exact"/>
        <w:rPr>
          <w:rFonts w:ascii="Times New Roman" w:cs="Times New Roman" w:eastAsia="Times New Roman" w:hAnsi="Times New Roman"/>
          <w:sz w:val="17"/>
          <w:szCs w:val="17"/>
          <w:color w:val="345988"/>
        </w:rPr>
      </w:pPr>
    </w:p>
    <w:p>
      <w:pPr>
        <w:ind w:left="540" w:right="380" w:hanging="263"/>
        <w:spacing w:after="0" w:line="270" w:lineRule="auto"/>
        <w:tabs>
          <w:tab w:leader="none" w:pos="540" w:val="left"/>
        </w:tabs>
        <w:numPr>
          <w:ilvl w:val="0"/>
          <w:numId w:val="144"/>
        </w:numPr>
        <w:rPr>
          <w:rFonts w:ascii="Times New Roman" w:cs="Times New Roman" w:eastAsia="Times New Roman" w:hAnsi="Times New Roman"/>
          <w:sz w:val="17"/>
          <w:szCs w:val="17"/>
          <w:color w:val="345988"/>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2</w:t>
      </w:r>
      <w:r>
        <w:rPr>
          <w:rFonts w:ascii="Arial" w:cs="Arial" w:eastAsia="Arial" w:hAnsi="Arial"/>
          <w:sz w:val="18"/>
          <w:szCs w:val="18"/>
          <w:color w:val="auto"/>
        </w:rPr>
        <w:t>: the approval of an advisory resolution approving the compensation of our named executive officers as disclosed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pursuant to Item 402 of Regulation S-K</w:t>
      </w:r>
    </w:p>
    <w:p>
      <w:pPr>
        <w:spacing w:after="0" w:line="46" w:lineRule="exact"/>
        <w:rPr>
          <w:rFonts w:ascii="Times New Roman" w:cs="Times New Roman" w:eastAsia="Times New Roman" w:hAnsi="Times New Roman"/>
          <w:sz w:val="17"/>
          <w:szCs w:val="17"/>
          <w:color w:val="345988"/>
        </w:rPr>
      </w:pPr>
    </w:p>
    <w:p>
      <w:pPr>
        <w:ind w:left="540" w:right="120" w:hanging="263"/>
        <w:spacing w:after="0" w:line="270" w:lineRule="auto"/>
        <w:tabs>
          <w:tab w:leader="none" w:pos="540" w:val="left"/>
        </w:tabs>
        <w:numPr>
          <w:ilvl w:val="0"/>
          <w:numId w:val="144"/>
        </w:numPr>
        <w:rPr>
          <w:rFonts w:ascii="Times New Roman" w:cs="Times New Roman" w:eastAsia="Times New Roman" w:hAnsi="Times New Roman"/>
          <w:sz w:val="17"/>
          <w:szCs w:val="17"/>
          <w:color w:val="345988"/>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3</w:t>
      </w:r>
      <w:r>
        <w:rPr>
          <w:rFonts w:ascii="Arial" w:cs="Arial" w:eastAsia="Arial" w:hAnsi="Arial"/>
          <w:sz w:val="18"/>
          <w:szCs w:val="18"/>
          <w:color w:val="auto"/>
        </w:rPr>
        <w:t>: the ratification of the appointment of Ernst &amp; Young LLP as our independent registered public accounting firm for the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December 31, 2018</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2018 Proxy Statement </w:t>
      </w:r>
      <w:r>
        <w:rPr>
          <w:rFonts w:ascii="Arial" w:cs="Arial" w:eastAsia="Arial" w:hAnsi="Arial"/>
          <w:sz w:val="18"/>
          <w:szCs w:val="18"/>
          <w:color w:val="345988"/>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What other information should I review before voting?</w:t>
      </w:r>
    </w:p>
    <w:p>
      <w:pPr>
        <w:spacing w:after="0" w:line="21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2017 annual report, including financial statements for the fiscal year ended December 31, 2017, is being made available to you along with this proxy statement. You may obtain, free of charge, copies of our 2017 annual report and our Annual Report on Form 10-K for the fiscal year ended December 31, 2017, which contains additional information about the Company, on our website at http://www.slgreen.com or by directing your request in writing to SL Green Realty Corp., 420 Lexington Avenue, New York, New York 10170-1881, Attention: Investor Relations. The 2017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How do I change how I receive proxy materials in the future?</w:t>
      </w:r>
    </w:p>
    <w:p>
      <w:pPr>
        <w:spacing w:after="0" w:line="21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For this year’s meeting, stockholders will receive paper copies of the proxy materials by mail and will not receive a Notice of Internet Availability of Proxy Materials. For future meetings, stockholders may elect to receive links to proxy materials by e-mail or to receive a paper copy of the proxy materials and a paper proxy card by mail, in each case, instead of receiving a Notice of Internet Availability of Proxy Materials by mail, as applicable. If you elect to receive proxy materials by e-mail, you will not receive proxy materials in the mail (including, if applicable, a Notice of Internet Availability of Proxy Materials). Instead, you will receive an e-mail with links to proxy materials and online voting. If you received a paper copy of the proxy materials in the mail, you can eliminate all such paper mailings (including, if applicable, a Notice of Internet Availability of Proxy Materials) in the future by electing to receive an e-mail that will provide Internet links to these documents.</w:t>
      </w:r>
    </w:p>
    <w:p>
      <w:pPr>
        <w:spacing w:after="0" w:line="155"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Opting to receive all future proxy materials online will save us the cost of producing and mailing such documents to you and help us conserve natural resources. You can change your election by directing your request in writing to SL Green Realty Corp., 420 Lexington Avenue, New York, New York 10170-1881, Attention: Investor Relations, by sending a blank e-mail with the 16-digit control number on your proxy card to sendmaterial@proxyvote.com, via the internet at http://www.proxyvote.com or by telephone at (800) 579-7639. Your election will remain in effect until you change it.</w:t>
      </w:r>
    </w:p>
    <w:p>
      <w:pPr>
        <w:spacing w:after="0" w:line="18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Solicitation of Proxies</w:t>
      </w:r>
    </w:p>
    <w:p>
      <w:pPr>
        <w:spacing w:after="0" w:line="21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Proxy Statement to and obtain proxies from such beneficial owners. We will reimburse such holders for their reasonable expenses. In addition, we intend to utilize the proxy solicitation services of MacKenzie Partners, Inc. at an aggregate estimated cost of $10,000 plus out-of-pocket expenses.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Stockholder Proposals and Nominations</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Proposals for Inclusion in our 2019 Proxy Materials</w:t>
      </w:r>
    </w:p>
    <w:p>
      <w:pPr>
        <w:spacing w:after="0" w:line="21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SEC rules permit stockholders to submit proposals to be included in our proxy materials if the stockholder and the proposal satisfy the requirements specified in Rule 14a-8 under the Exchange Act. For a stockholder proposal to be considered for inclusion in our proxy materials for the 2019 annual meeting, the proposal must be delivered to our Secretary at the address provided below by December 31, 2018.</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Director Nominations for Inclusion in our 2019 Proxy Materials (Proxy Access)</w:t>
      </w:r>
    </w:p>
    <w:p>
      <w:pPr>
        <w:spacing w:after="0" w:line="21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Our proxy access bylaw permits a stockholder (or a group of up to 20 stockholders) owning 3% or more of our outstanding common stock continuously for at least three years to nominate and include in the Company’s proxy materials director candidates constituting up to the greater of two individuals or 20% of the Board, if the nominating stockholder(s) and the nominee(s) satisfy the requirements specified in our bylaws. For the 2019 annual meeting,</w:t>
      </w:r>
    </w:p>
    <w:p>
      <w:pPr>
        <w:spacing w:after="0" w:line="179" w:lineRule="exact"/>
        <w:rPr>
          <w:sz w:val="20"/>
          <w:szCs w:val="20"/>
          <w:color w:val="auto"/>
        </w:rPr>
      </w:pPr>
    </w:p>
    <w:p>
      <w:pPr>
        <w:ind w:left="300" w:hanging="292"/>
        <w:spacing w:after="0"/>
        <w:tabs>
          <w:tab w:leader="none" w:pos="300" w:val="left"/>
        </w:tabs>
        <w:numPr>
          <w:ilvl w:val="0"/>
          <w:numId w:val="145"/>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9540"/>
        <w:spacing w:after="0"/>
        <w:rPr>
          <w:sz w:val="20"/>
          <w:szCs w:val="20"/>
          <w:color w:val="auto"/>
        </w:rPr>
      </w:pPr>
      <w:r>
        <w:rPr>
          <w:rFonts w:ascii="Arial" w:cs="Arial" w:eastAsia="Arial" w:hAnsi="Arial"/>
          <w:sz w:val="16"/>
          <w:szCs w:val="16"/>
          <w:u w:val="single" w:color="auto"/>
          <w:color w:val="345988"/>
        </w:rPr>
        <w:t>OTHER INFORMATION</w:t>
      </w:r>
    </w:p>
    <w:p>
      <w:pPr>
        <w:spacing w:after="0" w:line="23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notice of a proxy access nomination must be delivered to our Secretary at the address provided below no later than December 31, 2018 and no earlier than December 1, 2018.</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Other Proposals or Nominations to be brought before our 2019 Annual Meeting</w:t>
      </w:r>
    </w:p>
    <w:p>
      <w:pPr>
        <w:spacing w:after="0" w:line="21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bylaws permit a stockholder to propose items of business and/or nominate director candidates that are not intended to be included in our proxy materials if the stockholder complies with the procedures set forth in our bylaws. For the 2019 annual meeting, notice of such proposals or nominations must be delivered to our Secretary at the address provided below no later than March 2, 2019 and no earlier than January 31, 2019.</w:t>
      </w:r>
    </w:p>
    <w:p>
      <w:pPr>
        <w:spacing w:after="0" w:line="139"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If the Company moves the 2019 annual meeting to a date that is more than 25 days before or after the date which is the one year anniversary of this year’s annual meeting date (i.e., May 31, 2019), the Company must receive such notice no later than the close of business on the 10th day following the earlier of the day on which the Company makes a public announcement of the meeting date or they day on which notice of the meeting date is first distributed to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435F8C"/>
        </w:rPr>
        <w:t>Address for Submission of Notices and Additional Information</w:t>
      </w:r>
    </w:p>
    <w:p>
      <w:pPr>
        <w:spacing w:after="0" w:line="214"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All stockholder nominations of individuals for election as directors or proposals of other items of business to be considered by stockholders at the 2019 annual meeting (whether or not intended for inclusion in our proxy materials) must be submitted in writing to SL Green Realty Corp., 420 Lexington Avenue, New York, New York 10170-1881, Attention: Andrew S. Levine, Secretary.</w:t>
      </w:r>
    </w:p>
    <w:p>
      <w:pPr>
        <w:spacing w:after="0" w:line="172" w:lineRule="exact"/>
        <w:rPr>
          <w:sz w:val="20"/>
          <w:szCs w:val="20"/>
          <w:color w:val="auto"/>
        </w:rPr>
      </w:pPr>
    </w:p>
    <w:p>
      <w:pPr>
        <w:jc w:val="both"/>
        <w:ind w:right="120"/>
        <w:spacing w:after="0" w:line="251" w:lineRule="auto"/>
        <w:rPr>
          <w:sz w:val="20"/>
          <w:szCs w:val="20"/>
          <w:color w:val="auto"/>
        </w:rPr>
      </w:pPr>
      <w:r>
        <w:rPr>
          <w:rFonts w:ascii="Arial" w:cs="Arial" w:eastAsia="Arial" w:hAnsi="Arial"/>
          <w:sz w:val="18"/>
          <w:szCs w:val="18"/>
          <w:color w:val="auto"/>
        </w:rPr>
        <w:t>In addition, both the proxy access and the advance notice provisions of our bylaws require a stockholder’s notice of a nomination or other item of business to include certain information. Director nominees must also meet certain eligibility requirements. Any stockholder considering introducing a nomination or other item of business should carefully review our bylaws.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Householding of Proxy Materials</w:t>
      </w:r>
    </w:p>
    <w:p>
      <w:pPr>
        <w:spacing w:after="0" w:line="214"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The SEC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179" w:lineRule="exact"/>
        <w:rPr>
          <w:sz w:val="20"/>
          <w:szCs w:val="20"/>
          <w:color w:val="auto"/>
        </w:rPr>
      </w:pPr>
    </w:p>
    <w:p>
      <w:pPr>
        <w:jc w:val="both"/>
        <w:ind w:right="100"/>
        <w:spacing w:after="0" w:line="245" w:lineRule="auto"/>
        <w:rPr>
          <w:sz w:val="20"/>
          <w:szCs w:val="20"/>
          <w:color w:val="auto"/>
        </w:rPr>
      </w:pPr>
      <w:r>
        <w:rPr>
          <w:rFonts w:ascii="Arial" w:cs="Arial" w:eastAsia="Arial" w:hAnsi="Arial"/>
          <w:sz w:val="18"/>
          <w:szCs w:val="18"/>
          <w:color w:val="auto"/>
        </w:rPr>
        <w:t>This year, a number of brokers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7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420 Lexington Avenue, New York, New York 10170-1881, Attention: Investor Relations or by telephone at (212) 594-2700.</w:t>
      </w:r>
    </w:p>
    <w:p>
      <w:pPr>
        <w:spacing w:after="0" w:line="17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829945" cy="290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9945" cy="29083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Andrew S. Levine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April 30, 2018</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2018 Proxy Statement </w:t>
      </w:r>
      <w:r>
        <w:rPr>
          <w:rFonts w:ascii="Arial" w:cs="Arial" w:eastAsia="Arial" w:hAnsi="Arial"/>
          <w:sz w:val="18"/>
          <w:szCs w:val="18"/>
          <w:color w:val="345988"/>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APPENDIX A:</w:t>
      </w:r>
    </w:p>
    <w:p>
      <w:pPr>
        <w:spacing w:after="0" w:line="55" w:lineRule="exact"/>
        <w:rPr>
          <w:sz w:val="20"/>
          <w:szCs w:val="20"/>
          <w:color w:val="auto"/>
        </w:rPr>
      </w:pPr>
    </w:p>
    <w:p>
      <w:pPr>
        <w:ind w:right="5580"/>
        <w:spacing w:after="0" w:line="275" w:lineRule="auto"/>
        <w:rPr>
          <w:sz w:val="20"/>
          <w:szCs w:val="20"/>
          <w:color w:val="auto"/>
        </w:rPr>
      </w:pPr>
      <w:r>
        <w:rPr>
          <w:rFonts w:ascii="Arial" w:cs="Arial" w:eastAsia="Arial" w:hAnsi="Arial"/>
          <w:sz w:val="32"/>
          <w:szCs w:val="32"/>
          <w:b w:val="1"/>
          <w:bCs w:val="1"/>
          <w:color w:val="345988"/>
        </w:rPr>
        <w:t>INFORMATION REGARDING CERTAIN FINANCIAL MEASURES</w:t>
      </w:r>
    </w:p>
    <w:p>
      <w:pPr>
        <w:spacing w:after="0" w:line="10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Below are reconciliations of net income attributable to our stockholders to Normalized FFO per share and FFO per share for the years ended December 31, 2017, 2016, 2015, 2014 and 2013 (amounts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80" w:type="dxa"/>
            <w:vAlign w:val="bottom"/>
            <w:gridSpan w:val="5"/>
          </w:tcPr>
          <w:p>
            <w:pPr>
              <w:ind w:left="20"/>
              <w:spacing w:after="0"/>
              <w:rPr>
                <w:sz w:val="20"/>
                <w:szCs w:val="20"/>
                <w:color w:val="auto"/>
              </w:rPr>
            </w:pPr>
            <w:r>
              <w:rPr>
                <w:rFonts w:ascii="Arial" w:cs="Arial" w:eastAsia="Arial" w:hAnsi="Arial"/>
                <w:sz w:val="13"/>
                <w:szCs w:val="13"/>
                <w:b w:val="1"/>
                <w:bCs w:val="1"/>
                <w:color w:val="345988"/>
              </w:rPr>
              <w:t>Year Ended December 31,</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8"/>
        </w:trPr>
        <w:tc>
          <w:tcPr>
            <w:tcW w:w="4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345988"/>
            </w:tcBorders>
          </w:tcPr>
          <w:p>
            <w:pPr>
              <w:spacing w:after="0"/>
              <w:rPr>
                <w:sz w:val="3"/>
                <w:szCs w:val="3"/>
                <w:color w:val="auto"/>
              </w:rPr>
            </w:pPr>
          </w:p>
        </w:tc>
        <w:tc>
          <w:tcPr>
            <w:tcW w:w="960" w:type="dxa"/>
            <w:vAlign w:val="bottom"/>
            <w:tcBorders>
              <w:bottom w:val="single" w:sz="8" w:color="345988"/>
            </w:tcBorders>
          </w:tcPr>
          <w:p>
            <w:pPr>
              <w:spacing w:after="0"/>
              <w:rPr>
                <w:sz w:val="3"/>
                <w:szCs w:val="3"/>
                <w:color w:val="auto"/>
              </w:rPr>
            </w:pPr>
          </w:p>
        </w:tc>
        <w:tc>
          <w:tcPr>
            <w:tcW w:w="160" w:type="dxa"/>
            <w:vAlign w:val="bottom"/>
            <w:tcBorders>
              <w:bottom w:val="single" w:sz="8" w:color="345988"/>
            </w:tcBorders>
          </w:tcPr>
          <w:p>
            <w:pPr>
              <w:spacing w:after="0"/>
              <w:rPr>
                <w:sz w:val="3"/>
                <w:szCs w:val="3"/>
                <w:color w:val="auto"/>
              </w:rPr>
            </w:pPr>
          </w:p>
        </w:tc>
        <w:tc>
          <w:tcPr>
            <w:tcW w:w="300" w:type="dxa"/>
            <w:vAlign w:val="bottom"/>
            <w:tcBorders>
              <w:bottom w:val="single" w:sz="8" w:color="345988"/>
            </w:tcBorders>
          </w:tcPr>
          <w:p>
            <w:pPr>
              <w:spacing w:after="0"/>
              <w:rPr>
                <w:sz w:val="3"/>
                <w:szCs w:val="3"/>
                <w:color w:val="auto"/>
              </w:rPr>
            </w:pPr>
          </w:p>
        </w:tc>
        <w:tc>
          <w:tcPr>
            <w:tcW w:w="920" w:type="dxa"/>
            <w:vAlign w:val="bottom"/>
            <w:tcBorders>
              <w:bottom w:val="single" w:sz="8" w:color="345988"/>
            </w:tcBorders>
          </w:tcPr>
          <w:p>
            <w:pPr>
              <w:spacing w:after="0"/>
              <w:rPr>
                <w:sz w:val="3"/>
                <w:szCs w:val="3"/>
                <w:color w:val="auto"/>
              </w:rPr>
            </w:pPr>
          </w:p>
        </w:tc>
        <w:tc>
          <w:tcPr>
            <w:tcW w:w="60" w:type="dxa"/>
            <w:vAlign w:val="bottom"/>
            <w:tcBorders>
              <w:bottom w:val="single" w:sz="8" w:color="345988"/>
            </w:tcBorders>
          </w:tcPr>
          <w:p>
            <w:pPr>
              <w:spacing w:after="0"/>
              <w:rPr>
                <w:sz w:val="3"/>
                <w:szCs w:val="3"/>
                <w:color w:val="auto"/>
              </w:rPr>
            </w:pPr>
          </w:p>
        </w:tc>
        <w:tc>
          <w:tcPr>
            <w:tcW w:w="180" w:type="dxa"/>
            <w:vAlign w:val="bottom"/>
            <w:tcBorders>
              <w:bottom w:val="single" w:sz="8" w:color="345988"/>
            </w:tcBorders>
          </w:tcPr>
          <w:p>
            <w:pPr>
              <w:spacing w:after="0"/>
              <w:rPr>
                <w:sz w:val="3"/>
                <w:szCs w:val="3"/>
                <w:color w:val="auto"/>
              </w:rPr>
            </w:pPr>
          </w:p>
        </w:tc>
        <w:tc>
          <w:tcPr>
            <w:tcW w:w="280" w:type="dxa"/>
            <w:vAlign w:val="bottom"/>
            <w:tcBorders>
              <w:bottom w:val="single" w:sz="8" w:color="345988"/>
            </w:tcBorders>
          </w:tcPr>
          <w:p>
            <w:pPr>
              <w:spacing w:after="0"/>
              <w:rPr>
                <w:sz w:val="3"/>
                <w:szCs w:val="3"/>
                <w:color w:val="auto"/>
              </w:rPr>
            </w:pPr>
          </w:p>
        </w:tc>
        <w:tc>
          <w:tcPr>
            <w:tcW w:w="1000" w:type="dxa"/>
            <w:vAlign w:val="bottom"/>
            <w:tcBorders>
              <w:bottom w:val="single" w:sz="8" w:color="345988"/>
            </w:tcBorders>
          </w:tcPr>
          <w:p>
            <w:pPr>
              <w:spacing w:after="0"/>
              <w:rPr>
                <w:sz w:val="3"/>
                <w:szCs w:val="3"/>
                <w:color w:val="auto"/>
              </w:rPr>
            </w:pPr>
          </w:p>
        </w:tc>
        <w:tc>
          <w:tcPr>
            <w:tcW w:w="160" w:type="dxa"/>
            <w:vAlign w:val="bottom"/>
            <w:tcBorders>
              <w:bottom w:val="single" w:sz="8" w:color="345988"/>
            </w:tcBorders>
          </w:tcPr>
          <w:p>
            <w:pPr>
              <w:spacing w:after="0"/>
              <w:rPr>
                <w:sz w:val="3"/>
                <w:szCs w:val="3"/>
                <w:color w:val="auto"/>
              </w:rPr>
            </w:pPr>
          </w:p>
        </w:tc>
        <w:tc>
          <w:tcPr>
            <w:tcW w:w="260" w:type="dxa"/>
            <w:vAlign w:val="bottom"/>
            <w:tcBorders>
              <w:bottom w:val="single" w:sz="8" w:color="345988"/>
            </w:tcBorders>
          </w:tcPr>
          <w:p>
            <w:pPr>
              <w:spacing w:after="0"/>
              <w:rPr>
                <w:sz w:val="3"/>
                <w:szCs w:val="3"/>
                <w:color w:val="auto"/>
              </w:rPr>
            </w:pPr>
          </w:p>
        </w:tc>
        <w:tc>
          <w:tcPr>
            <w:tcW w:w="920" w:type="dxa"/>
            <w:vAlign w:val="bottom"/>
            <w:tcBorders>
              <w:bottom w:val="single" w:sz="8" w:color="345988"/>
            </w:tcBorders>
          </w:tcPr>
          <w:p>
            <w:pPr>
              <w:spacing w:after="0"/>
              <w:rPr>
                <w:sz w:val="3"/>
                <w:szCs w:val="3"/>
                <w:color w:val="auto"/>
              </w:rPr>
            </w:pPr>
          </w:p>
        </w:tc>
        <w:tc>
          <w:tcPr>
            <w:tcW w:w="160" w:type="dxa"/>
            <w:vAlign w:val="bottom"/>
            <w:tcBorders>
              <w:bottom w:val="single" w:sz="8" w:color="345988"/>
            </w:tcBorders>
          </w:tcPr>
          <w:p>
            <w:pPr>
              <w:spacing w:after="0"/>
              <w:rPr>
                <w:sz w:val="3"/>
                <w:szCs w:val="3"/>
                <w:color w:val="auto"/>
              </w:rPr>
            </w:pPr>
          </w:p>
        </w:tc>
        <w:tc>
          <w:tcPr>
            <w:tcW w:w="300" w:type="dxa"/>
            <w:vAlign w:val="bottom"/>
            <w:tcBorders>
              <w:bottom w:val="single" w:sz="8" w:color="345988"/>
            </w:tcBorders>
          </w:tcPr>
          <w:p>
            <w:pPr>
              <w:spacing w:after="0"/>
              <w:rPr>
                <w:sz w:val="3"/>
                <w:szCs w:val="3"/>
                <w:color w:val="auto"/>
              </w:rPr>
            </w:pPr>
          </w:p>
        </w:tc>
        <w:tc>
          <w:tcPr>
            <w:tcW w:w="980" w:type="dxa"/>
            <w:vAlign w:val="bottom"/>
            <w:tcBorders>
              <w:bottom w:val="single" w:sz="8" w:color="345988"/>
            </w:tcBorders>
          </w:tcPr>
          <w:p>
            <w:pPr>
              <w:spacing w:after="0"/>
              <w:rPr>
                <w:sz w:val="3"/>
                <w:szCs w:val="3"/>
                <w:color w:val="auto"/>
              </w:rPr>
            </w:pPr>
          </w:p>
        </w:tc>
      </w:tr>
      <w:tr>
        <w:trPr>
          <w:trHeight w:val="212"/>
        </w:trPr>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Arial" w:cs="Arial" w:eastAsia="Arial" w:hAnsi="Arial"/>
                <w:sz w:val="13"/>
                <w:szCs w:val="13"/>
                <w:b w:val="1"/>
                <w:bCs w:val="1"/>
                <w:color w:val="345988"/>
              </w:rPr>
              <w:t>2017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Arial" w:cs="Arial" w:eastAsia="Arial" w:hAnsi="Arial"/>
                <w:sz w:val="13"/>
                <w:szCs w:val="13"/>
                <w:b w:val="1"/>
                <w:bCs w:val="1"/>
                <w:color w:val="345988"/>
              </w:rPr>
              <w:t>2016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14"/>
              <w:spacing w:after="0"/>
              <w:rPr>
                <w:sz w:val="20"/>
                <w:szCs w:val="20"/>
                <w:color w:val="auto"/>
              </w:rPr>
            </w:pPr>
            <w:r>
              <w:rPr>
                <w:rFonts w:ascii="Arial" w:cs="Arial" w:eastAsia="Arial" w:hAnsi="Arial"/>
                <w:sz w:val="13"/>
                <w:szCs w:val="13"/>
                <w:b w:val="1"/>
                <w:bCs w:val="1"/>
                <w:color w:val="345988"/>
              </w:rPr>
              <w:t>2015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4"/>
              <w:spacing w:after="0"/>
              <w:rPr>
                <w:sz w:val="20"/>
                <w:szCs w:val="20"/>
                <w:color w:val="auto"/>
              </w:rPr>
            </w:pPr>
            <w:r>
              <w:rPr>
                <w:rFonts w:ascii="Arial" w:cs="Arial" w:eastAsia="Arial" w:hAnsi="Arial"/>
                <w:sz w:val="13"/>
                <w:szCs w:val="13"/>
                <w:b w:val="1"/>
                <w:bCs w:val="1"/>
                <w:color w:val="345988"/>
              </w:rPr>
              <w:t>2014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3"/>
                <w:szCs w:val="13"/>
                <w:b w:val="1"/>
                <w:bCs w:val="1"/>
                <w:color w:val="345988"/>
              </w:rPr>
              <w:t>2013</w:t>
            </w:r>
          </w:p>
        </w:tc>
      </w:tr>
      <w:tr>
        <w:trPr>
          <w:trHeight w:val="38"/>
        </w:trPr>
        <w:tc>
          <w:tcPr>
            <w:tcW w:w="4340" w:type="dxa"/>
            <w:vAlign w:val="bottom"/>
            <w:tcBorders>
              <w:bottom w:val="single" w:sz="8" w:color="345988"/>
            </w:tcBorders>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345988"/>
            </w:tcBorders>
          </w:tcPr>
          <w:p>
            <w:pPr>
              <w:spacing w:after="0"/>
              <w:rPr>
                <w:sz w:val="3"/>
                <w:szCs w:val="3"/>
                <w:color w:val="auto"/>
              </w:rPr>
            </w:pPr>
          </w:p>
        </w:tc>
        <w:tc>
          <w:tcPr>
            <w:tcW w:w="960" w:type="dxa"/>
            <w:vAlign w:val="bottom"/>
            <w:tcBorders>
              <w:bottom w:val="single" w:sz="8" w:color="345988"/>
            </w:tcBorders>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Borders>
              <w:bottom w:val="single" w:sz="8" w:color="345988"/>
            </w:tcBorders>
          </w:tcPr>
          <w:p>
            <w:pPr>
              <w:spacing w:after="0"/>
              <w:rPr>
                <w:sz w:val="3"/>
                <w:szCs w:val="3"/>
                <w:color w:val="auto"/>
              </w:rPr>
            </w:pPr>
          </w:p>
        </w:tc>
        <w:tc>
          <w:tcPr>
            <w:tcW w:w="920" w:type="dxa"/>
            <w:vAlign w:val="bottom"/>
            <w:tcBorders>
              <w:bottom w:val="single" w:sz="8" w:color="345988"/>
            </w:tcBorders>
          </w:tcPr>
          <w:p>
            <w:pPr>
              <w:spacing w:after="0"/>
              <w:rPr>
                <w:sz w:val="3"/>
                <w:szCs w:val="3"/>
                <w:color w:val="auto"/>
              </w:rPr>
            </w:pPr>
          </w:p>
        </w:tc>
        <w:tc>
          <w:tcPr>
            <w:tcW w:w="60" w:type="dxa"/>
            <w:vAlign w:val="bottom"/>
            <w:tcBorders>
              <w:bottom w:val="single" w:sz="8" w:color="345988"/>
            </w:tcBorders>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Borders>
              <w:bottom w:val="single" w:sz="8" w:color="345988"/>
            </w:tcBorders>
          </w:tcPr>
          <w:p>
            <w:pPr>
              <w:spacing w:after="0"/>
              <w:rPr>
                <w:sz w:val="3"/>
                <w:szCs w:val="3"/>
                <w:color w:val="auto"/>
              </w:rPr>
            </w:pPr>
          </w:p>
        </w:tc>
        <w:tc>
          <w:tcPr>
            <w:tcW w:w="1000" w:type="dxa"/>
            <w:vAlign w:val="bottom"/>
            <w:tcBorders>
              <w:bottom w:val="single" w:sz="8" w:color="345988"/>
            </w:tcBorders>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Borders>
              <w:bottom w:val="single" w:sz="8" w:color="345988"/>
            </w:tcBorders>
          </w:tcPr>
          <w:p>
            <w:pPr>
              <w:spacing w:after="0"/>
              <w:rPr>
                <w:sz w:val="3"/>
                <w:szCs w:val="3"/>
                <w:color w:val="auto"/>
              </w:rPr>
            </w:pPr>
          </w:p>
        </w:tc>
        <w:tc>
          <w:tcPr>
            <w:tcW w:w="920" w:type="dxa"/>
            <w:vAlign w:val="bottom"/>
            <w:tcBorders>
              <w:bottom w:val="single" w:sz="8" w:color="345988"/>
            </w:tcBorders>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Borders>
              <w:bottom w:val="single" w:sz="8" w:color="345988"/>
            </w:tcBorders>
          </w:tcPr>
          <w:p>
            <w:pPr>
              <w:spacing w:after="0"/>
              <w:rPr>
                <w:sz w:val="3"/>
                <w:szCs w:val="3"/>
                <w:color w:val="auto"/>
              </w:rPr>
            </w:pPr>
          </w:p>
        </w:tc>
        <w:tc>
          <w:tcPr>
            <w:tcW w:w="980" w:type="dxa"/>
            <w:vAlign w:val="bottom"/>
            <w:tcBorders>
              <w:bottom w:val="single" w:sz="8" w:color="345988"/>
            </w:tcBorders>
          </w:tcPr>
          <w:p>
            <w:pPr>
              <w:spacing w:after="0"/>
              <w:rPr>
                <w:sz w:val="3"/>
                <w:szCs w:val="3"/>
                <w:color w:val="auto"/>
              </w:rPr>
            </w:pPr>
          </w:p>
        </w:tc>
      </w:tr>
      <w:tr>
        <w:trPr>
          <w:trHeight w:val="243"/>
        </w:trPr>
        <w:tc>
          <w:tcPr>
            <w:tcW w:w="4340" w:type="dxa"/>
            <w:vAlign w:val="bottom"/>
            <w:tcBorders>
              <w:bottom w:val="single" w:sz="8" w:color="8590A9"/>
            </w:tcBorders>
          </w:tcPr>
          <w:p>
            <w:pPr>
              <w:spacing w:after="0"/>
              <w:rPr>
                <w:sz w:val="20"/>
                <w:szCs w:val="20"/>
                <w:color w:val="auto"/>
              </w:rPr>
            </w:pPr>
            <w:r>
              <w:rPr>
                <w:rFonts w:ascii="Arial" w:cs="Arial" w:eastAsia="Arial" w:hAnsi="Arial"/>
                <w:sz w:val="18"/>
                <w:szCs w:val="18"/>
                <w:b w:val="1"/>
                <w:bCs w:val="1"/>
                <w:color w:val="auto"/>
              </w:rPr>
              <w:t>FFO Reconciliation:</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income attributable to SL Green common</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stockholders</w:t>
            </w: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86,424</w:t>
            </w:r>
          </w:p>
        </w:tc>
        <w:tc>
          <w:tcPr>
            <w:tcW w:w="4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234,946</w:t>
            </w:r>
          </w:p>
        </w:tc>
        <w:tc>
          <w:tcPr>
            <w:tcW w:w="520" w:type="dxa"/>
            <w:vAlign w:val="bottom"/>
            <w:gridSpan w:val="3"/>
          </w:tcPr>
          <w:p>
            <w:pPr>
              <w:jc w:val="right"/>
              <w:ind w:right="12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269,132</w:t>
            </w:r>
          </w:p>
        </w:tc>
        <w:tc>
          <w:tcPr>
            <w:tcW w:w="16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503,104</w:t>
            </w:r>
          </w:p>
        </w:tc>
        <w:tc>
          <w:tcPr>
            <w:tcW w:w="16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101,330</w:t>
            </w:r>
          </w:p>
        </w:tc>
      </w:tr>
      <w:tr>
        <w:trPr>
          <w:trHeight w:val="370"/>
        </w:trPr>
        <w:tc>
          <w:tcPr>
            <w:tcW w:w="434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24"/>
                <w:szCs w:val="24"/>
                <w:color w:val="auto"/>
              </w:rPr>
            </w:pPr>
          </w:p>
        </w:tc>
        <w:tc>
          <w:tcPr>
            <w:tcW w:w="280" w:type="dxa"/>
            <w:vAlign w:val="bottom"/>
            <w:tcBorders>
              <w:top w:val="single" w:sz="8" w:color="8590A9"/>
            </w:tcBorders>
          </w:tcPr>
          <w:p>
            <w:pPr>
              <w:spacing w:after="0"/>
              <w:rPr>
                <w:sz w:val="24"/>
                <w:szCs w:val="24"/>
                <w:color w:val="auto"/>
              </w:rPr>
            </w:pPr>
          </w:p>
        </w:tc>
        <w:tc>
          <w:tcPr>
            <w:tcW w:w="960" w:type="dxa"/>
            <w:vAlign w:val="bottom"/>
            <w:tcBorders>
              <w:top w:val="single" w:sz="8" w:color="8590A9"/>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8590A9"/>
            </w:tcBorders>
          </w:tcPr>
          <w:p>
            <w:pPr>
              <w:spacing w:after="0"/>
              <w:rPr>
                <w:sz w:val="24"/>
                <w:szCs w:val="24"/>
                <w:color w:val="auto"/>
              </w:rPr>
            </w:pPr>
          </w:p>
        </w:tc>
        <w:tc>
          <w:tcPr>
            <w:tcW w:w="920" w:type="dxa"/>
            <w:vAlign w:val="bottom"/>
            <w:tcBorders>
              <w:top w:val="single" w:sz="8" w:color="8590A9"/>
            </w:tcBorders>
          </w:tcPr>
          <w:p>
            <w:pPr>
              <w:spacing w:after="0"/>
              <w:rPr>
                <w:sz w:val="24"/>
                <w:szCs w:val="24"/>
                <w:color w:val="auto"/>
              </w:rPr>
            </w:pPr>
          </w:p>
        </w:tc>
        <w:tc>
          <w:tcPr>
            <w:tcW w:w="60" w:type="dxa"/>
            <w:vAlign w:val="bottom"/>
            <w:tcBorders>
              <w:top w:val="single" w:sz="8" w:color="8590A9"/>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top w:val="single" w:sz="8" w:color="8590A9"/>
            </w:tcBorders>
          </w:tcPr>
          <w:p>
            <w:pPr>
              <w:spacing w:after="0"/>
              <w:rPr>
                <w:sz w:val="24"/>
                <w:szCs w:val="24"/>
                <w:color w:val="auto"/>
              </w:rPr>
            </w:pPr>
          </w:p>
        </w:tc>
        <w:tc>
          <w:tcPr>
            <w:tcW w:w="1000" w:type="dxa"/>
            <w:vAlign w:val="bottom"/>
            <w:tcBorders>
              <w:top w:val="single" w:sz="8" w:color="8590A9"/>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top w:val="single" w:sz="8" w:color="8590A9"/>
            </w:tcBorders>
          </w:tcPr>
          <w:p>
            <w:pPr>
              <w:spacing w:after="0"/>
              <w:rPr>
                <w:sz w:val="24"/>
                <w:szCs w:val="24"/>
                <w:color w:val="auto"/>
              </w:rPr>
            </w:pPr>
          </w:p>
        </w:tc>
        <w:tc>
          <w:tcPr>
            <w:tcW w:w="920" w:type="dxa"/>
            <w:vAlign w:val="bottom"/>
            <w:tcBorders>
              <w:top w:val="single" w:sz="8" w:color="8590A9"/>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8590A9"/>
            </w:tcBorders>
          </w:tcPr>
          <w:p>
            <w:pPr>
              <w:spacing w:after="0"/>
              <w:rPr>
                <w:sz w:val="24"/>
                <w:szCs w:val="24"/>
                <w:color w:val="auto"/>
              </w:rPr>
            </w:pPr>
          </w:p>
        </w:tc>
        <w:tc>
          <w:tcPr>
            <w:tcW w:w="980" w:type="dxa"/>
            <w:vAlign w:val="bottom"/>
            <w:tcBorders>
              <w:top w:val="single" w:sz="8" w:color="8590A9"/>
            </w:tcBorders>
          </w:tcPr>
          <w:p>
            <w:pPr>
              <w:spacing w:after="0"/>
              <w:rPr>
                <w:sz w:val="24"/>
                <w:szCs w:val="24"/>
                <w:color w:val="auto"/>
              </w:rPr>
            </w:pPr>
          </w:p>
        </w:tc>
      </w:tr>
      <w:tr>
        <w:trPr>
          <w:trHeight w:val="240"/>
        </w:trPr>
        <w:tc>
          <w:tcPr>
            <w:tcW w:w="43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403,320</w:t>
            </w:r>
          </w:p>
        </w:tc>
        <w:tc>
          <w:tcPr>
            <w:tcW w:w="160" w:type="dxa"/>
            <w:vAlign w:val="bottom"/>
          </w:tcPr>
          <w:p>
            <w:pPr>
              <w:spacing w:after="0"/>
              <w:rPr>
                <w:sz w:val="20"/>
                <w:szCs w:val="20"/>
                <w:color w:val="auto"/>
              </w:rPr>
            </w:pPr>
          </w:p>
        </w:tc>
        <w:tc>
          <w:tcPr>
            <w:tcW w:w="3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821,041</w:t>
            </w:r>
          </w:p>
        </w:tc>
        <w:tc>
          <w:tcPr>
            <w:tcW w:w="60" w:type="dxa"/>
            <w:vAlign w:val="bottom"/>
            <w:tcBorders>
              <w:bottom w:val="single" w:sz="8" w:color="8590A9"/>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100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560,887</w:t>
            </w:r>
          </w:p>
        </w:tc>
        <w:tc>
          <w:tcPr>
            <w:tcW w:w="160" w:type="dxa"/>
            <w:vAlign w:val="bottom"/>
          </w:tcPr>
          <w:p>
            <w:pPr>
              <w:spacing w:after="0"/>
              <w:rPr>
                <w:sz w:val="20"/>
                <w:szCs w:val="20"/>
                <w:color w:val="auto"/>
              </w:rPr>
            </w:pPr>
          </w:p>
        </w:tc>
        <w:tc>
          <w:tcPr>
            <w:tcW w:w="26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371,610</w:t>
            </w:r>
          </w:p>
        </w:tc>
        <w:tc>
          <w:tcPr>
            <w:tcW w:w="160" w:type="dxa"/>
            <w:vAlign w:val="bottom"/>
          </w:tcPr>
          <w:p>
            <w:pPr>
              <w:spacing w:after="0"/>
              <w:rPr>
                <w:sz w:val="20"/>
                <w:szCs w:val="20"/>
                <w:color w:val="auto"/>
              </w:rPr>
            </w:pPr>
          </w:p>
        </w:tc>
        <w:tc>
          <w:tcPr>
            <w:tcW w:w="3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324,461</w:t>
            </w:r>
          </w:p>
        </w:tc>
      </w:tr>
      <w:tr>
        <w:trPr>
          <w:trHeight w:val="236"/>
        </w:trPr>
        <w:tc>
          <w:tcPr>
            <w:tcW w:w="43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Discontinued operations depreciation adjustments</w:t>
            </w:r>
          </w:p>
        </w:tc>
        <w:tc>
          <w:tcPr>
            <w:tcW w:w="16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8590A9"/>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100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5,581</w:t>
            </w:r>
          </w:p>
        </w:tc>
        <w:tc>
          <w:tcPr>
            <w:tcW w:w="160" w:type="dxa"/>
            <w:vAlign w:val="bottom"/>
          </w:tcPr>
          <w:p>
            <w:pPr>
              <w:spacing w:after="0"/>
              <w:rPr>
                <w:sz w:val="20"/>
                <w:szCs w:val="20"/>
                <w:color w:val="auto"/>
              </w:rPr>
            </w:pPr>
          </w:p>
        </w:tc>
        <w:tc>
          <w:tcPr>
            <w:tcW w:w="3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16,443</w:t>
            </w:r>
          </w:p>
        </w:tc>
      </w:tr>
      <w:tr>
        <w:trPr>
          <w:trHeight w:val="233"/>
        </w:trPr>
        <w:tc>
          <w:tcPr>
            <w:tcW w:w="4340" w:type="dxa"/>
            <w:vAlign w:val="bottom"/>
          </w:tcPr>
          <w:p>
            <w:pPr>
              <w:spacing w:after="0"/>
              <w:rPr>
                <w:sz w:val="20"/>
                <w:szCs w:val="20"/>
                <w:color w:val="auto"/>
              </w:rPr>
            </w:pPr>
            <w:r>
              <w:rPr>
                <w:rFonts w:ascii="Arial" w:cs="Arial" w:eastAsia="Arial" w:hAnsi="Arial"/>
                <w:sz w:val="18"/>
                <w:szCs w:val="18"/>
                <w:color w:val="auto"/>
              </w:rPr>
              <w:t>Joint venture depreciation and noncontrolling interest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43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1"/>
                <w:szCs w:val="21"/>
                <w:color w:val="auto"/>
              </w:rPr>
            </w:pPr>
          </w:p>
        </w:tc>
        <w:tc>
          <w:tcPr>
            <w:tcW w:w="280" w:type="dxa"/>
            <w:vAlign w:val="bottom"/>
            <w:tcBorders>
              <w:bottom w:val="single" w:sz="8" w:color="8590A9"/>
            </w:tcBorders>
          </w:tcPr>
          <w:p>
            <w:pPr>
              <w:spacing w:after="0"/>
              <w:rPr>
                <w:sz w:val="21"/>
                <w:szCs w:val="21"/>
                <w:color w:val="auto"/>
              </w:rPr>
            </w:pP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102,334</w:t>
            </w:r>
          </w:p>
        </w:tc>
        <w:tc>
          <w:tcPr>
            <w:tcW w:w="160" w:type="dxa"/>
            <w:vAlign w:val="bottom"/>
          </w:tcPr>
          <w:p>
            <w:pPr>
              <w:spacing w:after="0"/>
              <w:rPr>
                <w:sz w:val="21"/>
                <w:szCs w:val="21"/>
                <w:color w:val="auto"/>
              </w:rPr>
            </w:pPr>
          </w:p>
        </w:tc>
        <w:tc>
          <w:tcPr>
            <w:tcW w:w="30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69,853</w:t>
            </w:r>
          </w:p>
        </w:tc>
        <w:tc>
          <w:tcPr>
            <w:tcW w:w="60" w:type="dxa"/>
            <w:vAlign w:val="bottom"/>
            <w:tcBorders>
              <w:bottom w:val="single" w:sz="8" w:color="8590A9"/>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8590A9"/>
            </w:tcBorders>
          </w:tcPr>
          <w:p>
            <w:pPr>
              <w:spacing w:after="0"/>
              <w:rPr>
                <w:sz w:val="21"/>
                <w:szCs w:val="21"/>
                <w:color w:val="auto"/>
              </w:rPr>
            </w:pPr>
          </w:p>
        </w:tc>
        <w:tc>
          <w:tcPr>
            <w:tcW w:w="100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34,226</w:t>
            </w:r>
          </w:p>
        </w:tc>
        <w:tc>
          <w:tcPr>
            <w:tcW w:w="160" w:type="dxa"/>
            <w:vAlign w:val="bottom"/>
          </w:tcPr>
          <w:p>
            <w:pPr>
              <w:spacing w:after="0"/>
              <w:rPr>
                <w:sz w:val="21"/>
                <w:szCs w:val="21"/>
                <w:color w:val="auto"/>
              </w:rPr>
            </w:pPr>
          </w:p>
        </w:tc>
        <w:tc>
          <w:tcPr>
            <w:tcW w:w="26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33,487</w:t>
            </w:r>
          </w:p>
        </w:tc>
        <w:tc>
          <w:tcPr>
            <w:tcW w:w="160" w:type="dxa"/>
            <w:vAlign w:val="bottom"/>
          </w:tcPr>
          <w:p>
            <w:pPr>
              <w:spacing w:after="0"/>
              <w:rPr>
                <w:sz w:val="21"/>
                <w:szCs w:val="21"/>
                <w:color w:val="auto"/>
              </w:rPr>
            </w:pPr>
          </w:p>
        </w:tc>
        <w:tc>
          <w:tcPr>
            <w:tcW w:w="300" w:type="dxa"/>
            <w:vAlign w:val="bottom"/>
            <w:tcBorders>
              <w:bottom w:val="single" w:sz="8" w:color="8590A9"/>
            </w:tcBorders>
          </w:tcPr>
          <w:p>
            <w:pPr>
              <w:spacing w:after="0"/>
              <w:rPr>
                <w:sz w:val="21"/>
                <w:szCs w:val="21"/>
                <w:color w:val="auto"/>
              </w:rPr>
            </w:pPr>
          </w:p>
        </w:tc>
        <w:tc>
          <w:tcPr>
            <w:tcW w:w="98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51,266</w:t>
            </w:r>
          </w:p>
        </w:tc>
      </w:tr>
      <w:tr>
        <w:trPr>
          <w:trHeight w:val="239"/>
        </w:trPr>
        <w:tc>
          <w:tcPr>
            <w:tcW w:w="43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w w:val="97"/>
              </w:rPr>
              <w:t>Net (loss) income attributable to noncontrolling interests</w:t>
            </w:r>
          </w:p>
        </w:tc>
        <w:tc>
          <w:tcPr>
            <w:tcW w:w="16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(11,706)</w:t>
            </w:r>
          </w:p>
        </w:tc>
        <w:tc>
          <w:tcPr>
            <w:tcW w:w="160" w:type="dxa"/>
            <w:vAlign w:val="bottom"/>
          </w:tcPr>
          <w:p>
            <w:pPr>
              <w:spacing w:after="0"/>
              <w:rPr>
                <w:sz w:val="20"/>
                <w:szCs w:val="20"/>
                <w:color w:val="auto"/>
              </w:rPr>
            </w:pPr>
          </w:p>
        </w:tc>
        <w:tc>
          <w:tcPr>
            <w:tcW w:w="3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17,780</w:t>
            </w:r>
          </w:p>
        </w:tc>
        <w:tc>
          <w:tcPr>
            <w:tcW w:w="60" w:type="dxa"/>
            <w:vAlign w:val="bottom"/>
            <w:tcBorders>
              <w:bottom w:val="single" w:sz="8" w:color="8590A9"/>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100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26,408</w:t>
            </w:r>
          </w:p>
        </w:tc>
        <w:tc>
          <w:tcPr>
            <w:tcW w:w="160" w:type="dxa"/>
            <w:vAlign w:val="bottom"/>
          </w:tcPr>
          <w:p>
            <w:pPr>
              <w:spacing w:after="0"/>
              <w:rPr>
                <w:sz w:val="20"/>
                <w:szCs w:val="20"/>
                <w:color w:val="auto"/>
              </w:rPr>
            </w:pPr>
          </w:p>
        </w:tc>
        <w:tc>
          <w:tcPr>
            <w:tcW w:w="26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25,057</w:t>
            </w:r>
          </w:p>
        </w:tc>
        <w:tc>
          <w:tcPr>
            <w:tcW w:w="160" w:type="dxa"/>
            <w:vAlign w:val="bottom"/>
          </w:tcPr>
          <w:p>
            <w:pPr>
              <w:spacing w:after="0"/>
              <w:rPr>
                <w:sz w:val="20"/>
                <w:szCs w:val="20"/>
                <w:color w:val="auto"/>
              </w:rPr>
            </w:pPr>
          </w:p>
        </w:tc>
        <w:tc>
          <w:tcPr>
            <w:tcW w:w="3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13,652</w:t>
            </w:r>
          </w:p>
        </w:tc>
      </w:tr>
      <w:tr>
        <w:trPr>
          <w:trHeight w:val="236"/>
        </w:trPr>
        <w:tc>
          <w:tcPr>
            <w:tcW w:w="43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3"/>
        </w:trPr>
        <w:tc>
          <w:tcPr>
            <w:tcW w:w="4340" w:type="dxa"/>
            <w:vAlign w:val="bottom"/>
          </w:tcPr>
          <w:p>
            <w:pPr>
              <w:spacing w:after="0"/>
              <w:rPr>
                <w:sz w:val="20"/>
                <w:szCs w:val="20"/>
                <w:color w:val="auto"/>
              </w:rPr>
            </w:pPr>
            <w:r>
              <w:rPr>
                <w:rFonts w:ascii="Arial" w:cs="Arial" w:eastAsia="Arial" w:hAnsi="Arial"/>
                <w:sz w:val="18"/>
                <w:szCs w:val="18"/>
                <w:color w:val="auto"/>
                <w:w w:val="97"/>
              </w:rPr>
              <w:t>Gain on sale of real estate and discontinued operations,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43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1"/>
                <w:szCs w:val="21"/>
                <w:color w:val="auto"/>
              </w:rPr>
            </w:pPr>
          </w:p>
        </w:tc>
        <w:tc>
          <w:tcPr>
            <w:tcW w:w="280" w:type="dxa"/>
            <w:vAlign w:val="bottom"/>
            <w:tcBorders>
              <w:bottom w:val="single" w:sz="8" w:color="8590A9"/>
            </w:tcBorders>
          </w:tcPr>
          <w:p>
            <w:pPr>
              <w:spacing w:after="0"/>
              <w:rPr>
                <w:sz w:val="21"/>
                <w:szCs w:val="21"/>
                <w:color w:val="auto"/>
              </w:rPr>
            </w:pP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73,241</w:t>
            </w:r>
          </w:p>
        </w:tc>
        <w:tc>
          <w:tcPr>
            <w:tcW w:w="160" w:type="dxa"/>
            <w:vAlign w:val="bottom"/>
          </w:tcPr>
          <w:p>
            <w:pPr>
              <w:spacing w:after="0"/>
              <w:rPr>
                <w:sz w:val="21"/>
                <w:szCs w:val="21"/>
                <w:color w:val="auto"/>
              </w:rPr>
            </w:pPr>
          </w:p>
        </w:tc>
        <w:tc>
          <w:tcPr>
            <w:tcW w:w="30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238,116</w:t>
            </w:r>
          </w:p>
        </w:tc>
        <w:tc>
          <w:tcPr>
            <w:tcW w:w="60" w:type="dxa"/>
            <w:vAlign w:val="bottom"/>
            <w:tcBorders>
              <w:bottom w:val="single" w:sz="8" w:color="8590A9"/>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8590A9"/>
            </w:tcBorders>
          </w:tcPr>
          <w:p>
            <w:pPr>
              <w:spacing w:after="0"/>
              <w:rPr>
                <w:sz w:val="21"/>
                <w:szCs w:val="21"/>
                <w:color w:val="auto"/>
              </w:rPr>
            </w:pPr>
          </w:p>
        </w:tc>
        <w:tc>
          <w:tcPr>
            <w:tcW w:w="100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190,096</w:t>
            </w:r>
          </w:p>
        </w:tc>
        <w:tc>
          <w:tcPr>
            <w:tcW w:w="160" w:type="dxa"/>
            <w:vAlign w:val="bottom"/>
          </w:tcPr>
          <w:p>
            <w:pPr>
              <w:spacing w:after="0"/>
              <w:rPr>
                <w:sz w:val="21"/>
                <w:szCs w:val="21"/>
                <w:color w:val="auto"/>
              </w:rPr>
            </w:pPr>
          </w:p>
        </w:tc>
        <w:tc>
          <w:tcPr>
            <w:tcW w:w="26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163,059</w:t>
            </w:r>
          </w:p>
        </w:tc>
        <w:tc>
          <w:tcPr>
            <w:tcW w:w="160" w:type="dxa"/>
            <w:vAlign w:val="bottom"/>
          </w:tcPr>
          <w:p>
            <w:pPr>
              <w:spacing w:after="0"/>
              <w:rPr>
                <w:sz w:val="21"/>
                <w:szCs w:val="21"/>
                <w:color w:val="auto"/>
              </w:rPr>
            </w:pPr>
          </w:p>
        </w:tc>
        <w:tc>
          <w:tcPr>
            <w:tcW w:w="300" w:type="dxa"/>
            <w:vAlign w:val="bottom"/>
            <w:tcBorders>
              <w:bottom w:val="single" w:sz="8" w:color="8590A9"/>
            </w:tcBorders>
          </w:tcPr>
          <w:p>
            <w:pPr>
              <w:spacing w:after="0"/>
              <w:rPr>
                <w:sz w:val="21"/>
                <w:szCs w:val="21"/>
                <w:color w:val="auto"/>
              </w:rPr>
            </w:pPr>
          </w:p>
        </w:tc>
        <w:tc>
          <w:tcPr>
            <w:tcW w:w="98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14,900</w:t>
            </w:r>
          </w:p>
        </w:tc>
      </w:tr>
      <w:tr>
        <w:trPr>
          <w:trHeight w:val="236"/>
        </w:trPr>
        <w:tc>
          <w:tcPr>
            <w:tcW w:w="4340" w:type="dxa"/>
            <w:vAlign w:val="bottom"/>
          </w:tcPr>
          <w:p>
            <w:pPr>
              <w:spacing w:after="0"/>
              <w:rPr>
                <w:sz w:val="20"/>
                <w:szCs w:val="20"/>
                <w:color w:val="auto"/>
              </w:rPr>
            </w:pPr>
            <w:r>
              <w:rPr>
                <w:rFonts w:ascii="Arial" w:cs="Arial" w:eastAsia="Arial" w:hAnsi="Arial"/>
                <w:sz w:val="18"/>
                <w:szCs w:val="18"/>
                <w:color w:val="auto"/>
              </w:rPr>
              <w:t>Equity in net gain on sale of interest in unconsolidated</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43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joint venture/real estate</w:t>
            </w:r>
          </w:p>
        </w:tc>
        <w:tc>
          <w:tcPr>
            <w:tcW w:w="160" w:type="dxa"/>
            <w:vAlign w:val="bottom"/>
          </w:tcPr>
          <w:p>
            <w:pPr>
              <w:spacing w:after="0"/>
              <w:rPr>
                <w:sz w:val="21"/>
                <w:szCs w:val="21"/>
                <w:color w:val="auto"/>
              </w:rPr>
            </w:pPr>
          </w:p>
        </w:tc>
        <w:tc>
          <w:tcPr>
            <w:tcW w:w="280" w:type="dxa"/>
            <w:vAlign w:val="bottom"/>
            <w:tcBorders>
              <w:bottom w:val="single" w:sz="8" w:color="8590A9"/>
            </w:tcBorders>
          </w:tcPr>
          <w:p>
            <w:pPr>
              <w:spacing w:after="0"/>
              <w:rPr>
                <w:sz w:val="21"/>
                <w:szCs w:val="21"/>
                <w:color w:val="auto"/>
              </w:rPr>
            </w:pP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16,166</w:t>
            </w:r>
          </w:p>
        </w:tc>
        <w:tc>
          <w:tcPr>
            <w:tcW w:w="160" w:type="dxa"/>
            <w:vAlign w:val="bottom"/>
          </w:tcPr>
          <w:p>
            <w:pPr>
              <w:spacing w:after="0"/>
              <w:rPr>
                <w:sz w:val="21"/>
                <w:szCs w:val="21"/>
                <w:color w:val="auto"/>
              </w:rPr>
            </w:pPr>
          </w:p>
        </w:tc>
        <w:tc>
          <w:tcPr>
            <w:tcW w:w="30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44,009</w:t>
            </w:r>
          </w:p>
        </w:tc>
        <w:tc>
          <w:tcPr>
            <w:tcW w:w="60" w:type="dxa"/>
            <w:vAlign w:val="bottom"/>
            <w:tcBorders>
              <w:bottom w:val="single" w:sz="8" w:color="8590A9"/>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8590A9"/>
            </w:tcBorders>
          </w:tcPr>
          <w:p>
            <w:pPr>
              <w:spacing w:after="0"/>
              <w:rPr>
                <w:sz w:val="21"/>
                <w:szCs w:val="21"/>
                <w:color w:val="auto"/>
              </w:rPr>
            </w:pPr>
          </w:p>
        </w:tc>
        <w:tc>
          <w:tcPr>
            <w:tcW w:w="100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15,844</w:t>
            </w:r>
          </w:p>
        </w:tc>
        <w:tc>
          <w:tcPr>
            <w:tcW w:w="160" w:type="dxa"/>
            <w:vAlign w:val="bottom"/>
          </w:tcPr>
          <w:p>
            <w:pPr>
              <w:spacing w:after="0"/>
              <w:rPr>
                <w:sz w:val="21"/>
                <w:szCs w:val="21"/>
                <w:color w:val="auto"/>
              </w:rPr>
            </w:pPr>
          </w:p>
        </w:tc>
        <w:tc>
          <w:tcPr>
            <w:tcW w:w="26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123,253</w:t>
            </w:r>
          </w:p>
        </w:tc>
        <w:tc>
          <w:tcPr>
            <w:tcW w:w="160" w:type="dxa"/>
            <w:vAlign w:val="bottom"/>
          </w:tcPr>
          <w:p>
            <w:pPr>
              <w:spacing w:after="0"/>
              <w:rPr>
                <w:sz w:val="21"/>
                <w:szCs w:val="21"/>
                <w:color w:val="auto"/>
              </w:rPr>
            </w:pPr>
          </w:p>
        </w:tc>
        <w:tc>
          <w:tcPr>
            <w:tcW w:w="300" w:type="dxa"/>
            <w:vAlign w:val="bottom"/>
            <w:tcBorders>
              <w:bottom w:val="single" w:sz="8" w:color="8590A9"/>
            </w:tcBorders>
          </w:tcPr>
          <w:p>
            <w:pPr>
              <w:spacing w:after="0"/>
              <w:rPr>
                <w:sz w:val="21"/>
                <w:szCs w:val="21"/>
                <w:color w:val="auto"/>
              </w:rPr>
            </w:pPr>
          </w:p>
        </w:tc>
        <w:tc>
          <w:tcPr>
            <w:tcW w:w="98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3,601</w:t>
            </w:r>
          </w:p>
        </w:tc>
      </w:tr>
      <w:tr>
        <w:trPr>
          <w:trHeight w:val="239"/>
        </w:trPr>
        <w:tc>
          <w:tcPr>
            <w:tcW w:w="43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Purchase price fair value adjustment</w:t>
            </w:r>
          </w:p>
        </w:tc>
        <w:tc>
          <w:tcPr>
            <w:tcW w:w="16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8590A9"/>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100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40,078</w:t>
            </w:r>
          </w:p>
        </w:tc>
        <w:tc>
          <w:tcPr>
            <w:tcW w:w="160" w:type="dxa"/>
            <w:vAlign w:val="bottom"/>
          </w:tcPr>
          <w:p>
            <w:pPr>
              <w:spacing w:after="0"/>
              <w:rPr>
                <w:sz w:val="20"/>
                <w:szCs w:val="20"/>
                <w:color w:val="auto"/>
              </w:rPr>
            </w:pPr>
          </w:p>
        </w:tc>
        <w:tc>
          <w:tcPr>
            <w:tcW w:w="26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67,446</w:t>
            </w:r>
          </w:p>
        </w:tc>
        <w:tc>
          <w:tcPr>
            <w:tcW w:w="160" w:type="dxa"/>
            <w:vAlign w:val="bottom"/>
          </w:tcPr>
          <w:p>
            <w:pPr>
              <w:spacing w:after="0"/>
              <w:rPr>
                <w:sz w:val="20"/>
                <w:szCs w:val="20"/>
                <w:color w:val="auto"/>
              </w:rPr>
            </w:pPr>
          </w:p>
        </w:tc>
        <w:tc>
          <w:tcPr>
            <w:tcW w:w="3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(2,305)</w:t>
            </w:r>
          </w:p>
        </w:tc>
      </w:tr>
      <w:tr>
        <w:trPr>
          <w:trHeight w:val="236"/>
        </w:trPr>
        <w:tc>
          <w:tcPr>
            <w:tcW w:w="43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Depreciable real estate reserve</w:t>
            </w:r>
          </w:p>
        </w:tc>
        <w:tc>
          <w:tcPr>
            <w:tcW w:w="16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(178,520)</w:t>
            </w:r>
          </w:p>
        </w:tc>
        <w:tc>
          <w:tcPr>
            <w:tcW w:w="160" w:type="dxa"/>
            <w:vAlign w:val="bottom"/>
          </w:tcPr>
          <w:p>
            <w:pPr>
              <w:spacing w:after="0"/>
              <w:rPr>
                <w:sz w:val="20"/>
                <w:szCs w:val="20"/>
                <w:color w:val="auto"/>
              </w:rPr>
            </w:pPr>
          </w:p>
        </w:tc>
        <w:tc>
          <w:tcPr>
            <w:tcW w:w="3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gridSpan w:val="2"/>
          </w:tcPr>
          <w:p>
            <w:pPr>
              <w:jc w:val="right"/>
              <w:spacing w:after="0"/>
              <w:rPr>
                <w:sz w:val="20"/>
                <w:szCs w:val="20"/>
                <w:color w:val="auto"/>
              </w:rPr>
            </w:pPr>
            <w:r>
              <w:rPr>
                <w:rFonts w:ascii="Arial" w:cs="Arial" w:eastAsia="Arial" w:hAnsi="Arial"/>
                <w:sz w:val="18"/>
                <w:szCs w:val="18"/>
                <w:color w:val="auto"/>
              </w:rPr>
              <w:t>(10,387)</w:t>
            </w:r>
          </w:p>
        </w:tc>
        <w:tc>
          <w:tcPr>
            <w:tcW w:w="18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10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(19,226)</w:t>
            </w:r>
          </w:p>
        </w:tc>
        <w:tc>
          <w:tcPr>
            <w:tcW w:w="160" w:type="dxa"/>
            <w:vAlign w:val="bottom"/>
          </w:tcPr>
          <w:p>
            <w:pPr>
              <w:spacing w:after="0"/>
              <w:rPr>
                <w:sz w:val="20"/>
                <w:szCs w:val="20"/>
                <w:color w:val="auto"/>
              </w:rPr>
            </w:pPr>
          </w:p>
        </w:tc>
        <w:tc>
          <w:tcPr>
            <w:tcW w:w="26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(2,150)</w:t>
            </w:r>
          </w:p>
        </w:tc>
      </w:tr>
      <w:tr>
        <w:trPr>
          <w:trHeight w:val="233"/>
        </w:trPr>
        <w:tc>
          <w:tcPr>
            <w:tcW w:w="4340" w:type="dxa"/>
            <w:vAlign w:val="bottom"/>
          </w:tcPr>
          <w:p>
            <w:pPr>
              <w:spacing w:after="0"/>
              <w:rPr>
                <w:sz w:val="20"/>
                <w:szCs w:val="20"/>
                <w:color w:val="auto"/>
              </w:rPr>
            </w:pPr>
            <w:r>
              <w:rPr>
                <w:rFonts w:ascii="Arial" w:cs="Arial" w:eastAsia="Arial" w:hAnsi="Arial"/>
                <w:sz w:val="18"/>
                <w:szCs w:val="18"/>
                <w:color w:val="auto"/>
              </w:rPr>
              <w:t>Depreciation on non-rental</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43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real estate assets</w:t>
            </w:r>
          </w:p>
        </w:tc>
        <w:tc>
          <w:tcPr>
            <w:tcW w:w="160" w:type="dxa"/>
            <w:vAlign w:val="bottom"/>
          </w:tcPr>
          <w:p>
            <w:pPr>
              <w:spacing w:after="0"/>
              <w:rPr>
                <w:sz w:val="21"/>
                <w:szCs w:val="21"/>
                <w:color w:val="auto"/>
              </w:rPr>
            </w:pPr>
          </w:p>
        </w:tc>
        <w:tc>
          <w:tcPr>
            <w:tcW w:w="280" w:type="dxa"/>
            <w:vAlign w:val="bottom"/>
            <w:tcBorders>
              <w:bottom w:val="single" w:sz="8" w:color="8590A9"/>
            </w:tcBorders>
          </w:tcPr>
          <w:p>
            <w:pPr>
              <w:spacing w:after="0"/>
              <w:rPr>
                <w:sz w:val="21"/>
                <w:szCs w:val="21"/>
                <w:color w:val="auto"/>
              </w:rPr>
            </w:pP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2,191</w:t>
            </w:r>
          </w:p>
        </w:tc>
        <w:tc>
          <w:tcPr>
            <w:tcW w:w="160" w:type="dxa"/>
            <w:vAlign w:val="bottom"/>
          </w:tcPr>
          <w:p>
            <w:pPr>
              <w:spacing w:after="0"/>
              <w:rPr>
                <w:sz w:val="21"/>
                <w:szCs w:val="21"/>
                <w:color w:val="auto"/>
              </w:rPr>
            </w:pPr>
          </w:p>
        </w:tc>
        <w:tc>
          <w:tcPr>
            <w:tcW w:w="30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2,027</w:t>
            </w:r>
          </w:p>
        </w:tc>
        <w:tc>
          <w:tcPr>
            <w:tcW w:w="60" w:type="dxa"/>
            <w:vAlign w:val="bottom"/>
            <w:tcBorders>
              <w:bottom w:val="single" w:sz="8" w:color="8590A9"/>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8590A9"/>
            </w:tcBorders>
          </w:tcPr>
          <w:p>
            <w:pPr>
              <w:spacing w:after="0"/>
              <w:rPr>
                <w:sz w:val="21"/>
                <w:szCs w:val="21"/>
                <w:color w:val="auto"/>
              </w:rPr>
            </w:pPr>
          </w:p>
        </w:tc>
        <w:tc>
          <w:tcPr>
            <w:tcW w:w="100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2,036</w:t>
            </w:r>
          </w:p>
        </w:tc>
        <w:tc>
          <w:tcPr>
            <w:tcW w:w="160" w:type="dxa"/>
            <w:vAlign w:val="bottom"/>
          </w:tcPr>
          <w:p>
            <w:pPr>
              <w:spacing w:after="0"/>
              <w:rPr>
                <w:sz w:val="21"/>
                <w:szCs w:val="21"/>
                <w:color w:val="auto"/>
              </w:rPr>
            </w:pPr>
          </w:p>
        </w:tc>
        <w:tc>
          <w:tcPr>
            <w:tcW w:w="26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2,045</w:t>
            </w:r>
          </w:p>
        </w:tc>
        <w:tc>
          <w:tcPr>
            <w:tcW w:w="160" w:type="dxa"/>
            <w:vAlign w:val="bottom"/>
          </w:tcPr>
          <w:p>
            <w:pPr>
              <w:spacing w:after="0"/>
              <w:rPr>
                <w:sz w:val="21"/>
                <w:szCs w:val="21"/>
                <w:color w:val="auto"/>
              </w:rPr>
            </w:pPr>
          </w:p>
        </w:tc>
        <w:tc>
          <w:tcPr>
            <w:tcW w:w="300" w:type="dxa"/>
            <w:vAlign w:val="bottom"/>
            <w:tcBorders>
              <w:bottom w:val="single" w:sz="8" w:color="8590A9"/>
            </w:tcBorders>
          </w:tcPr>
          <w:p>
            <w:pPr>
              <w:spacing w:after="0"/>
              <w:rPr>
                <w:sz w:val="21"/>
                <w:szCs w:val="21"/>
                <w:color w:val="auto"/>
              </w:rPr>
            </w:pPr>
          </w:p>
        </w:tc>
        <w:tc>
          <w:tcPr>
            <w:tcW w:w="98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1,509</w:t>
            </w:r>
          </w:p>
        </w:tc>
      </w:t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Funds From Operations attributable to SL Green</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8"/>
        </w:trPr>
        <w:tc>
          <w:tcPr>
            <w:tcW w:w="4340" w:type="dxa"/>
            <w:vAlign w:val="bottom"/>
          </w:tcPr>
          <w:p>
            <w:pPr>
              <w:spacing w:after="0"/>
              <w:rPr>
                <w:sz w:val="20"/>
                <w:szCs w:val="20"/>
                <w:color w:val="auto"/>
              </w:rPr>
            </w:pPr>
            <w:r>
              <w:rPr>
                <w:rFonts w:ascii="Arial" w:cs="Arial" w:eastAsia="Arial" w:hAnsi="Arial"/>
                <w:sz w:val="18"/>
                <w:szCs w:val="18"/>
                <w:b w:val="1"/>
                <w:bCs w:val="1"/>
                <w:color w:val="auto"/>
                <w:w w:val="98"/>
              </w:rPr>
              <w:t>common stockholders and noncontrolling interests</w:t>
            </w: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667,294</w:t>
            </w:r>
          </w:p>
        </w:tc>
        <w:tc>
          <w:tcPr>
            <w:tcW w:w="4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869,855</w:t>
            </w:r>
          </w:p>
        </w:tc>
        <w:tc>
          <w:tcPr>
            <w:tcW w:w="520" w:type="dxa"/>
            <w:vAlign w:val="bottom"/>
            <w:gridSpan w:val="3"/>
          </w:tcPr>
          <w:p>
            <w:pPr>
              <w:jc w:val="right"/>
              <w:ind w:right="12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661,825</w:t>
            </w:r>
          </w:p>
        </w:tc>
        <w:tc>
          <w:tcPr>
            <w:tcW w:w="16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583,036</w:t>
            </w:r>
          </w:p>
        </w:tc>
        <w:tc>
          <w:tcPr>
            <w:tcW w:w="16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491,597</w:t>
            </w:r>
          </w:p>
        </w:tc>
      </w:tr>
      <w:tr>
        <w:trPr>
          <w:trHeight w:val="232"/>
        </w:trPr>
        <w:tc>
          <w:tcPr>
            <w:tcW w:w="4340" w:type="dxa"/>
            <w:vAlign w:val="bottom"/>
            <w:tcBorders>
              <w:top w:val="single" w:sz="8" w:color="8590A9"/>
            </w:tcBorders>
          </w:tcPr>
          <w:p>
            <w:pPr>
              <w:spacing w:after="0"/>
              <w:rPr>
                <w:sz w:val="20"/>
                <w:szCs w:val="20"/>
                <w:color w:val="auto"/>
              </w:rPr>
            </w:pPr>
            <w:r>
              <w:rPr>
                <w:rFonts w:ascii="Arial" w:cs="Arial" w:eastAsia="Arial" w:hAnsi="Arial"/>
                <w:sz w:val="18"/>
                <w:szCs w:val="18"/>
                <w:color w:val="auto"/>
              </w:rPr>
              <w:t>FFO attributable to the write-off of accounting related</w:t>
            </w:r>
          </w:p>
        </w:tc>
        <w:tc>
          <w:tcPr>
            <w:tcW w:w="160" w:type="dxa"/>
            <w:vAlign w:val="bottom"/>
          </w:tcPr>
          <w:p>
            <w:pPr>
              <w:spacing w:after="0"/>
              <w:rPr>
                <w:sz w:val="20"/>
                <w:szCs w:val="20"/>
                <w:color w:val="auto"/>
              </w:rPr>
            </w:pPr>
          </w:p>
        </w:tc>
        <w:tc>
          <w:tcPr>
            <w:tcW w:w="280" w:type="dxa"/>
            <w:vAlign w:val="bottom"/>
            <w:tcBorders>
              <w:top w:val="single" w:sz="8" w:color="8590A9"/>
            </w:tcBorders>
          </w:tcPr>
          <w:p>
            <w:pPr>
              <w:spacing w:after="0"/>
              <w:rPr>
                <w:sz w:val="20"/>
                <w:szCs w:val="20"/>
                <w:color w:val="auto"/>
              </w:rPr>
            </w:pPr>
          </w:p>
        </w:tc>
        <w:tc>
          <w:tcPr>
            <w:tcW w:w="960" w:type="dxa"/>
            <w:vAlign w:val="bottom"/>
            <w:tcBorders>
              <w:top w:val="single" w:sz="8" w:color="8590A9"/>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8590A9"/>
            </w:tcBorders>
          </w:tcPr>
          <w:p>
            <w:pPr>
              <w:spacing w:after="0"/>
              <w:rPr>
                <w:sz w:val="20"/>
                <w:szCs w:val="20"/>
                <w:color w:val="auto"/>
              </w:rPr>
            </w:pPr>
          </w:p>
        </w:tc>
        <w:tc>
          <w:tcPr>
            <w:tcW w:w="920" w:type="dxa"/>
            <w:vAlign w:val="bottom"/>
            <w:tcBorders>
              <w:top w:val="single" w:sz="8" w:color="8590A9"/>
            </w:tcBorders>
          </w:tcPr>
          <w:p>
            <w:pPr>
              <w:spacing w:after="0"/>
              <w:rPr>
                <w:sz w:val="20"/>
                <w:szCs w:val="20"/>
                <w:color w:val="auto"/>
              </w:rPr>
            </w:pPr>
          </w:p>
        </w:tc>
        <w:tc>
          <w:tcPr>
            <w:tcW w:w="60" w:type="dxa"/>
            <w:vAlign w:val="bottom"/>
            <w:tcBorders>
              <w:top w:val="single" w:sz="8" w:color="8590A9"/>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8590A9"/>
            </w:tcBorders>
          </w:tcPr>
          <w:p>
            <w:pPr>
              <w:spacing w:after="0"/>
              <w:rPr>
                <w:sz w:val="20"/>
                <w:szCs w:val="20"/>
                <w:color w:val="auto"/>
              </w:rPr>
            </w:pPr>
          </w:p>
        </w:tc>
        <w:tc>
          <w:tcPr>
            <w:tcW w:w="1000" w:type="dxa"/>
            <w:vAlign w:val="bottom"/>
            <w:tcBorders>
              <w:top w:val="single" w:sz="8" w:color="8590A9"/>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8590A9"/>
            </w:tcBorders>
          </w:tcPr>
          <w:p>
            <w:pPr>
              <w:spacing w:after="0"/>
              <w:rPr>
                <w:sz w:val="20"/>
                <w:szCs w:val="20"/>
                <w:color w:val="auto"/>
              </w:rPr>
            </w:pPr>
          </w:p>
        </w:tc>
        <w:tc>
          <w:tcPr>
            <w:tcW w:w="920" w:type="dxa"/>
            <w:vAlign w:val="bottom"/>
            <w:tcBorders>
              <w:top w:val="single" w:sz="8" w:color="8590A9"/>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8590A9"/>
            </w:tcBorders>
          </w:tcPr>
          <w:p>
            <w:pPr>
              <w:spacing w:after="0"/>
              <w:rPr>
                <w:sz w:val="20"/>
                <w:szCs w:val="20"/>
                <w:color w:val="auto"/>
              </w:rPr>
            </w:pPr>
          </w:p>
        </w:tc>
        <w:tc>
          <w:tcPr>
            <w:tcW w:w="980" w:type="dxa"/>
            <w:vAlign w:val="bottom"/>
            <w:tcBorders>
              <w:top w:val="single" w:sz="8" w:color="8590A9"/>
            </w:tcBorders>
          </w:tcPr>
          <w:p>
            <w:pPr>
              <w:spacing w:after="0"/>
              <w:rPr>
                <w:sz w:val="20"/>
                <w:szCs w:val="20"/>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w w:val="99"/>
              </w:rPr>
              <w:t>balances and the 2017 portion of the lease termination</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fee related to the sale of 388-390 Greenwich Street to</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8"/>
        </w:trPr>
        <w:tc>
          <w:tcPr>
            <w:tcW w:w="43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Citigroup, Inc. in 2016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126,905</w:t>
            </w:r>
          </w:p>
        </w:tc>
        <w:tc>
          <w:tcPr>
            <w:tcW w:w="60" w:type="dxa"/>
            <w:vAlign w:val="bottom"/>
            <w:tcBorders>
              <w:bottom w:val="single" w:sz="8" w:color="8590A9"/>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Normalized Funds From Operations attributable to</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b w:val="1"/>
                <w:bCs w:val="1"/>
                <w:color w:val="auto"/>
                <w:w w:val="97"/>
              </w:rPr>
              <w:t>SL Green common stockholders and noncontrolling</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7"/>
        </w:trPr>
        <w:tc>
          <w:tcPr>
            <w:tcW w:w="4340" w:type="dxa"/>
            <w:vAlign w:val="bottom"/>
          </w:tcPr>
          <w:p>
            <w:pPr>
              <w:spacing w:after="0"/>
              <w:rPr>
                <w:sz w:val="20"/>
                <w:szCs w:val="20"/>
                <w:color w:val="auto"/>
              </w:rPr>
            </w:pPr>
            <w:r>
              <w:rPr>
                <w:rFonts w:ascii="Arial" w:cs="Arial" w:eastAsia="Arial" w:hAnsi="Arial"/>
                <w:sz w:val="18"/>
                <w:szCs w:val="18"/>
                <w:b w:val="1"/>
                <w:bCs w:val="1"/>
                <w:color w:val="auto"/>
              </w:rPr>
              <w:t>interests</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742,950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6"/>
        </w:trPr>
        <w:tc>
          <w:tcPr>
            <w:tcW w:w="434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color w:val="auto"/>
                <w:w w:val="98"/>
              </w:rPr>
              <w:t>Diluted weighted average shares and units outstanding</w:t>
            </w:r>
          </w:p>
        </w:tc>
        <w:tc>
          <w:tcPr>
            <w:tcW w:w="16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9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103,403</w:t>
            </w:r>
          </w:p>
        </w:tc>
        <w:tc>
          <w:tcPr>
            <w:tcW w:w="160" w:type="dxa"/>
            <w:vAlign w:val="bottom"/>
          </w:tcPr>
          <w:p>
            <w:pPr>
              <w:spacing w:after="0"/>
              <w:rPr>
                <w:sz w:val="20"/>
                <w:szCs w:val="20"/>
                <w:color w:val="auto"/>
              </w:rPr>
            </w:pPr>
          </w:p>
        </w:tc>
        <w:tc>
          <w:tcPr>
            <w:tcW w:w="300" w:type="dxa"/>
            <w:vAlign w:val="bottom"/>
            <w:tcBorders>
              <w:top w:val="single" w:sz="8" w:color="8590A9"/>
              <w:bottom w:val="single" w:sz="8" w:color="8590A9"/>
            </w:tcBorders>
          </w:tcPr>
          <w:p>
            <w:pPr>
              <w:spacing w:after="0"/>
              <w:rPr>
                <w:sz w:val="20"/>
                <w:szCs w:val="20"/>
                <w:color w:val="auto"/>
              </w:rPr>
            </w:pPr>
          </w:p>
        </w:tc>
        <w:tc>
          <w:tcPr>
            <w:tcW w:w="92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color w:val="auto"/>
              </w:rPr>
              <w:t>104,880</w:t>
            </w:r>
          </w:p>
        </w:tc>
        <w:tc>
          <w:tcPr>
            <w:tcW w:w="60" w:type="dxa"/>
            <w:vAlign w:val="bottom"/>
            <w:tcBorders>
              <w:top w:val="single" w:sz="8" w:color="8590A9"/>
              <w:bottom w:val="single" w:sz="8" w:color="8590A9"/>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8590A9"/>
            </w:tcBorders>
          </w:tcPr>
          <w:p>
            <w:pPr>
              <w:spacing w:after="0"/>
              <w:rPr>
                <w:sz w:val="20"/>
                <w:szCs w:val="20"/>
                <w:color w:val="auto"/>
              </w:rPr>
            </w:pPr>
          </w:p>
        </w:tc>
        <w:tc>
          <w:tcPr>
            <w:tcW w:w="100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103,735</w:t>
            </w:r>
          </w:p>
        </w:tc>
        <w:tc>
          <w:tcPr>
            <w:tcW w:w="160" w:type="dxa"/>
            <w:vAlign w:val="bottom"/>
          </w:tcPr>
          <w:p>
            <w:pPr>
              <w:spacing w:after="0"/>
              <w:rPr>
                <w:sz w:val="20"/>
                <w:szCs w:val="20"/>
                <w:color w:val="auto"/>
              </w:rPr>
            </w:pPr>
          </w:p>
        </w:tc>
        <w:tc>
          <w:tcPr>
            <w:tcW w:w="26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99,696</w:t>
            </w:r>
          </w:p>
        </w:tc>
        <w:tc>
          <w:tcPr>
            <w:tcW w:w="160" w:type="dxa"/>
            <w:vAlign w:val="bottom"/>
          </w:tcPr>
          <w:p>
            <w:pPr>
              <w:spacing w:after="0"/>
              <w:rPr>
                <w:sz w:val="20"/>
                <w:szCs w:val="20"/>
                <w:color w:val="auto"/>
              </w:rPr>
            </w:pPr>
          </w:p>
        </w:tc>
        <w:tc>
          <w:tcPr>
            <w:tcW w:w="3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95,266</w:t>
            </w:r>
          </w:p>
        </w:tc>
      </w:tr>
      <w:tr>
        <w:trPr>
          <w:trHeight w:val="246"/>
        </w:trPr>
        <w:tc>
          <w:tcPr>
            <w:tcW w:w="4340" w:type="dxa"/>
            <w:vAlign w:val="bottom"/>
            <w:tcBorders>
              <w:bottom w:val="single" w:sz="8" w:color="345988"/>
            </w:tcBorders>
          </w:tcPr>
          <w:p>
            <w:pPr>
              <w:spacing w:after="0"/>
              <w:rPr>
                <w:sz w:val="20"/>
                <w:szCs w:val="20"/>
                <w:color w:val="auto"/>
              </w:rPr>
            </w:pPr>
            <w:r>
              <w:rPr>
                <w:rFonts w:ascii="Arial" w:cs="Arial" w:eastAsia="Arial" w:hAnsi="Arial"/>
                <w:sz w:val="18"/>
                <w:szCs w:val="18"/>
                <w:b w:val="1"/>
                <w:bCs w:val="1"/>
                <w:color w:val="auto"/>
              </w:rPr>
              <w:t>Normalized FFO / FFO per share</w:t>
            </w:r>
          </w:p>
        </w:tc>
        <w:tc>
          <w:tcPr>
            <w:tcW w:w="160" w:type="dxa"/>
            <w:vAlign w:val="bottom"/>
          </w:tcPr>
          <w:p>
            <w:pPr>
              <w:spacing w:after="0"/>
              <w:rPr>
                <w:sz w:val="21"/>
                <w:szCs w:val="21"/>
                <w:color w:val="auto"/>
              </w:rPr>
            </w:pPr>
          </w:p>
        </w:tc>
        <w:tc>
          <w:tcPr>
            <w:tcW w:w="280" w:type="dxa"/>
            <w:vAlign w:val="bottom"/>
            <w:tcBorders>
              <w:bottom w:val="single" w:sz="8" w:color="345988"/>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21"/>
                <w:szCs w:val="21"/>
                <w:color w:val="auto"/>
              </w:rPr>
            </w:pPr>
          </w:p>
        </w:tc>
        <w:tc>
          <w:tcPr>
            <w:tcW w:w="300" w:type="dxa"/>
            <w:vAlign w:val="bottom"/>
            <w:tcBorders>
              <w:bottom w:val="single" w:sz="8" w:color="345988"/>
            </w:tcBorders>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7.08</w:t>
            </w:r>
          </w:p>
        </w:tc>
        <w:tc>
          <w:tcPr>
            <w:tcW w:w="60" w:type="dxa"/>
            <w:vAlign w:val="bottom"/>
            <w:tcBorders>
              <w:bottom w:val="single" w:sz="8" w:color="345988"/>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345988"/>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345988"/>
            </w:tcBorders>
          </w:tcPr>
          <w:p>
            <w:pPr>
              <w:jc w:val="right"/>
              <w:ind w:right="14"/>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21"/>
                <w:szCs w:val="21"/>
                <w:color w:val="auto"/>
              </w:rPr>
            </w:pPr>
          </w:p>
        </w:tc>
        <w:tc>
          <w:tcPr>
            <w:tcW w:w="260" w:type="dxa"/>
            <w:vAlign w:val="bottom"/>
            <w:tcBorders>
              <w:bottom w:val="single" w:sz="8" w:color="345988"/>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21"/>
                <w:szCs w:val="21"/>
                <w:color w:val="auto"/>
              </w:rPr>
            </w:pPr>
          </w:p>
        </w:tc>
        <w:tc>
          <w:tcPr>
            <w:tcW w:w="300" w:type="dxa"/>
            <w:vAlign w:val="bottom"/>
            <w:tcBorders>
              <w:bottom w:val="single" w:sz="8" w:color="345988"/>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345988"/>
            </w:tcBorders>
          </w:tcPr>
          <w:p>
            <w:pPr>
              <w:jc w:val="right"/>
              <w:ind w:right="14"/>
              <w:spacing w:after="0"/>
              <w:rPr>
                <w:sz w:val="20"/>
                <w:szCs w:val="20"/>
                <w:color w:val="auto"/>
              </w:rPr>
            </w:pPr>
            <w:r>
              <w:rPr>
                <w:rFonts w:ascii="Arial" w:cs="Arial" w:eastAsia="Arial" w:hAnsi="Arial"/>
                <w:sz w:val="18"/>
                <w:szCs w:val="18"/>
                <w:color w:val="auto"/>
              </w:rPr>
              <w:t>5.16</w:t>
            </w:r>
          </w:p>
        </w:tc>
      </w:tr>
    </w:tbl>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2018 Proxy Statement </w:t>
      </w:r>
      <w:r>
        <w:rPr>
          <w:rFonts w:ascii="Arial" w:cs="Arial" w:eastAsia="Arial" w:hAnsi="Arial"/>
          <w:sz w:val="18"/>
          <w:szCs w:val="18"/>
          <w:color w:val="345988"/>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APPENDIX A: INFORMATION REGARDING CERTAIN FINANCIAL MEASURES</w:t>
      </w:r>
    </w:p>
    <w:p>
      <w:pPr>
        <w:spacing w:after="0" w:line="21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Below are reconciliations of income from continuing operations before equity in net income of unconsolidated joint ventures, noncontrolling interests and discontinued operations to operating income and combined same-store cash net operating income for the years ended December 31, 2017 and 2016 (amounts 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960" w:type="dxa"/>
            <w:vAlign w:val="bottom"/>
            <w:gridSpan w:val="3"/>
          </w:tcPr>
          <w:p>
            <w:pPr>
              <w:spacing w:after="0"/>
              <w:rPr>
                <w:sz w:val="20"/>
                <w:szCs w:val="20"/>
                <w:color w:val="auto"/>
              </w:rPr>
            </w:pPr>
            <w:r>
              <w:rPr>
                <w:rFonts w:ascii="Arial" w:cs="Arial" w:eastAsia="Arial" w:hAnsi="Arial"/>
                <w:sz w:val="13"/>
                <w:szCs w:val="13"/>
                <w:b w:val="1"/>
                <w:bCs w:val="1"/>
                <w:color w:val="345988"/>
              </w:rPr>
              <w:t>Reconciliation of 2017 and 2016</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339"/>
        </w:trPr>
        <w:tc>
          <w:tcPr>
            <w:tcW w:w="2040" w:type="dxa"/>
            <w:vAlign w:val="bottom"/>
            <w:tcBorders>
              <w:top w:val="single" w:sz="8" w:color="345988"/>
            </w:tcBorders>
          </w:tcPr>
          <w:p>
            <w:pPr>
              <w:spacing w:after="0"/>
              <w:rPr>
                <w:sz w:val="24"/>
                <w:szCs w:val="24"/>
                <w:color w:val="auto"/>
              </w:rPr>
            </w:pPr>
          </w:p>
        </w:tc>
        <w:tc>
          <w:tcPr>
            <w:tcW w:w="6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4"/>
          </w:tcPr>
          <w:p>
            <w:pPr>
              <w:jc w:val="right"/>
              <w:ind w:right="433"/>
              <w:spacing w:after="0"/>
              <w:rPr>
                <w:sz w:val="20"/>
                <w:szCs w:val="20"/>
                <w:color w:val="auto"/>
              </w:rPr>
            </w:pPr>
            <w:r>
              <w:rPr>
                <w:rFonts w:ascii="Arial" w:cs="Arial" w:eastAsia="Arial" w:hAnsi="Arial"/>
                <w:sz w:val="13"/>
                <w:szCs w:val="13"/>
                <w:b w:val="1"/>
                <w:bCs w:val="1"/>
                <w:color w:val="345988"/>
              </w:rPr>
              <w:t>Twelve Months Ended</w:t>
            </w:r>
          </w:p>
        </w:tc>
      </w:tr>
      <w:tr>
        <w:trPr>
          <w:trHeight w:val="201"/>
        </w:trPr>
        <w:tc>
          <w:tcPr>
            <w:tcW w:w="204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345988"/>
            </w:tcBorders>
          </w:tcPr>
          <w:p>
            <w:pPr>
              <w:spacing w:after="0"/>
              <w:rPr>
                <w:sz w:val="17"/>
                <w:szCs w:val="17"/>
                <w:color w:val="auto"/>
              </w:rPr>
            </w:pPr>
          </w:p>
        </w:tc>
        <w:tc>
          <w:tcPr>
            <w:tcW w:w="2260" w:type="dxa"/>
            <w:vAlign w:val="bottom"/>
            <w:tcBorders>
              <w:bottom w:val="single" w:sz="8" w:color="345988"/>
            </w:tcBorders>
            <w:gridSpan w:val="4"/>
          </w:tcPr>
          <w:p>
            <w:pPr>
              <w:jc w:val="right"/>
              <w:ind w:right="693"/>
              <w:spacing w:after="0"/>
              <w:rPr>
                <w:sz w:val="20"/>
                <w:szCs w:val="20"/>
                <w:color w:val="auto"/>
              </w:rPr>
            </w:pPr>
            <w:r>
              <w:rPr>
                <w:rFonts w:ascii="Arial" w:cs="Arial" w:eastAsia="Arial" w:hAnsi="Arial"/>
                <w:sz w:val="13"/>
                <w:szCs w:val="13"/>
                <w:b w:val="1"/>
                <w:bCs w:val="1"/>
                <w:color w:val="345988"/>
              </w:rPr>
              <w:t>December 31,</w:t>
            </w:r>
          </w:p>
        </w:tc>
      </w:tr>
      <w:tr>
        <w:trPr>
          <w:trHeight w:val="212"/>
        </w:trPr>
        <w:tc>
          <w:tcPr>
            <w:tcW w:w="20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45988"/>
              </w:rPr>
              <w:t>2017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345988"/>
              </w:rPr>
              <w:t>2016</w:t>
            </w:r>
          </w:p>
        </w:tc>
      </w:tr>
      <w:tr>
        <w:trPr>
          <w:trHeight w:val="38"/>
        </w:trPr>
        <w:tc>
          <w:tcPr>
            <w:tcW w:w="2040" w:type="dxa"/>
            <w:vAlign w:val="bottom"/>
          </w:tcPr>
          <w:p>
            <w:pPr>
              <w:spacing w:after="0"/>
              <w:rPr>
                <w:sz w:val="3"/>
                <w:szCs w:val="3"/>
                <w:color w:val="auto"/>
              </w:rPr>
            </w:pPr>
          </w:p>
        </w:tc>
        <w:tc>
          <w:tcPr>
            <w:tcW w:w="69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3"/>
        </w:trPr>
        <w:tc>
          <w:tcPr>
            <w:tcW w:w="8800" w:type="dxa"/>
            <w:vAlign w:val="bottom"/>
            <w:tcBorders>
              <w:top w:val="single" w:sz="8" w:color="345988"/>
              <w:bottom w:val="single" w:sz="8" w:color="8590A9"/>
            </w:tcBorders>
            <w:gridSpan w:val="2"/>
          </w:tcPr>
          <w:p>
            <w:pPr>
              <w:spacing w:after="0"/>
              <w:rPr>
                <w:sz w:val="20"/>
                <w:szCs w:val="20"/>
                <w:color w:val="auto"/>
              </w:rPr>
            </w:pPr>
            <w:r>
              <w:rPr>
                <w:rFonts w:ascii="Arial" w:cs="Arial" w:eastAsia="Arial" w:hAnsi="Arial"/>
                <w:sz w:val="18"/>
                <w:szCs w:val="18"/>
                <w:b w:val="1"/>
                <w:bCs w:val="1"/>
                <w:color w:val="auto"/>
              </w:rPr>
              <w:t>Operating Income and Same-store NOI Reconciliation</w:t>
            </w:r>
          </w:p>
        </w:tc>
        <w:tc>
          <w:tcPr>
            <w:tcW w:w="160" w:type="dxa"/>
            <w:vAlign w:val="bottom"/>
          </w:tcPr>
          <w:p>
            <w:pPr>
              <w:spacing w:after="0"/>
              <w:rPr>
                <w:sz w:val="21"/>
                <w:szCs w:val="21"/>
                <w:color w:val="auto"/>
              </w:rPr>
            </w:pPr>
          </w:p>
        </w:tc>
        <w:tc>
          <w:tcPr>
            <w:tcW w:w="200" w:type="dxa"/>
            <w:vAlign w:val="bottom"/>
            <w:tcBorders>
              <w:top w:val="single" w:sz="8" w:color="345988"/>
              <w:bottom w:val="single" w:sz="8" w:color="8590A9"/>
            </w:tcBorders>
          </w:tcPr>
          <w:p>
            <w:pPr>
              <w:spacing w:after="0"/>
              <w:rPr>
                <w:sz w:val="21"/>
                <w:szCs w:val="21"/>
                <w:color w:val="auto"/>
              </w:rPr>
            </w:pPr>
          </w:p>
        </w:tc>
        <w:tc>
          <w:tcPr>
            <w:tcW w:w="920" w:type="dxa"/>
            <w:vAlign w:val="bottom"/>
            <w:tcBorders>
              <w:top w:val="single" w:sz="8" w:color="345988"/>
              <w:bottom w:val="single" w:sz="8" w:color="8590A9"/>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345988"/>
              <w:bottom w:val="single" w:sz="8" w:color="8590A9"/>
            </w:tcBorders>
          </w:tcPr>
          <w:p>
            <w:pPr>
              <w:spacing w:after="0"/>
              <w:rPr>
                <w:sz w:val="21"/>
                <w:szCs w:val="21"/>
                <w:color w:val="auto"/>
              </w:rPr>
            </w:pPr>
          </w:p>
        </w:tc>
        <w:tc>
          <w:tcPr>
            <w:tcW w:w="980" w:type="dxa"/>
            <w:vAlign w:val="bottom"/>
            <w:tcBorders>
              <w:top w:val="single" w:sz="8" w:color="345988"/>
              <w:bottom w:val="single" w:sz="8" w:color="8590A9"/>
            </w:tcBorders>
          </w:tcPr>
          <w:p>
            <w:pPr>
              <w:spacing w:after="0"/>
              <w:rPr>
                <w:sz w:val="21"/>
                <w:szCs w:val="21"/>
                <w:color w:val="auto"/>
              </w:rPr>
            </w:pP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b w:val="1"/>
                <w:bCs w:val="1"/>
                <w:color w:val="auto"/>
              </w:rPr>
              <w:t>101,069</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278,911</w:t>
            </w:r>
          </w:p>
        </w:tc>
      </w:tr>
      <w:tr>
        <w:trPr>
          <w:trHeight w:val="233"/>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Equity in net gain on sale of interest in unconsolidated joint venture/real estate</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(16,166)</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(44,009)</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Gain on sale of real estate, net</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(73,241)</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(238,116)</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Depreciable real estate reserves</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color w:val="auto"/>
              </w:rPr>
              <w:t>178,520</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10,387</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(Gain) loss on sale of marketable securities</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(3,262)</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83</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color w:val="auto"/>
              </w:rPr>
              <w:t>403,320</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821,041</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Interest expense, net of interest income</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color w:val="auto"/>
              </w:rPr>
              <w:t>257,045</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321,199</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Amortization of deferred financing costs</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color w:val="auto"/>
              </w:rPr>
              <w:t>16,498</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24,564</w:t>
            </w:r>
          </w:p>
        </w:tc>
      </w:tr>
      <w:tr>
        <w:trPr>
          <w:trHeight w:val="239"/>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b w:val="1"/>
                <w:bCs w:val="1"/>
                <w:color w:val="auto"/>
              </w:rPr>
              <w:t>863,783</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1,174,060</w:t>
            </w:r>
          </w:p>
        </w:tc>
      </w:tr>
      <w:tr>
        <w:trPr>
          <w:trHeight w:val="233"/>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Equity in net income from unconsolidated joint ventures</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(21,892)</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(11,874)</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Marketing, general and administrative expense</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color w:val="auto"/>
              </w:rPr>
              <w:t>100,498</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99,759</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Transaction related costs, net</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(1,834)</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7,528</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Investment income</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(193,871)</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(213,008)</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Non-building revenue</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(23,781)</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(4,937)</w:t>
            </w:r>
          </w:p>
        </w:tc>
      </w:tr>
      <w:tr>
        <w:trPr>
          <w:trHeight w:val="239"/>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b w:val="1"/>
                <w:bCs w:val="1"/>
                <w:color w:val="auto"/>
              </w:rPr>
              <w:t>Net operating income (NOI)</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b w:val="1"/>
                <w:bCs w:val="1"/>
                <w:color w:val="auto"/>
              </w:rPr>
              <w:t>722,903</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1,051,528</w:t>
            </w:r>
          </w:p>
        </w:tc>
      </w:tr>
      <w:tr>
        <w:trPr>
          <w:trHeight w:val="233"/>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Equity in net income (loss) from unconsolidated joint ventures</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color w:val="auto"/>
              </w:rPr>
              <w:t>21,892</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11,874</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SLG share of unconsolidated JV depreciation and amortization</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color w:val="auto"/>
              </w:rPr>
              <w:t>126,456</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83,346</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SLG share of unconsolidated JV interest expense, net of interest income</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color w:val="auto"/>
              </w:rPr>
              <w:t>96,554</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72,015</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SLG share of unconsolidated JV amortization of deferred financing costs</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color w:val="auto"/>
              </w:rPr>
              <w:t>8,220</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8,309</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SLG share of unconsolidated JV loss on early extinguishment of debt</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color w:val="auto"/>
              </w:rPr>
              <w:t>3,950</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972</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SLG share of unconsolidated JV transaction related costs</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3,116</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SLG share of unconsolidated JV investment income</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(16,777)</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(16,250)</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SLG share of unconsolidated JV non-building revenue</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(4,989)</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(7,179)</w:t>
            </w:r>
          </w:p>
        </w:tc>
      </w:tr>
      <w:tr>
        <w:trPr>
          <w:trHeight w:val="239"/>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b w:val="1"/>
                <w:bCs w:val="1"/>
                <w:color w:val="auto"/>
              </w:rPr>
              <w:t>NOI including SLG share of unconsolidated JVs</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b w:val="1"/>
                <w:bCs w:val="1"/>
                <w:color w:val="auto"/>
              </w:rPr>
              <w:t>958,319</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1,207,731</w:t>
            </w:r>
          </w:p>
        </w:tc>
      </w:tr>
      <w:tr>
        <w:trPr>
          <w:trHeight w:val="233"/>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NOI from other properties/affiliates</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(216,513)</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(466,762)</w:t>
            </w:r>
          </w:p>
        </w:tc>
      </w:tr>
      <w:tr>
        <w:trPr>
          <w:trHeight w:val="239"/>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b w:val="1"/>
                <w:bCs w:val="1"/>
                <w:color w:val="auto"/>
              </w:rPr>
              <w:t>Same-Store NOI</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b w:val="1"/>
                <w:bCs w:val="1"/>
                <w:color w:val="auto"/>
              </w:rPr>
              <w:t>741,806</w:t>
            </w:r>
          </w:p>
        </w:tc>
        <w:tc>
          <w:tcPr>
            <w:tcW w:w="160" w:type="dxa"/>
            <w:vAlign w:val="bottom"/>
          </w:tcPr>
          <w:p>
            <w:pPr>
              <w:spacing w:after="0"/>
              <w:rPr>
                <w:sz w:val="20"/>
                <w:szCs w:val="20"/>
                <w:color w:val="auto"/>
              </w:rPr>
            </w:pPr>
          </w:p>
        </w:tc>
        <w:tc>
          <w:tcPr>
            <w:tcW w:w="200" w:type="dxa"/>
            <w:vAlign w:val="bottom"/>
            <w:tcBorders>
              <w:bottom w:val="single" w:sz="8" w:color="8590A9"/>
            </w:tcBorders>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740,969</w:t>
            </w:r>
          </w:p>
        </w:tc>
      </w:tr>
      <w:tr>
        <w:trPr>
          <w:trHeight w:val="233"/>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Ground lease straight-line adjustment</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ind w:right="34"/>
              <w:spacing w:after="0"/>
              <w:rPr>
                <w:sz w:val="20"/>
                <w:szCs w:val="20"/>
                <w:color w:val="auto"/>
              </w:rPr>
            </w:pPr>
            <w:r>
              <w:rPr>
                <w:rFonts w:ascii="Arial" w:cs="Arial" w:eastAsia="Arial" w:hAnsi="Arial"/>
                <w:sz w:val="18"/>
                <w:szCs w:val="18"/>
                <w:color w:val="auto"/>
              </w:rPr>
              <w:t>2,096</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2,312</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Straight-line and free rent</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(25,276)</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(30,231)</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Rental income - FAS 141</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(17,144)</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(19,802)</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Joint Venture straight-line and free rent</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(10,195)</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(15,517)</w:t>
            </w:r>
          </w:p>
        </w:tc>
      </w:tr>
      <w:tr>
        <w:trPr>
          <w:trHeight w:val="236"/>
        </w:trPr>
        <w:tc>
          <w:tcPr>
            <w:tcW w:w="8800" w:type="dxa"/>
            <w:vAlign w:val="bottom"/>
            <w:tcBorders>
              <w:bottom w:val="single" w:sz="8" w:color="8590A9"/>
            </w:tcBorders>
            <w:gridSpan w:val="2"/>
          </w:tcPr>
          <w:p>
            <w:pPr>
              <w:spacing w:after="0"/>
              <w:rPr>
                <w:sz w:val="20"/>
                <w:szCs w:val="20"/>
                <w:color w:val="auto"/>
              </w:rPr>
            </w:pPr>
            <w:r>
              <w:rPr>
                <w:rFonts w:ascii="Arial" w:cs="Arial" w:eastAsia="Arial" w:hAnsi="Arial"/>
                <w:sz w:val="18"/>
                <w:szCs w:val="18"/>
                <w:color w:val="auto"/>
              </w:rPr>
              <w:t>Joint Venture rental income - FAS 141</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(1,852)</w:t>
            </w:r>
          </w:p>
        </w:tc>
        <w:tc>
          <w:tcPr>
            <w:tcW w:w="160" w:type="dxa"/>
            <w:vAlign w:val="bottom"/>
          </w:tcPr>
          <w:p>
            <w:pPr>
              <w:spacing w:after="0"/>
              <w:rPr>
                <w:sz w:val="20"/>
                <w:szCs w:val="20"/>
                <w:color w:val="auto"/>
              </w:rPr>
            </w:pPr>
          </w:p>
        </w:tc>
        <w:tc>
          <w:tcPr>
            <w:tcW w:w="200" w:type="dxa"/>
            <w:vAlign w:val="bottom"/>
            <w:tcBorders>
              <w:bottom w:val="single" w:sz="8" w:color="8590A9"/>
            </w:tcBorders>
          </w:tcPr>
          <w:p>
            <w:pPr>
              <w:spacing w:after="0"/>
              <w:rPr>
                <w:sz w:val="20"/>
                <w:szCs w:val="20"/>
                <w:color w:val="auto"/>
              </w:rPr>
            </w:pPr>
          </w:p>
        </w:tc>
        <w:tc>
          <w:tcPr>
            <w:tcW w:w="9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(1,723)</w:t>
            </w:r>
          </w:p>
        </w:tc>
      </w:tr>
      <w:tr>
        <w:trPr>
          <w:trHeight w:val="246"/>
        </w:trPr>
        <w:tc>
          <w:tcPr>
            <w:tcW w:w="8800" w:type="dxa"/>
            <w:vAlign w:val="bottom"/>
            <w:tcBorders>
              <w:bottom w:val="single" w:sz="8" w:color="345988"/>
            </w:tcBorders>
            <w:gridSpan w:val="2"/>
          </w:tcPr>
          <w:p>
            <w:pPr>
              <w:spacing w:after="0"/>
              <w:rPr>
                <w:sz w:val="20"/>
                <w:szCs w:val="20"/>
                <w:color w:val="auto"/>
              </w:rPr>
            </w:pPr>
            <w:r>
              <w:rPr>
                <w:rFonts w:ascii="Arial" w:cs="Arial" w:eastAsia="Arial" w:hAnsi="Arial"/>
                <w:sz w:val="18"/>
                <w:szCs w:val="18"/>
                <w:b w:val="1"/>
                <w:bCs w:val="1"/>
                <w:color w:val="auto"/>
              </w:rPr>
              <w:t>Same-store cash NOI</w:t>
            </w:r>
          </w:p>
        </w:tc>
        <w:tc>
          <w:tcPr>
            <w:tcW w:w="160" w:type="dxa"/>
            <w:vAlign w:val="bottom"/>
          </w:tcPr>
          <w:p>
            <w:pPr>
              <w:spacing w:after="0"/>
              <w:rPr>
                <w:sz w:val="21"/>
                <w:szCs w:val="21"/>
                <w:color w:val="auto"/>
              </w:rPr>
            </w:pPr>
          </w:p>
        </w:tc>
        <w:tc>
          <w:tcPr>
            <w:tcW w:w="200" w:type="dxa"/>
            <w:vAlign w:val="bottom"/>
            <w:tcBorders>
              <w:bottom w:val="single" w:sz="8" w:color="345988"/>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345988"/>
            </w:tcBorders>
          </w:tcPr>
          <w:p>
            <w:pPr>
              <w:jc w:val="right"/>
              <w:ind w:right="34"/>
              <w:spacing w:after="0"/>
              <w:rPr>
                <w:sz w:val="20"/>
                <w:szCs w:val="20"/>
                <w:color w:val="auto"/>
              </w:rPr>
            </w:pPr>
            <w:r>
              <w:rPr>
                <w:rFonts w:ascii="Arial" w:cs="Arial" w:eastAsia="Arial" w:hAnsi="Arial"/>
                <w:sz w:val="18"/>
                <w:szCs w:val="18"/>
                <w:b w:val="1"/>
                <w:bCs w:val="1"/>
                <w:color w:val="auto"/>
              </w:rPr>
              <w:t>689,435</w:t>
            </w:r>
          </w:p>
        </w:tc>
        <w:tc>
          <w:tcPr>
            <w:tcW w:w="160" w:type="dxa"/>
            <w:vAlign w:val="bottom"/>
          </w:tcPr>
          <w:p>
            <w:pPr>
              <w:spacing w:after="0"/>
              <w:rPr>
                <w:sz w:val="21"/>
                <w:szCs w:val="21"/>
                <w:color w:val="auto"/>
              </w:rPr>
            </w:pPr>
          </w:p>
        </w:tc>
        <w:tc>
          <w:tcPr>
            <w:tcW w:w="200" w:type="dxa"/>
            <w:vAlign w:val="bottom"/>
            <w:tcBorders>
              <w:bottom w:val="single" w:sz="8" w:color="345988"/>
            </w:tcBorders>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345988"/>
            </w:tcBorders>
          </w:tcPr>
          <w:p>
            <w:pPr>
              <w:jc w:val="right"/>
              <w:ind w:right="13"/>
              <w:spacing w:after="0"/>
              <w:rPr>
                <w:sz w:val="20"/>
                <w:szCs w:val="20"/>
                <w:color w:val="auto"/>
              </w:rPr>
            </w:pPr>
            <w:r>
              <w:rPr>
                <w:rFonts w:ascii="Arial" w:cs="Arial" w:eastAsia="Arial" w:hAnsi="Arial"/>
                <w:sz w:val="18"/>
                <w:szCs w:val="18"/>
                <w:color w:val="auto"/>
              </w:rPr>
              <w:t>676,008</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345988"/>
        </w:rPr>
        <w:t xml:space="preserve">A-2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5160"/>
        <w:spacing w:after="0"/>
        <w:rPr>
          <w:sz w:val="20"/>
          <w:szCs w:val="20"/>
          <w:color w:val="auto"/>
        </w:rPr>
      </w:pPr>
      <w:r>
        <w:rPr>
          <w:rFonts w:ascii="Arial" w:cs="Arial" w:eastAsia="Arial" w:hAnsi="Arial"/>
          <w:sz w:val="16"/>
          <w:szCs w:val="16"/>
          <w:u w:val="single" w:color="auto"/>
          <w:color w:val="345988"/>
        </w:rPr>
        <w:t>APPENDIX A: INFORMATION REGARDING CERTAIN FINANCIAL MEASURES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Funds from Operations and Normalized Funds from Operations</w:t>
      </w:r>
    </w:p>
    <w:p>
      <w:pPr>
        <w:spacing w:after="0" w:line="21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Funds from Operations, or FFO, is a widely recognized non-GAAP measure of REIT performance. We compute FFO in accordance with standards established by the National Association of Real Estate Investment Trusts, 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and as subsequently amended, defines FFO as net income (loss) (computed in accordance with Generally Accepted Accounting Principles, or GAAP), excluding gains (or losses) from sales of properties, debt restructurings and real estate related impairment charges, plus real estate related depreciation and amortization and after adjustments for unconsolidated partnerships and joint ventures.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 We also use FFO as one of several criteria to determine performance-based bonuses for members of our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3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certain periods, we also present Normalized FFO, defined as FFO excluding the impact of one discrete transaction (set forth in the table above) that increased FFO in 2016, which we present to enhance the comparability of our FFO across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Same-Store Cash Net Operating Income</w:t>
      </w:r>
    </w:p>
    <w:p>
      <w:pPr>
        <w:spacing w:after="0" w:line="21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Net Operating Income, or NOI, is a non-GAAP financial measure that is calculated as operating income before transaction related costs, gains/losses on early extinguishment of debt, marketing general and administrative expenses and non-real estate revenue. Cash NOI is calculated by subtracting free rent (net of amortization), straight-line rent, FAS 141 rental income from NOI, while adding ground lease straight-line adjustment and the allowance for straight-line tenant credit loss.</w:t>
      </w:r>
    </w:p>
    <w:p>
      <w:pPr>
        <w:spacing w:after="0" w:line="179"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present NOI and Cash NOI because we believe that these measures, when taken together with the corresponding GAAP financial measures and our reconciliations, provide investors with meaningful information regarding the operating performance of our properties. When operating performance is compared across multiple periods, the investor is provided with information not immediately apparent from net income that is determined in accordance with GAAP. NOI and Cash NOI provide information on trends in the revenue generated and expenses incurred in operating our properties, unaffected by the cost of leverage, straight-line adjustments, depreciation, amortization, and other net income components. We use these metrics internally as performance measures. None of these measures is an alternative to net income (determined in accordance with GAAP) and same-store performance should not be considered an alternative to GAAP net income performance.</w:t>
      </w:r>
    </w:p>
    <w:p>
      <w:pPr>
        <w:spacing w:after="0" w:line="15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Same-Store refers to properties owned in the same manner during both the current and prior year, and excludes development properties prior to those properties being stabilized for both the current and prior year.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2018 Proxy Statement </w:t>
      </w:r>
      <w:r>
        <w:rPr>
          <w:rFonts w:ascii="Arial" w:cs="Arial" w:eastAsia="Arial" w:hAnsi="Arial"/>
          <w:sz w:val="18"/>
          <w:szCs w:val="18"/>
          <w:color w:val="345988"/>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6821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75"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rPr>
              <w:t>SL GREEN REALTY CORP.</w:t>
            </w:r>
          </w:p>
        </w:tc>
        <w:tc>
          <w:tcPr>
            <w:tcW w:w="4360" w:type="dxa"/>
            <w:vAlign w:val="bottom"/>
          </w:tcPr>
          <w:p>
            <w:pPr>
              <w:ind w:left="1580"/>
              <w:spacing w:after="0"/>
              <w:rPr>
                <w:sz w:val="20"/>
                <w:szCs w:val="20"/>
                <w:color w:val="auto"/>
              </w:rPr>
            </w:pPr>
            <w:r>
              <w:rPr>
                <w:rFonts w:ascii="Arial" w:cs="Arial" w:eastAsia="Arial" w:hAnsi="Arial"/>
                <w:sz w:val="13"/>
                <w:szCs w:val="13"/>
                <w:b w:val="1"/>
                <w:bCs w:val="1"/>
                <w:color w:val="auto"/>
              </w:rPr>
              <w:t>AUTHORIZE YOUR PROXY BY INTERNET -</w:t>
            </w:r>
          </w:p>
        </w:tc>
        <w:tc>
          <w:tcPr>
            <w:tcW w:w="1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www.proxyvote.com</w:t>
            </w:r>
          </w:p>
        </w:tc>
        <w:tc>
          <w:tcPr>
            <w:tcW w:w="1400" w:type="dxa"/>
            <w:vAlign w:val="bottom"/>
            <w:vMerge w:val="restart"/>
          </w:tcPr>
          <w:p>
            <w:pPr>
              <w:ind w:left="80"/>
              <w:spacing w:after="0"/>
              <w:rPr>
                <w:sz w:val="20"/>
                <w:szCs w:val="20"/>
                <w:color w:val="auto"/>
              </w:rPr>
            </w:pPr>
            <w:r>
              <w:rPr>
                <w:rFonts w:ascii="Arial" w:cs="Arial" w:eastAsia="Arial" w:hAnsi="Arial"/>
                <w:sz w:val="13"/>
                <w:szCs w:val="13"/>
                <w:color w:val="auto"/>
              </w:rPr>
              <w:t>delivery of information</w:t>
            </w:r>
          </w:p>
        </w:tc>
        <w:tc>
          <w:tcPr>
            <w:tcW w:w="0" w:type="dxa"/>
            <w:vAlign w:val="bottom"/>
          </w:tcPr>
          <w:p>
            <w:pPr>
              <w:spacing w:after="0"/>
              <w:rPr>
                <w:sz w:val="1"/>
                <w:szCs w:val="1"/>
                <w:color w:val="auto"/>
              </w:rPr>
            </w:pPr>
          </w:p>
        </w:tc>
      </w:tr>
      <w:tr>
        <w:trPr>
          <w:trHeight w:val="125"/>
        </w:trPr>
        <w:tc>
          <w:tcPr>
            <w:tcW w:w="3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420 LEXINGTON AVE.</w:t>
            </w:r>
          </w:p>
        </w:tc>
        <w:tc>
          <w:tcPr>
            <w:tcW w:w="5660" w:type="dxa"/>
            <w:vAlign w:val="bottom"/>
            <w:gridSpan w:val="2"/>
          </w:tcPr>
          <w:p>
            <w:pPr>
              <w:ind w:left="1580"/>
              <w:spacing w:after="0" w:line="125" w:lineRule="exact"/>
              <w:rPr>
                <w:sz w:val="20"/>
                <w:szCs w:val="20"/>
                <w:color w:val="auto"/>
              </w:rPr>
            </w:pPr>
            <w:r>
              <w:rPr>
                <w:rFonts w:ascii="Arial" w:cs="Arial" w:eastAsia="Arial" w:hAnsi="Arial"/>
                <w:sz w:val="13"/>
                <w:szCs w:val="13"/>
                <w:color w:val="auto"/>
              </w:rPr>
              <w:t>Use the Internet to transmit your voting instructions and for electronic</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820" w:type="dxa"/>
            <w:vAlign w:val="bottom"/>
            <w:vMerge w:val="continue"/>
          </w:tcPr>
          <w:p>
            <w:pPr>
              <w:spacing w:after="0"/>
              <w:rPr>
                <w:sz w:val="11"/>
                <w:szCs w:val="11"/>
                <w:color w:val="auto"/>
              </w:rPr>
            </w:pPr>
          </w:p>
        </w:tc>
        <w:tc>
          <w:tcPr>
            <w:tcW w:w="7060" w:type="dxa"/>
            <w:vAlign w:val="bottom"/>
            <w:gridSpan w:val="3"/>
          </w:tcPr>
          <w:p>
            <w:pPr>
              <w:ind w:left="1580"/>
              <w:spacing w:after="0" w:line="138" w:lineRule="exact"/>
              <w:rPr>
                <w:sz w:val="20"/>
                <w:szCs w:val="20"/>
                <w:color w:val="auto"/>
              </w:rPr>
            </w:pPr>
            <w:r>
              <w:rPr>
                <w:rFonts w:ascii="Arial" w:cs="Arial" w:eastAsia="Arial" w:hAnsi="Arial"/>
                <w:sz w:val="13"/>
                <w:szCs w:val="13"/>
                <w:color w:val="auto"/>
              </w:rPr>
              <w:t>up until 11:59 P.M. Eastern Time the day before the cut-off date or meeting date. Have your</w:t>
            </w:r>
          </w:p>
        </w:tc>
        <w:tc>
          <w:tcPr>
            <w:tcW w:w="0" w:type="dxa"/>
            <w:vAlign w:val="bottom"/>
          </w:tcPr>
          <w:p>
            <w:pPr>
              <w:spacing w:after="0"/>
              <w:rPr>
                <w:sz w:val="1"/>
                <w:szCs w:val="1"/>
                <w:color w:val="auto"/>
              </w:rPr>
            </w:pPr>
          </w:p>
        </w:tc>
      </w:tr>
      <w:tr>
        <w:trPr>
          <w:trHeight w:val="158"/>
        </w:trPr>
        <w:tc>
          <w:tcPr>
            <w:tcW w:w="3820" w:type="dxa"/>
            <w:vAlign w:val="bottom"/>
          </w:tcPr>
          <w:p>
            <w:pPr>
              <w:spacing w:after="0" w:line="158" w:lineRule="exact"/>
              <w:rPr>
                <w:sz w:val="20"/>
                <w:szCs w:val="20"/>
                <w:color w:val="auto"/>
              </w:rPr>
            </w:pPr>
            <w:r>
              <w:rPr>
                <w:rFonts w:ascii="Arial" w:cs="Arial" w:eastAsia="Arial" w:hAnsi="Arial"/>
                <w:sz w:val="18"/>
                <w:szCs w:val="18"/>
                <w:b w:val="1"/>
                <w:bCs w:val="1"/>
                <w:i w:val="1"/>
                <w:iCs w:val="1"/>
                <w:color w:val="auto"/>
              </w:rPr>
              <w:t>NEW YORK, NY 10170</w:t>
            </w:r>
          </w:p>
        </w:tc>
        <w:tc>
          <w:tcPr>
            <w:tcW w:w="7060" w:type="dxa"/>
            <w:vAlign w:val="bottom"/>
            <w:gridSpan w:val="3"/>
          </w:tcPr>
          <w:p>
            <w:pPr>
              <w:ind w:left="1580"/>
              <w:spacing w:after="0"/>
              <w:rPr>
                <w:sz w:val="20"/>
                <w:szCs w:val="20"/>
                <w:color w:val="auto"/>
              </w:rPr>
            </w:pPr>
            <w:r>
              <w:rPr>
                <w:rFonts w:ascii="Arial" w:cs="Arial" w:eastAsia="Arial" w:hAnsi="Arial"/>
                <w:sz w:val="13"/>
                <w:szCs w:val="13"/>
                <w:color w:val="auto"/>
              </w:rPr>
              <w:t>proxy card in hand when you access the web site and follow the instructions to obtain your</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7060" w:type="dxa"/>
            <w:vAlign w:val="bottom"/>
            <w:gridSpan w:val="3"/>
          </w:tcPr>
          <w:p>
            <w:pPr>
              <w:ind w:left="1580"/>
              <w:spacing w:after="0"/>
              <w:rPr>
                <w:sz w:val="20"/>
                <w:szCs w:val="20"/>
                <w:color w:val="auto"/>
              </w:rPr>
            </w:pPr>
            <w:r>
              <w:rPr>
                <w:rFonts w:ascii="Arial" w:cs="Arial" w:eastAsia="Arial" w:hAnsi="Arial"/>
                <w:sz w:val="13"/>
                <w:szCs w:val="13"/>
                <w:color w:val="auto"/>
              </w:rPr>
              <w:t>records and to create an electronic voting instruction form.</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940"/>
        <w:spacing w:after="0"/>
        <w:rPr>
          <w:sz w:val="20"/>
          <w:szCs w:val="20"/>
          <w:color w:val="auto"/>
        </w:rPr>
      </w:pPr>
      <w:r>
        <w:rPr>
          <w:rFonts w:ascii="Arial" w:cs="Arial" w:eastAsia="Arial" w:hAnsi="Arial"/>
          <w:sz w:val="13"/>
          <w:szCs w:val="13"/>
          <w:b w:val="1"/>
          <w:bCs w:val="1"/>
          <w:color w:val="auto"/>
        </w:rPr>
        <w:t>AUTHORIZE YOUR PROXY BY PHONE - 1-800-690-6903</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Use any touch-tone telephone to transmit your voting instructions up until 11:59 P.M.</w:t>
      </w:r>
    </w:p>
    <w:p>
      <w:pPr>
        <w:ind w:left="5940"/>
        <w:spacing w:after="0" w:line="237" w:lineRule="auto"/>
        <w:rPr>
          <w:sz w:val="20"/>
          <w:szCs w:val="20"/>
          <w:color w:val="auto"/>
        </w:rPr>
      </w:pPr>
      <w:r>
        <w:rPr>
          <w:rFonts w:ascii="Arial" w:cs="Arial" w:eastAsia="Arial" w:hAnsi="Arial"/>
          <w:sz w:val="13"/>
          <w:szCs w:val="13"/>
          <w:color w:val="auto"/>
        </w:rPr>
        <w:t>Eastern Time the day before the cut-off date or meeting date. Have your proxy card in hand</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when you call and then follow the instructions.</w:t>
      </w:r>
    </w:p>
    <w:p>
      <w:pPr>
        <w:spacing w:after="0" w:line="196" w:lineRule="exact"/>
        <w:rPr>
          <w:sz w:val="20"/>
          <w:szCs w:val="20"/>
          <w:color w:val="auto"/>
        </w:rPr>
      </w:pPr>
    </w:p>
    <w:p>
      <w:pPr>
        <w:ind w:left="5940"/>
        <w:spacing w:after="0"/>
        <w:rPr>
          <w:sz w:val="20"/>
          <w:szCs w:val="20"/>
          <w:color w:val="auto"/>
        </w:rPr>
      </w:pPr>
      <w:r>
        <w:rPr>
          <w:rFonts w:ascii="Arial" w:cs="Arial" w:eastAsia="Arial" w:hAnsi="Arial"/>
          <w:sz w:val="13"/>
          <w:szCs w:val="13"/>
          <w:b w:val="1"/>
          <w:bCs w:val="1"/>
          <w:color w:val="auto"/>
        </w:rPr>
        <w:t>AUTHORIZE YOUR PROXY BY MAIL</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Mark, sign and date your proxy card and return it in the postage-paid envelope we have</w:t>
      </w:r>
    </w:p>
    <w:p>
      <w:pPr>
        <w:ind w:left="5940"/>
        <w:spacing w:after="0" w:line="237" w:lineRule="auto"/>
        <w:rPr>
          <w:sz w:val="20"/>
          <w:szCs w:val="20"/>
          <w:color w:val="auto"/>
        </w:rPr>
      </w:pPr>
      <w:r>
        <w:rPr>
          <w:rFonts w:ascii="Arial" w:cs="Arial" w:eastAsia="Arial" w:hAnsi="Arial"/>
          <w:sz w:val="13"/>
          <w:szCs w:val="13"/>
          <w:color w:val="auto"/>
        </w:rPr>
        <w:t>provided or return it to Vote Processing, c/o Broadridge, 51 Mercedes Way, Edgewood, NY</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15" w:lineRule="exact"/>
        <w:rPr>
          <w:sz w:val="20"/>
          <w:szCs w:val="20"/>
          <w:color w:val="auto"/>
        </w:rPr>
      </w:pPr>
    </w:p>
    <w:p>
      <w:pPr>
        <w:jc w:val="right"/>
        <w:spacing w:after="0"/>
        <w:tabs>
          <w:tab w:leader="none" w:pos="2800" w:val="left"/>
        </w:tabs>
        <w:rPr>
          <w:sz w:val="20"/>
          <w:szCs w:val="20"/>
          <w:color w:val="auto"/>
        </w:rPr>
      </w:pPr>
      <w:r>
        <w:rPr>
          <w:rFonts w:ascii="Arial" w:cs="Arial" w:eastAsia="Arial" w:hAnsi="Arial"/>
          <w:sz w:val="13"/>
          <w:szCs w:val="13"/>
          <w:color w:val="auto"/>
        </w:rPr>
        <w:t>E43625-P03440</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DETACH AND RETURN THIS PORTION ONLY</w:t>
      </w:r>
    </w:p>
    <w:p>
      <w:pPr>
        <w:jc w:val="center"/>
        <w:ind w:right="-19"/>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242175" cy="43592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2175" cy="4359275"/>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SL GREEN REALTY CORP.</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The Board of Directors recommends you vote FOR</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the following:</w:t>
      </w:r>
    </w:p>
    <w:p>
      <w:pPr>
        <w:sectPr>
          <w:pgSz w:w="11900" w:h="16838" w:orient="portrait"/>
          <w:cols w:equalWidth="0" w:num="1">
            <w:col w:w="11420"/>
          </w:cols>
          <w:pgMar w:left="240" w:top="119" w:right="239" w:bottom="1440" w:gutter="0" w:footer="0" w:header="0"/>
        </w:sectPr>
      </w:pPr>
    </w:p>
    <w:p>
      <w:pPr>
        <w:spacing w:after="0" w:line="117" w:lineRule="exact"/>
        <w:rPr>
          <w:sz w:val="20"/>
          <w:szCs w:val="20"/>
          <w:color w:val="auto"/>
        </w:rPr>
      </w:pPr>
    </w:p>
    <w:p>
      <w:pPr>
        <w:ind w:left="700" w:hanging="396"/>
        <w:spacing w:after="0"/>
        <w:tabs>
          <w:tab w:leader="none" w:pos="70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78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1680" w:type="dxa"/>
            <w:vAlign w:val="bottom"/>
          </w:tcPr>
          <w:p>
            <w:pPr>
              <w:ind w:left="1360"/>
              <w:spacing w:after="0"/>
              <w:rPr>
                <w:sz w:val="20"/>
                <w:szCs w:val="20"/>
                <w:color w:val="auto"/>
              </w:rPr>
            </w:pPr>
            <w:r>
              <w:rPr>
                <w:rFonts w:ascii="Arial" w:cs="Arial" w:eastAsia="Arial" w:hAnsi="Arial"/>
                <w:sz w:val="13"/>
                <w:szCs w:val="13"/>
                <w:b w:val="1"/>
                <w:bCs w:val="1"/>
                <w:color w:val="auto"/>
              </w:rPr>
              <w:t>For</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c>
          <w:tcPr>
            <w:tcW w:w="0" w:type="dxa"/>
            <w:vAlign w:val="bottom"/>
          </w:tcPr>
          <w:p>
            <w:pPr>
              <w:spacing w:after="0"/>
              <w:rPr>
                <w:sz w:val="1"/>
                <w:szCs w:val="1"/>
                <w:color w:val="auto"/>
              </w:rPr>
            </w:pPr>
          </w:p>
        </w:tc>
      </w:tr>
      <w:tr>
        <w:trPr>
          <w:trHeight w:val="275"/>
        </w:trPr>
        <w:tc>
          <w:tcPr>
            <w:tcW w:w="280" w:type="dxa"/>
            <w:vAlign w:val="bottom"/>
          </w:tcPr>
          <w:p>
            <w:pPr>
              <w:spacing w:after="0"/>
              <w:rPr>
                <w:sz w:val="20"/>
                <w:szCs w:val="20"/>
                <w:color w:val="auto"/>
              </w:rPr>
            </w:pPr>
            <w:r>
              <w:rPr>
                <w:rFonts w:ascii="Arial" w:cs="Arial" w:eastAsia="Arial" w:hAnsi="Arial"/>
                <w:sz w:val="13"/>
                <w:szCs w:val="13"/>
                <w:color w:val="auto"/>
              </w:rPr>
              <w:t>1a.</w:t>
            </w:r>
          </w:p>
        </w:tc>
        <w:tc>
          <w:tcPr>
            <w:tcW w:w="2500" w:type="dxa"/>
            <w:vAlign w:val="bottom"/>
          </w:tcPr>
          <w:p>
            <w:pPr>
              <w:ind w:left="100"/>
              <w:spacing w:after="0"/>
              <w:rPr>
                <w:sz w:val="20"/>
                <w:szCs w:val="20"/>
                <w:color w:val="auto"/>
              </w:rPr>
            </w:pPr>
            <w:r>
              <w:rPr>
                <w:rFonts w:ascii="Arial" w:cs="Arial" w:eastAsia="Arial" w:hAnsi="Arial"/>
                <w:sz w:val="13"/>
                <w:szCs w:val="13"/>
                <w:color w:val="auto"/>
              </w:rPr>
              <w:t>John H. Alschuler</w:t>
            </w:r>
          </w:p>
        </w:tc>
        <w:tc>
          <w:tcPr>
            <w:tcW w:w="1680" w:type="dxa"/>
            <w:vAlign w:val="bottom"/>
            <w:vMerge w:val="restart"/>
          </w:tcPr>
          <w:p>
            <w:pPr>
              <w:ind w:left="1380"/>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ind w:left="2"/>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80" w:type="dxa"/>
            <w:vAlign w:val="bottom"/>
          </w:tcPr>
          <w:p>
            <w:pPr>
              <w:spacing w:after="0"/>
              <w:rPr>
                <w:sz w:val="20"/>
                <w:szCs w:val="20"/>
                <w:color w:val="auto"/>
              </w:rPr>
            </w:pPr>
            <w:r>
              <w:rPr>
                <w:rFonts w:ascii="Arial" w:cs="Arial" w:eastAsia="Arial" w:hAnsi="Arial"/>
                <w:sz w:val="13"/>
                <w:szCs w:val="13"/>
                <w:color w:val="auto"/>
              </w:rPr>
              <w:t>1b.</w:t>
            </w:r>
          </w:p>
        </w:tc>
        <w:tc>
          <w:tcPr>
            <w:tcW w:w="2500" w:type="dxa"/>
            <w:vAlign w:val="bottom"/>
          </w:tcPr>
          <w:p>
            <w:pPr>
              <w:ind w:left="100"/>
              <w:spacing w:after="0"/>
              <w:rPr>
                <w:sz w:val="20"/>
                <w:szCs w:val="20"/>
                <w:color w:val="auto"/>
              </w:rPr>
            </w:pPr>
            <w:r>
              <w:rPr>
                <w:rFonts w:ascii="Arial" w:cs="Arial" w:eastAsia="Arial" w:hAnsi="Arial"/>
                <w:sz w:val="13"/>
                <w:szCs w:val="13"/>
                <w:color w:val="auto"/>
              </w:rPr>
              <w:t>Lauren B. Dillard</w:t>
            </w:r>
          </w:p>
        </w:tc>
        <w:tc>
          <w:tcPr>
            <w:tcW w:w="1680" w:type="dxa"/>
            <w:vAlign w:val="bottom"/>
            <w:vMerge w:val="restart"/>
          </w:tcPr>
          <w:p>
            <w:pPr>
              <w:ind w:left="1380"/>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ind w:left="2"/>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80" w:type="dxa"/>
            <w:vAlign w:val="bottom"/>
          </w:tcPr>
          <w:p>
            <w:pPr>
              <w:spacing w:after="0"/>
              <w:rPr>
                <w:sz w:val="20"/>
                <w:szCs w:val="20"/>
                <w:color w:val="auto"/>
              </w:rPr>
            </w:pPr>
            <w:r>
              <w:rPr>
                <w:rFonts w:ascii="Arial" w:cs="Arial" w:eastAsia="Arial" w:hAnsi="Arial"/>
                <w:sz w:val="13"/>
                <w:szCs w:val="13"/>
                <w:color w:val="auto"/>
              </w:rPr>
              <w:t>1c.</w:t>
            </w:r>
          </w:p>
        </w:tc>
        <w:tc>
          <w:tcPr>
            <w:tcW w:w="2500" w:type="dxa"/>
            <w:vAlign w:val="bottom"/>
          </w:tcPr>
          <w:p>
            <w:pPr>
              <w:ind w:left="100"/>
              <w:spacing w:after="0"/>
              <w:rPr>
                <w:sz w:val="20"/>
                <w:szCs w:val="20"/>
                <w:color w:val="auto"/>
              </w:rPr>
            </w:pPr>
            <w:r>
              <w:rPr>
                <w:rFonts w:ascii="Arial" w:cs="Arial" w:eastAsia="Arial" w:hAnsi="Arial"/>
                <w:sz w:val="13"/>
                <w:szCs w:val="13"/>
                <w:color w:val="auto"/>
              </w:rPr>
              <w:t>Stephen L. Green</w:t>
            </w:r>
          </w:p>
        </w:tc>
        <w:tc>
          <w:tcPr>
            <w:tcW w:w="1680" w:type="dxa"/>
            <w:vAlign w:val="bottom"/>
            <w:vMerge w:val="restart"/>
          </w:tcPr>
          <w:p>
            <w:pPr>
              <w:ind w:left="1380"/>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ind w:left="2"/>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The Board of Directors recommends you vote FOR the following proposals:</w:t>
      </w:r>
    </w:p>
    <w:p>
      <w:pPr>
        <w:spacing w:after="0" w:line="149" w:lineRule="exact"/>
        <w:rPr>
          <w:sz w:val="20"/>
          <w:szCs w:val="20"/>
          <w:color w:val="auto"/>
        </w:rPr>
      </w:pPr>
    </w:p>
    <w:p>
      <w:pPr>
        <w:ind w:left="680" w:hanging="362"/>
        <w:spacing w:after="0"/>
        <w:tabs>
          <w:tab w:leader="none" w:pos="6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To approve, on a non-binding advisory basis, our executive compensation.</w:t>
      </w:r>
    </w:p>
    <w:p>
      <w:pPr>
        <w:spacing w:after="0" w:line="254" w:lineRule="exact"/>
        <w:rPr>
          <w:rFonts w:ascii="Arial" w:cs="Arial" w:eastAsia="Arial" w:hAnsi="Arial"/>
          <w:sz w:val="13"/>
          <w:szCs w:val="13"/>
          <w:color w:val="auto"/>
        </w:rPr>
      </w:pPr>
    </w:p>
    <w:p>
      <w:pPr>
        <w:ind w:left="680" w:hanging="362"/>
        <w:spacing w:after="0" w:line="263" w:lineRule="auto"/>
        <w:tabs>
          <w:tab w:leader="none" w:pos="6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To ratify the appointment of Ernst &amp; Young LLP as our independent registered public accounting firm for the fiscal year ending December 31, 2018.</w:t>
      </w:r>
    </w:p>
    <w:p>
      <w:pPr>
        <w:spacing w:after="0" w:line="280" w:lineRule="exact"/>
        <w:rPr>
          <w:rFonts w:ascii="Arial" w:cs="Arial" w:eastAsia="Arial" w:hAnsi="Arial"/>
          <w:sz w:val="13"/>
          <w:szCs w:val="13"/>
          <w:color w:val="auto"/>
        </w:rPr>
      </w:pPr>
    </w:p>
    <w:p>
      <w:pPr>
        <w:ind w:left="680" w:right="20" w:hanging="362"/>
        <w:spacing w:after="0" w:line="286" w:lineRule="auto"/>
        <w:tabs>
          <w:tab w:leader="none" w:pos="6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To consider and act upon any other matters that may properly be brought before the Annual Meeting and at any adjournments or postponements thereof.</w:t>
      </w:r>
    </w:p>
    <w:p>
      <w:pPr>
        <w:spacing w:after="0" w:line="88" w:lineRule="exact"/>
        <w:rPr>
          <w:sz w:val="20"/>
          <w:szCs w:val="20"/>
          <w:color w:val="auto"/>
        </w:rPr>
      </w:pPr>
    </w:p>
    <w:p>
      <w:pPr>
        <w:jc w:val="both"/>
        <w:ind w:left="320" w:right="20"/>
        <w:spacing w:after="0" w:line="254" w:lineRule="auto"/>
        <w:rPr>
          <w:sz w:val="20"/>
          <w:szCs w:val="20"/>
          <w:color w:val="auto"/>
        </w:rPr>
      </w:pPr>
      <w:r>
        <w:rPr>
          <w:rFonts w:ascii="Arial" w:cs="Arial" w:eastAsia="Arial" w:hAnsi="Arial"/>
          <w:sz w:val="13"/>
          <w:szCs w:val="13"/>
          <w:color w:val="auto"/>
        </w:rPr>
        <w:t>The undersigned hereby acknowledge(s) receipt of the Notice of the Annual Meeting of Stockholders, the terms of which are incorporated herein by reference, and revoke(s) any proxy or proxies heretofore given with respect to the Annual Meeting. This proxy may be revoked at any time prior to the time voting is declared closed by giving the corporate secretary of SL Green Realty Corp. written notice of revocation or by a subsequently dated proxy, or by casting a ballot at the Annual Meeting.</w:t>
      </w:r>
    </w:p>
    <w:p>
      <w:pPr>
        <w:spacing w:after="0" w:line="106" w:lineRule="exact"/>
        <w:rPr>
          <w:sz w:val="20"/>
          <w:szCs w:val="20"/>
          <w:color w:val="auto"/>
        </w:rPr>
      </w:pPr>
    </w:p>
    <w:p>
      <w:pPr>
        <w:jc w:val="both"/>
        <w:ind w:left="320" w:right="20"/>
        <w:spacing w:after="0" w:line="263" w:lineRule="auto"/>
        <w:rPr>
          <w:sz w:val="20"/>
          <w:szCs w:val="20"/>
          <w:color w:val="auto"/>
        </w:rPr>
      </w:pPr>
      <w:r>
        <w:rPr>
          <w:rFonts w:ascii="Arial" w:cs="Arial" w:eastAsia="Arial" w:hAnsi="Arial"/>
          <w:sz w:val="13"/>
          <w:szCs w:val="13"/>
          <w:b w:val="1"/>
          <w:bCs w:val="1"/>
          <w:color w:val="auto"/>
        </w:rPr>
        <w:t xml:space="preserve">This solicitation of proxies is made by and on behalf of the Board. </w:t>
      </w:r>
      <w:r>
        <w:rPr>
          <w:rFonts w:ascii="Arial" w:cs="Arial" w:eastAsia="Arial" w:hAnsi="Arial"/>
          <w:sz w:val="13"/>
          <w:szCs w:val="13"/>
          <w:color w:val="auto"/>
        </w:rPr>
        <w:t>The validity of this proxy is governed by the Maryland General Corporation</w:t>
      </w:r>
      <w:r>
        <w:rPr>
          <w:rFonts w:ascii="Arial" w:cs="Arial" w:eastAsia="Arial" w:hAnsi="Arial"/>
          <w:sz w:val="13"/>
          <w:szCs w:val="13"/>
          <w:b w:val="1"/>
          <w:bCs w:val="1"/>
          <w:color w:val="auto"/>
        </w:rPr>
        <w:t xml:space="preserve"> </w:t>
      </w:r>
      <w:r>
        <w:rPr>
          <w:rFonts w:ascii="Arial" w:cs="Arial" w:eastAsia="Arial" w:hAnsi="Arial"/>
          <w:sz w:val="13"/>
          <w:szCs w:val="13"/>
          <w:color w:val="auto"/>
        </w:rPr>
        <w:t>Law and applicable federal securities laws. This proxy does not revoke any prior powers of attorney except for prior proxies given in connection with the Annual Meeting.</w:t>
      </w:r>
    </w:p>
    <w:p>
      <w:pPr>
        <w:spacing w:after="0" w:line="103" w:lineRule="exact"/>
        <w:rPr>
          <w:sz w:val="20"/>
          <w:szCs w:val="20"/>
          <w:color w:val="auto"/>
        </w:rPr>
      </w:pPr>
    </w:p>
    <w:p>
      <w:pPr>
        <w:jc w:val="both"/>
        <w:ind w:left="320" w:right="20"/>
        <w:spacing w:after="0" w:line="262"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460" w:val="left"/>
          <w:tab w:leader="none" w:pos="118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tab/>
        <w:t>Abstain</w:t>
      </w:r>
    </w:p>
    <w:p>
      <w:pPr>
        <w:spacing w:after="0" w:line="118" w:lineRule="exact"/>
        <w:rPr>
          <w:sz w:val="20"/>
          <w:szCs w:val="20"/>
          <w:color w:val="auto"/>
        </w:rPr>
      </w:pPr>
    </w:p>
    <w:p>
      <w:pPr>
        <w:ind w:left="20"/>
        <w:spacing w:after="0" w:line="221" w:lineRule="exact"/>
        <w:tabs>
          <w:tab w:leader="none" w:pos="620" w:val="left"/>
          <w:tab w:leader="none" w:pos="132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20"/>
          <w:szCs w:val="20"/>
          <w:color w:val="auto"/>
        </w:rPr>
        <w:t>☐</w:t>
      </w:r>
    </w:p>
    <w:p>
      <w:pPr>
        <w:spacing w:after="0" w:line="184" w:lineRule="exact"/>
        <w:rPr>
          <w:sz w:val="20"/>
          <w:szCs w:val="20"/>
          <w:color w:val="auto"/>
        </w:rPr>
      </w:pPr>
    </w:p>
    <w:p>
      <w:pPr>
        <w:ind w:left="20"/>
        <w:spacing w:after="0" w:line="221" w:lineRule="exact"/>
        <w:tabs>
          <w:tab w:leader="none" w:pos="620" w:val="left"/>
          <w:tab w:leader="none" w:pos="132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20"/>
          <w:szCs w:val="20"/>
          <w:color w:val="auto"/>
        </w:rPr>
        <w:t>☐</w:t>
      </w:r>
    </w:p>
    <w:p>
      <w:pPr>
        <w:spacing w:after="0" w:line="2724" w:lineRule="exact"/>
        <w:rPr>
          <w:sz w:val="20"/>
          <w:szCs w:val="20"/>
          <w:color w:val="auto"/>
        </w:rPr>
      </w:pPr>
    </w:p>
    <w:p>
      <w:pPr>
        <w:sectPr>
          <w:pgSz w:w="11900" w:h="16838" w:orient="portrait"/>
          <w:cols w:equalWidth="0" w:num="2">
            <w:col w:w="9180" w:space="240"/>
            <w:col w:w="2000"/>
          </w:cols>
          <w:pgMar w:left="240" w:top="119" w:right="2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300"/>
        <w:spacing w:after="0"/>
        <w:tabs>
          <w:tab w:leader="none" w:pos="3140" w:val="left"/>
          <w:tab w:leader="none" w:pos="5060" w:val="left"/>
          <w:tab w:leader="none" w:pos="79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298450</wp:posOffset>
            </wp:positionV>
            <wp:extent cx="7268210"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E43626-P03440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42175" cy="41795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2175" cy="417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SL GREEN REALTY CORP.</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89" w:lineRule="exact"/>
        <w:rPr>
          <w:sz w:val="20"/>
          <w:szCs w:val="20"/>
          <w:color w:val="auto"/>
        </w:rPr>
      </w:pPr>
    </w:p>
    <w:p>
      <w:pPr>
        <w:jc w:val="both"/>
        <w:ind w:left="300" w:right="40"/>
        <w:spacing w:after="0" w:line="242" w:lineRule="auto"/>
        <w:rPr>
          <w:sz w:val="20"/>
          <w:szCs w:val="20"/>
          <w:color w:val="auto"/>
        </w:rPr>
      </w:pPr>
      <w:r>
        <w:rPr>
          <w:rFonts w:ascii="Arial" w:cs="Arial" w:eastAsia="Arial" w:hAnsi="Arial"/>
          <w:sz w:val="18"/>
          <w:szCs w:val="18"/>
          <w:color w:val="auto"/>
        </w:rPr>
        <w:t>The undersigned stockholder(s) hereby appoint(s) Stephen L. Green and Andrew S. Levine, or either of them, as proxies, each with the power to appoint his substitute and hereby authorize(s) them to represent and to vote as designated on the reverse side of this ballot all of the shares of Common Stock of SL GREEN REALTY CORP. that the stockholder(s) is/are entitled to vote at the Annual Meeting of Stockholders to be held at the Andaz Hotel, 485 5th Avenue (at 41st Street), 2nd Floor, New York, New York at 10:00 A.M., local time on Thursday, May 31, 2018 and any adjournment or postponement thereof.</w:t>
      </w:r>
    </w:p>
    <w:p>
      <w:pPr>
        <w:spacing w:after="0" w:line="181" w:lineRule="exact"/>
        <w:rPr>
          <w:sz w:val="20"/>
          <w:szCs w:val="20"/>
          <w:color w:val="auto"/>
        </w:rPr>
      </w:pPr>
    </w:p>
    <w:p>
      <w:pPr>
        <w:jc w:val="both"/>
        <w:ind w:left="300" w:right="40"/>
        <w:spacing w:after="0" w:line="245"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AND IN THE DISCRETION OF THE PROXYHOLDER ON ANY OTHER MATTER PROPERLY BROUGHT BEFORE THE MEETING OR ANY ADJOURNMENT OR POSTPONEMENT THEREOF. IF NO SUCH DIRECTIONS ARE MADE, THIS PROXY WILL BE VOTED FOR THE ELECTION OF THE BOARD OF DIRECTORS' NOMINEES LISTED ON THE REVERSE SIDE HEREOF AND FOR PROPOSALS 2 AND 3.</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PLEASE MARK, SIGN AND DATE AND RETURN THIS PROXY CARD PROMPTLY USING THE ENCLOSED REPLY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683895</wp:posOffset>
            </wp:positionV>
            <wp:extent cx="726821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sectPr>
      <w:pgSz w:w="11900" w:h="16838" w:orient="portrait"/>
      <w:cols w:equalWidth="0" w:num="1">
        <w:col w:w="11160"/>
      </w:cols>
      <w:pgMar w:left="240" w:top="11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lvl w:ilvl="1">
      <w:lvlJc w:val="left"/>
      <w:lvlText w:val="%2)"/>
      <w:numFmt w:val="decimal"/>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1"/>
      <w:numFmt w:val="bullet"/>
      <w:start w:val="1"/>
    </w:lvl>
  </w:abstractNum>
  <w:abstractNum w:abstractNumId="7">
    <w:nsid w:val="42963E5A"/>
    <w:multiLevelType w:val="hybridMultilevel"/>
    <w:lvl w:ilvl="0">
      <w:lvlJc w:val="left"/>
      <w:lvlText w:val="2"/>
      <w:numFmt w:val="bullet"/>
      <w:start w:val="1"/>
    </w:lvl>
  </w:abstractNum>
  <w:abstractNum w:abstractNumId="8">
    <w:nsid w:val="A0382C5"/>
    <w:multiLevelType w:val="hybridMultilevel"/>
    <w:lvl w:ilvl="0">
      <w:lvlJc w:val="left"/>
      <w:lvlText w:val="3"/>
      <w:numFmt w:val="bullet"/>
      <w:start w:val="1"/>
    </w:lvl>
  </w:abstractNum>
  <w:abstractNum w:abstractNumId="9">
    <w:nsid w:val="8F2B15E"/>
    <w:multiLevelType w:val="hybridMultilevel"/>
    <w:lvl w:ilvl="0">
      <w:lvlJc w:val="left"/>
      <w:lvlText w:val="2"/>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4"/>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6"/>
      <w:numFmt w:val="bullet"/>
      <w:start w:val="1"/>
    </w:lvl>
  </w:abstractNum>
  <w:abstractNum w:abstractNumId="19">
    <w:nsid w:val="71EA1109"/>
    <w:multiLevelType w:val="hybridMultilevel"/>
    <w:lvl w:ilvl="0">
      <w:lvlJc w:val="left"/>
      <w:lvlText w:val="%1."/>
      <w:numFmt w:val="decimal"/>
      <w:start w:val="1"/>
    </w:lvl>
  </w:abstractNum>
  <w:abstractNum w:abstractNumId="20">
    <w:nsid w:val="100F59DC"/>
    <w:multiLevelType w:val="hybridMultilevel"/>
    <w:lvl w:ilvl="0">
      <w:lvlJc w:val="left"/>
      <w:lvlText w:val="8"/>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1"/>
      <w:numFmt w:val="decimal"/>
      <w:start w:val="14"/>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1."/>
      <w:numFmt w:val="decimal"/>
      <w:start w:val="1"/>
    </w:lvl>
  </w:abstractNum>
  <w:abstractNum w:abstractNumId="48">
    <w:nsid w:val="5FB8011C"/>
    <w:multiLevelType w:val="hybridMultilevel"/>
    <w:lvl w:ilvl="0">
      <w:lvlJc w:val="left"/>
      <w:lvlText w:val="%1"/>
      <w:numFmt w:val="decimal"/>
      <w:start w:val="16"/>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1"/>
      <w:numFmt w:val="decimal"/>
      <w:start w:val="18"/>
    </w:lvl>
  </w:abstractNum>
  <w:abstractNum w:abstractNumId="51">
    <w:nsid w:val="6FC75AF8"/>
    <w:multiLevelType w:val="hybridMultilevel"/>
    <w:lvl w:ilvl="0">
      <w:lvlJc w:val="left"/>
      <w:lvlText w:val="%1."/>
      <w:numFmt w:val="decimal"/>
      <w:start w:val="1"/>
    </w:lvl>
  </w:abstractNum>
  <w:abstractNum w:abstractNumId="52">
    <w:nsid w:val="6A5F7029"/>
    <w:multiLevelType w:val="hybridMultilevel"/>
    <w:lvl w:ilvl="0">
      <w:lvlJc w:val="left"/>
      <w:lvlText w:val="%1"/>
      <w:numFmt w:val="decimal"/>
      <w:start w:val="20"/>
    </w:lvl>
  </w:abstractNum>
  <w:abstractNum w:abstractNumId="53">
    <w:nsid w:val="7D5E18F8"/>
    <w:multiLevelType w:val="hybridMultilevel"/>
    <w:lvl w:ilvl="0">
      <w:lvlJc w:val="left"/>
      <w:lvlText w:val="%1"/>
      <w:numFmt w:val="decimal"/>
      <w:start w:val="22"/>
    </w:lvl>
  </w:abstractNum>
  <w:abstractNum w:abstractNumId="54">
    <w:nsid w:val="5F3534A4"/>
    <w:multiLevelType w:val="hybridMultilevel"/>
    <w:lvl w:ilvl="0">
      <w:lvlJc w:val="left"/>
      <w:lvlText w:val="%1"/>
      <w:numFmt w:val="decimal"/>
      <w:start w:val="24"/>
    </w:lvl>
  </w:abstractNum>
  <w:abstractNum w:abstractNumId="55">
    <w:nsid w:val="73A1821B"/>
    <w:multiLevelType w:val="hybridMultilevel"/>
    <w:lvl w:ilvl="0">
      <w:lvlJc w:val="left"/>
      <w:lvlText w:val="(%1)"/>
      <w:numFmt w:val="decimal"/>
      <w:start w:val="1"/>
    </w:lvl>
  </w:abstractNum>
  <w:abstractNum w:abstractNumId="56">
    <w:nsid w:val="7DE67713"/>
    <w:multiLevelType w:val="hybridMultilevel"/>
    <w:lvl w:ilvl="0">
      <w:lvlJc w:val="left"/>
      <w:lvlText w:val="%1"/>
      <w:numFmt w:val="decimal"/>
      <w:start w:val="26"/>
    </w:lvl>
  </w:abstractNum>
  <w:abstractNum w:abstractNumId="57">
    <w:nsid w:val="555C55B5"/>
    <w:multiLevelType w:val="hybridMultilevel"/>
    <w:lvl w:ilvl="0">
      <w:lvlJc w:val="left"/>
      <w:lvlText w:val="%1"/>
      <w:numFmt w:val="decimal"/>
      <w:start w:val="28"/>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
      <w:numFmt w:val="bullet"/>
      <w:start w:val="1"/>
    </w:lvl>
  </w:abstractNum>
  <w:abstractNum w:abstractNumId="61">
    <w:nsid w:val="71C91298"/>
    <w:multiLevelType w:val="hybridMultilevel"/>
    <w:lvl w:ilvl="0">
      <w:lvlJc w:val="left"/>
      <w:lvlText w:val="(%1)"/>
      <w:numFmt w:val="decimal"/>
    </w:lvl>
    <w:lvl w:ilvl="1">
      <w:lvlJc w:val="left"/>
      <w:lvlText w:val="●"/>
      <w:numFmt w:val="bullet"/>
      <w:start w:val="1"/>
    </w:lvl>
  </w:abstractNum>
  <w:abstractNum w:abstractNumId="62">
    <w:nsid w:val="9DAF632"/>
    <w:multiLevelType w:val="hybridMultilevel"/>
    <w:lvl w:ilvl="0">
      <w:lvlJc w:val="left"/>
      <w:lvlText w:val="(%1)"/>
      <w:numFmt w:val="decimal"/>
      <w:start w:val="2"/>
    </w:lvl>
  </w:abstractNum>
  <w:abstractNum w:abstractNumId="63">
    <w:nsid w:val="53299938"/>
    <w:multiLevelType w:val="hybridMultilevel"/>
    <w:lvl w:ilvl="0">
      <w:lvlJc w:val="left"/>
      <w:lvlText w:val="%1"/>
      <w:numFmt w:val="decimal"/>
      <w:start w:val="30"/>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
      <w:numFmt w:val="bullet"/>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
      <w:numFmt w:val="bullet"/>
      <w:start w:val="1"/>
    </w:lvl>
    <w:lvl w:ilvl="1">
      <w:lvlJc w:val="left"/>
      <w:lvlText w:val="●"/>
      <w:numFmt w:val="bullet"/>
      <w:start w:val="1"/>
    </w:lvl>
  </w:abstractNum>
  <w:abstractNum w:abstractNumId="71">
    <w:nsid w:val="97E1B4E"/>
    <w:multiLevelType w:val="hybridMultilevel"/>
    <w:lvl w:ilvl="0">
      <w:lvlJc w:val="left"/>
      <w:lvlText w:val="%1"/>
      <w:numFmt w:val="decimal"/>
      <w:start w:val="32"/>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1)"/>
      <w:numFmt w:val="decimal"/>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1"/>
      <w:numFmt w:val="decimal"/>
      <w:start w:val="34"/>
    </w:lvl>
  </w:abstractNum>
  <w:abstractNum w:abstractNumId="76">
    <w:nsid w:val="7C58FD05"/>
    <w:multiLevelType w:val="hybridMultilevel"/>
    <w:lvl w:ilvl="0">
      <w:lvlJc w:val="left"/>
      <w:lvlText w:val="(%1)"/>
      <w:numFmt w:val="decimal"/>
      <w:start w:val="1"/>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
      <w:numFmt w:val="bullet"/>
      <w:start w:val="1"/>
    </w:lvl>
  </w:abstractNum>
  <w:abstractNum w:abstractNumId="79">
    <w:nsid w:val="5C10FE21"/>
    <w:multiLevelType w:val="hybridMultilevel"/>
    <w:lvl w:ilvl="0">
      <w:lvlJc w:val="left"/>
      <w:lvlText w:val="(%1)"/>
      <w:numFmt w:val="decimal"/>
      <w:start w:val="1"/>
    </w:lvl>
  </w:abstractNum>
  <w:abstractNum w:abstractNumId="80">
    <w:nsid w:val="E7FFA2B"/>
    <w:multiLevelType w:val="hybridMultilevel"/>
    <w:lvl w:ilvl="0">
      <w:lvlJc w:val="left"/>
      <w:lvlText w:val="%1"/>
      <w:numFmt w:val="decimal"/>
      <w:start w:val="36"/>
    </w:lvl>
  </w:abstractNum>
  <w:abstractNum w:abstractNumId="81">
    <w:nsid w:val="3C5991AA"/>
    <w:multiLevelType w:val="hybridMultilevel"/>
    <w:lvl w:ilvl="0">
      <w:lvlJc w:val="left"/>
      <w:lvlText w:val="●"/>
      <w:numFmt w:val="bullet"/>
      <w:start w:val="1"/>
    </w:lvl>
  </w:abstractNum>
  <w:abstractNum w:abstractNumId="82">
    <w:nsid w:val="4BD8591A"/>
    <w:multiLevelType w:val="hybridMultilevel"/>
    <w:lvl w:ilvl="0">
      <w:lvlJc w:val="left"/>
      <w:lvlText w:val="(%1)"/>
      <w:numFmt w:val="decimal"/>
      <w:start w:val="1"/>
    </w:lvl>
  </w:abstractNum>
  <w:abstractNum w:abstractNumId="83">
    <w:nsid w:val="78DF6A55"/>
    <w:multiLevelType w:val="hybridMultilevel"/>
    <w:lvl w:ilvl="0">
      <w:lvlJc w:val="left"/>
      <w:lvlText w:val="(%1)"/>
      <w:numFmt w:val="decimal"/>
      <w:start w:val="2"/>
    </w:lvl>
  </w:abstractNum>
  <w:abstractNum w:abstractNumId="84">
    <w:nsid w:val="39B7AAA2"/>
    <w:multiLevelType w:val="hybridMultilevel"/>
    <w:lvl w:ilvl="0">
      <w:lvlJc w:val="left"/>
      <w:lvlText w:val="(%1)"/>
      <w:numFmt w:val="decimal"/>
      <w:start w:val="1"/>
    </w:lvl>
  </w:abstractNum>
  <w:abstractNum w:abstractNumId="85">
    <w:nsid w:val="2B0D8DBE"/>
    <w:multiLevelType w:val="hybridMultilevel"/>
    <w:lvl w:ilvl="0">
      <w:lvlJc w:val="left"/>
      <w:lvlText w:val="(%1)"/>
      <w:numFmt w:val="lowerRoman"/>
      <w:start w:val="1"/>
    </w:lvl>
  </w:abstractNum>
  <w:abstractNum w:abstractNumId="86">
    <w:nsid w:val="6C80EC70"/>
    <w:multiLevelType w:val="hybridMultilevel"/>
    <w:lvl w:ilvl="0">
      <w:lvlJc w:val="left"/>
      <w:lvlText w:val="%1"/>
      <w:numFmt w:val="decimal"/>
      <w:start w:val="38"/>
    </w:lvl>
  </w:abstractNum>
  <w:abstractNum w:abstractNumId="87">
    <w:nsid w:val="379E21B5"/>
    <w:multiLevelType w:val="hybridMultilevel"/>
    <w:lvl w:ilvl="0">
      <w:lvlJc w:val="left"/>
      <w:lvlText w:val="\endash "/>
      <w:numFmt w:val="bullet"/>
      <w:start w:val="1"/>
    </w:lvl>
  </w:abstractNum>
  <w:abstractNum w:abstractNumId="88">
    <w:nsid w:val="69E373"/>
    <w:multiLevelType w:val="hybridMultilevel"/>
    <w:lvl w:ilvl="0">
      <w:lvlJc w:val="left"/>
      <w:lvlText w:val="%1"/>
      <w:numFmt w:val="decimal"/>
      <w:start w:val="40"/>
    </w:lvl>
  </w:abstractNum>
  <w:abstractNum w:abstractNumId="89">
    <w:nsid w:val="2C27173B"/>
    <w:multiLevelType w:val="hybridMultilevel"/>
    <w:lvl w:ilvl="0">
      <w:lvlJc w:val="left"/>
      <w:lvlText w:val="●"/>
      <w:numFmt w:val="bullet"/>
      <w:start w:val="1"/>
    </w:lvl>
    <w:lvl w:ilvl="1">
      <w:lvlJc w:val="left"/>
      <w:lvlText w:val="●"/>
      <w:numFmt w:val="bullet"/>
      <w:start w:val="1"/>
    </w:lvl>
  </w:abstractNum>
  <w:abstractNum w:abstractNumId="90">
    <w:nsid w:val="4C9B0904"/>
    <w:multiLevelType w:val="hybridMultilevel"/>
    <w:lvl w:ilvl="0">
      <w:lvlJc w:val="left"/>
      <w:lvlText w:val="●"/>
      <w:numFmt w:val="bullet"/>
      <w:start w:val="1"/>
    </w:lvl>
  </w:abstractNum>
  <w:abstractNum w:abstractNumId="91">
    <w:nsid w:val="6AA7B75C"/>
    <w:multiLevelType w:val="hybridMultilevel"/>
    <w:lvl w:ilvl="0">
      <w:lvlJc w:val="left"/>
      <w:lvlText w:val="●"/>
      <w:numFmt w:val="bullet"/>
      <w:start w:val="1"/>
    </w:lvl>
    <w:lvl w:ilvl="1">
      <w:lvlJc w:val="left"/>
      <w:lvlText w:val="●"/>
      <w:numFmt w:val="bullet"/>
      <w:start w:val="1"/>
    </w:lvl>
  </w:abstractNum>
  <w:abstractNum w:abstractNumId="92">
    <w:nsid w:val="1DF029D3"/>
    <w:multiLevelType w:val="hybridMultilevel"/>
    <w:lvl w:ilvl="0">
      <w:lvlJc w:val="left"/>
      <w:lvlText w:val="●"/>
      <w:numFmt w:val="bullet"/>
      <w:start w:val="1"/>
    </w:lvl>
  </w:abstractNum>
  <w:abstractNum w:abstractNumId="93">
    <w:nsid w:val="5675FF36"/>
    <w:multiLevelType w:val="hybridMultilevel"/>
    <w:lvl w:ilvl="0">
      <w:lvlJc w:val="left"/>
      <w:lvlText w:val="●"/>
      <w:numFmt w:val="bullet"/>
      <w:start w:val="1"/>
    </w:lvl>
  </w:abstractNum>
  <w:abstractNum w:abstractNumId="94">
    <w:nsid w:val="3DD15094"/>
    <w:multiLevelType w:val="hybridMultilevel"/>
    <w:lvl w:ilvl="0">
      <w:lvlJc w:val="left"/>
      <w:lvlText w:val="●"/>
      <w:numFmt w:val="bullet"/>
      <w:start w:val="1"/>
    </w:lvl>
  </w:abstractNum>
  <w:abstractNum w:abstractNumId="95">
    <w:nsid w:val="3DB012B3"/>
    <w:multiLevelType w:val="hybridMultilevel"/>
    <w:lvl w:ilvl="0">
      <w:lvlJc w:val="left"/>
      <w:lvlText w:val="%1"/>
      <w:numFmt w:val="decimal"/>
      <w:start w:val="42"/>
    </w:lvl>
  </w:abstractNum>
  <w:abstractNum w:abstractNumId="96">
    <w:nsid w:val="2708C9AF"/>
    <w:multiLevelType w:val="hybridMultilevel"/>
    <w:lvl w:ilvl="0">
      <w:lvlJc w:val="left"/>
      <w:lvlText w:val="*"/>
      <w:numFmt w:val="bullet"/>
      <w:start w:val="1"/>
    </w:lvl>
  </w:abstractNum>
  <w:abstractNum w:abstractNumId="97">
    <w:nsid w:val="5B25ACE2"/>
    <w:multiLevelType w:val="hybridMultilevel"/>
    <w:lvl w:ilvl="0">
      <w:lvlJc w:val="left"/>
      <w:lvlText w:val="●"/>
      <w:numFmt w:val="bullet"/>
      <w:start w:val="1"/>
    </w:lvl>
  </w:abstractNum>
  <w:abstractNum w:abstractNumId="98">
    <w:nsid w:val="175DFCF0"/>
    <w:multiLevelType w:val="hybridMultilevel"/>
    <w:lvl w:ilvl="0">
      <w:lvlJc w:val="left"/>
      <w:lvlText w:val="●"/>
      <w:numFmt w:val="bullet"/>
      <w:start w:val="1"/>
    </w:lvl>
  </w:abstractNum>
  <w:abstractNum w:abstractNumId="99">
    <w:nsid w:val="4F97E3E4"/>
    <w:multiLevelType w:val="hybridMultilevel"/>
    <w:lvl w:ilvl="0">
      <w:lvlJc w:val="left"/>
      <w:lvlText w:val="%1"/>
      <w:numFmt w:val="decimal"/>
      <w:start w:val="44"/>
    </w:lvl>
  </w:abstractNum>
  <w:abstractNum w:abstractNumId="100">
    <w:nsid w:val="53B0A9E"/>
    <w:multiLevelType w:val="hybridMultilevel"/>
    <w:lvl w:ilvl="0">
      <w:lvlJc w:val="left"/>
      <w:lvlText w:val="●"/>
      <w:numFmt w:val="bullet"/>
      <w:start w:val="1"/>
    </w:lvl>
  </w:abstractNum>
  <w:abstractNum w:abstractNumId="101">
    <w:nsid w:val="34FD6B4F"/>
    <w:multiLevelType w:val="hybridMultilevel"/>
    <w:lvl w:ilvl="0">
      <w:lvlJc w:val="left"/>
      <w:lvlText w:val="%1"/>
      <w:numFmt w:val="decimal"/>
      <w:start w:val="46"/>
    </w:lvl>
  </w:abstractNum>
  <w:abstractNum w:abstractNumId="102">
    <w:nsid w:val="5915FF32"/>
    <w:multiLevelType w:val="hybridMultilevel"/>
    <w:lvl w:ilvl="0">
      <w:lvlJc w:val="left"/>
      <w:lvlText w:val="(%1)"/>
      <w:numFmt w:val="decimal"/>
      <w:start w:val="1"/>
    </w:lvl>
  </w:abstractNum>
  <w:abstractNum w:abstractNumId="103">
    <w:nsid w:val="56438D15"/>
    <w:multiLevelType w:val="hybridMultilevel"/>
    <w:lvl w:ilvl="0">
      <w:lvlJc w:val="left"/>
      <w:lvlText w:val="(%1)"/>
      <w:numFmt w:val="decimal"/>
      <w:start w:val="3"/>
    </w:lvl>
  </w:abstractNum>
  <w:abstractNum w:abstractNumId="104">
    <w:nsid w:val="519E3149"/>
    <w:multiLevelType w:val="hybridMultilevel"/>
    <w:lvl w:ilvl="0">
      <w:lvlJc w:val="left"/>
      <w:lvlText w:val="(%1)"/>
      <w:numFmt w:val="lowerLetter"/>
      <w:start w:val="1"/>
    </w:lvl>
  </w:abstractNum>
  <w:abstractNum w:abstractNumId="105">
    <w:nsid w:val="2C6E4AFD"/>
    <w:multiLevelType w:val="hybridMultilevel"/>
    <w:lvl w:ilvl="0">
      <w:lvlJc w:val="left"/>
      <w:lvlText w:val="(%1)"/>
      <w:numFmt w:val="decimal"/>
      <w:start w:val="1"/>
    </w:lvl>
  </w:abstractNum>
  <w:abstractNum w:abstractNumId="106">
    <w:nsid w:val="17A1B582"/>
    <w:multiLevelType w:val="hybridMultilevel"/>
    <w:lvl w:ilvl="0">
      <w:lvlJc w:val="left"/>
      <w:lvlText w:val="%1"/>
      <w:numFmt w:val="decimal"/>
      <w:start w:val="48"/>
    </w:lvl>
  </w:abstractNum>
  <w:abstractNum w:abstractNumId="107">
    <w:nsid w:val="4DF72E4E"/>
    <w:multiLevelType w:val="hybridMultilevel"/>
    <w:lvl w:ilvl="0">
      <w:lvlJc w:val="left"/>
      <w:lvlText w:val="(%1)"/>
      <w:numFmt w:val="decimal"/>
      <w:start w:val="2"/>
    </w:lvl>
  </w:abstractNum>
  <w:abstractNum w:abstractNumId="108">
    <w:nsid w:val="5046B5A9"/>
    <w:multiLevelType w:val="hybridMultilevel"/>
    <w:lvl w:ilvl="0">
      <w:lvlJc w:val="left"/>
      <w:lvlText w:val="(%1)"/>
      <w:numFmt w:val="decimal"/>
      <w:start w:val="1"/>
    </w:lvl>
  </w:abstractNum>
  <w:abstractNum w:abstractNumId="109">
    <w:nsid w:val="5D888A08"/>
    <w:multiLevelType w:val="hybridMultilevel"/>
    <w:lvl w:ilvl="0">
      <w:lvlJc w:val="left"/>
      <w:lvlText w:val="%1"/>
      <w:numFmt w:val="decimal"/>
      <w:start w:val="1"/>
    </w:lvl>
    <w:lvl w:ilvl="1">
      <w:lvlJc w:val="left"/>
      <w:lvlText w:val="(%2)"/>
      <w:numFmt w:val="lowerLetter"/>
      <w:start w:val="1"/>
    </w:lvl>
  </w:abstractNum>
  <w:abstractNum w:abstractNumId="110">
    <w:nsid w:val="2A082C70"/>
    <w:multiLevelType w:val="hybridMultilevel"/>
    <w:lvl w:ilvl="0">
      <w:lvlJc w:val="left"/>
      <w:lvlText w:val="(%1)"/>
      <w:numFmt w:val="decimal"/>
      <w:start w:val="2"/>
    </w:lvl>
    <w:lvl w:ilvl="1">
      <w:lvlJc w:val="left"/>
      <w:lvlText w:val="%2"/>
      <w:numFmt w:val="lowerLetter"/>
      <w:start w:val="1"/>
    </w:lvl>
  </w:abstractNum>
  <w:abstractNum w:abstractNumId="111">
    <w:nsid w:val="5EC6AFD4"/>
    <w:multiLevelType w:val="hybridMultilevel"/>
    <w:lvl w:ilvl="0">
      <w:lvlJc w:val="left"/>
      <w:lvlText w:val="%1"/>
      <w:numFmt w:val="decimal"/>
      <w:start w:val="50"/>
    </w:lvl>
  </w:abstractNum>
  <w:abstractNum w:abstractNumId="112">
    <w:nsid w:val="19E21BB2"/>
    <w:multiLevelType w:val="hybridMultilevel"/>
    <w:lvl w:ilvl="0">
      <w:lvlJc w:val="left"/>
      <w:lvlText w:val="(%1)"/>
      <w:numFmt w:val="decimal"/>
      <w:start w:val="3"/>
    </w:lvl>
  </w:abstractNum>
  <w:abstractNum w:abstractNumId="113">
    <w:nsid w:val="75E0858A"/>
    <w:multiLevelType w:val="hybridMultilevel"/>
    <w:lvl w:ilvl="0">
      <w:lvlJc w:val="left"/>
      <w:lvlText w:val="(%1)"/>
      <w:numFmt w:val="decimal"/>
      <w:start w:val="1"/>
    </w:lvl>
  </w:abstractNum>
  <w:abstractNum w:abstractNumId="114">
    <w:nsid w:val="57A61A29"/>
    <w:multiLevelType w:val="hybridMultilevel"/>
    <w:lvl w:ilvl="0">
      <w:lvlJc w:val="left"/>
      <w:lvlText w:val="(%1)"/>
      <w:numFmt w:val="decimal"/>
      <w:start w:val="1"/>
    </w:lvl>
  </w:abstractNum>
  <w:abstractNum w:abstractNumId="115">
    <w:nsid w:val="5399C654"/>
    <w:multiLevelType w:val="hybridMultilevel"/>
    <w:lvl w:ilvl="0">
      <w:lvlJc w:val="left"/>
      <w:lvlText w:val="●"/>
      <w:numFmt w:val="bullet"/>
      <w:start w:val="1"/>
    </w:lvl>
  </w:abstractNum>
  <w:abstractNum w:abstractNumId="116">
    <w:nsid w:val="20EE1348"/>
    <w:multiLevelType w:val="hybridMultilevel"/>
    <w:lvl w:ilvl="0">
      <w:lvlJc w:val="left"/>
      <w:lvlText w:val="%1"/>
      <w:numFmt w:val="decimal"/>
      <w:start w:val="52"/>
    </w:lvl>
  </w:abstractNum>
  <w:abstractNum w:abstractNumId="117">
    <w:nsid w:val="4427069A"/>
    <w:multiLevelType w:val="hybridMultilevel"/>
    <w:lvl w:ilvl="0">
      <w:lvlJc w:val="left"/>
      <w:lvlText w:val="●"/>
      <w:numFmt w:val="bullet"/>
      <w:start w:val="1"/>
    </w:lvl>
  </w:abstractNum>
  <w:abstractNum w:abstractNumId="118">
    <w:nsid w:val="B37E80A"/>
    <w:multiLevelType w:val="hybridMultilevel"/>
    <w:lvl w:ilvl="0">
      <w:lvlJc w:val="left"/>
      <w:lvlText w:val="●"/>
      <w:numFmt w:val="bullet"/>
      <w:start w:val="1"/>
    </w:lvl>
  </w:abstractNum>
  <w:abstractNum w:abstractNumId="119">
    <w:nsid w:val="2157F6BC"/>
    <w:multiLevelType w:val="hybridMultilevel"/>
    <w:lvl w:ilvl="0">
      <w:lvlJc w:val="left"/>
      <w:lvlText w:val="●"/>
      <w:numFmt w:val="bullet"/>
      <w:start w:val="1"/>
    </w:lvl>
  </w:abstractNum>
  <w:abstractNum w:abstractNumId="120">
    <w:nsid w:val="704E1DD5"/>
    <w:multiLevelType w:val="hybridMultilevel"/>
    <w:lvl w:ilvl="0">
      <w:lvlJc w:val="left"/>
      <w:lvlText w:val="●"/>
      <w:numFmt w:val="bullet"/>
      <w:start w:val="1"/>
    </w:lvl>
  </w:abstractNum>
  <w:abstractNum w:abstractNumId="121">
    <w:nsid w:val="57D2F10E"/>
    <w:multiLevelType w:val="hybridMultilevel"/>
    <w:lvl w:ilvl="0">
      <w:lvlJc w:val="left"/>
      <w:lvlText w:val="●"/>
      <w:numFmt w:val="bullet"/>
      <w:start w:val="1"/>
    </w:lvl>
  </w:abstractNum>
  <w:abstractNum w:abstractNumId="122">
    <w:nsid w:val="BFFAE18"/>
    <w:multiLevelType w:val="hybridMultilevel"/>
    <w:lvl w:ilvl="0">
      <w:lvlJc w:val="left"/>
      <w:lvlText w:val="●"/>
      <w:numFmt w:val="bullet"/>
      <w:start w:val="1"/>
    </w:lvl>
  </w:abstractNum>
  <w:abstractNum w:abstractNumId="123">
    <w:nsid w:val="E3E47A8"/>
    <w:multiLevelType w:val="hybridMultilevel"/>
    <w:lvl w:ilvl="0">
      <w:lvlJc w:val="left"/>
      <w:lvlText w:val="●"/>
      <w:numFmt w:val="bullet"/>
      <w:start w:val="1"/>
    </w:lvl>
  </w:abstractNum>
  <w:abstractNum w:abstractNumId="124">
    <w:nsid w:val="2E48F044"/>
    <w:multiLevelType w:val="hybridMultilevel"/>
    <w:lvl w:ilvl="0">
      <w:lvlJc w:val="left"/>
      <w:lvlText w:val="●"/>
      <w:numFmt w:val="bullet"/>
      <w:start w:val="1"/>
    </w:lvl>
  </w:abstractNum>
  <w:abstractNum w:abstractNumId="125">
    <w:nsid w:val="49D0FEAC"/>
    <w:multiLevelType w:val="hybridMultilevel"/>
    <w:lvl w:ilvl="0">
      <w:lvlJc w:val="left"/>
      <w:lvlText w:val="●"/>
      <w:numFmt w:val="bullet"/>
      <w:start w:val="1"/>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1)"/>
      <w:numFmt w:val="decimal"/>
      <w:start w:val="1"/>
    </w:lvl>
  </w:abstractNum>
  <w:abstractNum w:abstractNumId="128">
    <w:nsid w:val="24F6AB8E"/>
    <w:multiLevelType w:val="hybridMultilevel"/>
    <w:lvl w:ilvl="0">
      <w:lvlJc w:val="left"/>
      <w:lvlText w:val="%1"/>
      <w:numFmt w:val="decimal"/>
      <w:start w:val="54"/>
    </w:lvl>
  </w:abstractNum>
  <w:abstractNum w:abstractNumId="129">
    <w:nsid w:val="634C574C"/>
    <w:multiLevelType w:val="hybridMultilevel"/>
    <w:lvl w:ilvl="0">
      <w:lvlJc w:val="left"/>
      <w:lvlText w:val="(%1)"/>
      <w:numFmt w:val="decimal"/>
      <w:start w:val="8"/>
    </w:lvl>
  </w:abstractNum>
  <w:abstractNum w:abstractNumId="130">
    <w:nsid w:val="24E99DD7"/>
    <w:multiLevelType w:val="hybridMultilevel"/>
    <w:lvl w:ilvl="0">
      <w:lvlJc w:val="left"/>
      <w:lvlText w:val="(%1)"/>
      <w:numFmt w:val="decimal"/>
      <w:start w:val="1"/>
    </w:lvl>
  </w:abstractNum>
  <w:abstractNum w:abstractNumId="131">
    <w:nsid w:val="2A31B62D"/>
    <w:multiLevelType w:val="hybridMultilevel"/>
    <w:lvl w:ilvl="0">
      <w:lvlJc w:val="left"/>
      <w:lvlText w:val="%1"/>
      <w:numFmt w:val="decimal"/>
      <w:start w:val="56"/>
    </w:lvl>
  </w:abstractNum>
  <w:abstractNum w:abstractNumId="132">
    <w:nsid w:val="1849C29B"/>
    <w:multiLevelType w:val="hybridMultilevel"/>
    <w:lvl w:ilvl="0">
      <w:lvlJc w:val="left"/>
      <w:lvlText w:val="%1"/>
      <w:numFmt w:val="decimal"/>
      <w:start w:val="58"/>
    </w:lvl>
  </w:abstractNum>
  <w:abstractNum w:abstractNumId="133">
    <w:nsid w:val="7DFF9D09"/>
    <w:multiLevelType w:val="hybridMultilevel"/>
    <w:lvl w:ilvl="0">
      <w:lvlJc w:val="left"/>
      <w:lvlText w:val="*"/>
      <w:numFmt w:val="bullet"/>
      <w:start w:val="1"/>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1)"/>
      <w:numFmt w:val="decimal"/>
      <w:start w:val="1"/>
    </w:lvl>
  </w:abstractNum>
  <w:abstractNum w:abstractNumId="136">
    <w:nsid w:val="2A6DE806"/>
    <w:multiLevelType w:val="hybridMultilevel"/>
    <w:lvl w:ilvl="0">
      <w:lvlJc w:val="left"/>
      <w:lvlText w:val="%1"/>
      <w:numFmt w:val="decimal"/>
      <w:start w:val="60"/>
    </w:lvl>
  </w:abstractNum>
  <w:abstractNum w:abstractNumId="137">
    <w:nsid w:val="1816F8C4"/>
    <w:multiLevelType w:val="hybridMultilevel"/>
    <w:lvl w:ilvl="0">
      <w:lvlJc w:val="left"/>
      <w:lvlText w:val="(%1)"/>
      <w:numFmt w:val="decimal"/>
      <w:start w:val="5"/>
    </w:lvl>
  </w:abstractNum>
  <w:abstractNum w:abstractNumId="138">
    <w:nsid w:val="37DF2233"/>
    <w:multiLevelType w:val="hybridMultilevel"/>
    <w:lvl w:ilvl="0">
      <w:lvlJc w:val="left"/>
      <w:lvlText w:val="%1"/>
      <w:numFmt w:val="decimal"/>
      <w:start w:val="62"/>
    </w:lvl>
  </w:abstractNum>
  <w:abstractNum w:abstractNumId="139">
    <w:nsid w:val="7AB49DAF"/>
    <w:multiLevelType w:val="hybridMultilevel"/>
    <w:lvl w:ilvl="0">
      <w:lvlJc w:val="left"/>
      <w:lvlText w:val="●"/>
      <w:numFmt w:val="bullet"/>
      <w:start w:val="1"/>
    </w:lvl>
  </w:abstractNum>
  <w:abstractNum w:abstractNumId="140">
    <w:nsid w:val="759F82CD"/>
    <w:multiLevelType w:val="hybridMultilevel"/>
    <w:lvl w:ilvl="0">
      <w:lvlJc w:val="left"/>
      <w:lvlText w:val="%1"/>
      <w:numFmt w:val="decimal"/>
      <w:start w:val="64"/>
    </w:lvl>
  </w:abstractNum>
  <w:abstractNum w:abstractNumId="141">
    <w:nsid w:val="61E74EA3"/>
    <w:multiLevelType w:val="hybridMultilevel"/>
    <w:lvl w:ilvl="0">
      <w:lvlJc w:val="left"/>
      <w:lvlText w:val="●"/>
      <w:numFmt w:val="bullet"/>
      <w:start w:val="1"/>
    </w:lvl>
  </w:abstractNum>
  <w:abstractNum w:abstractNumId="142">
    <w:nsid w:val="597B4D84"/>
    <w:multiLevelType w:val="hybridMultilevel"/>
    <w:lvl w:ilvl="0">
      <w:lvlJc w:val="left"/>
      <w:lvlText w:val="●"/>
      <w:numFmt w:val="bullet"/>
      <w:start w:val="1"/>
    </w:lvl>
  </w:abstractNum>
  <w:abstractNum w:abstractNumId="143">
    <w:nsid w:val="F819E7F"/>
    <w:multiLevelType w:val="hybridMultilevel"/>
    <w:lvl w:ilvl="0">
      <w:lvlJc w:val="left"/>
      <w:lvlText w:val="●"/>
      <w:numFmt w:val="bullet"/>
      <w:start w:val="1"/>
    </w:lvl>
  </w:abstractNum>
  <w:abstractNum w:abstractNumId="144">
    <w:nsid w:val="57C7D42D"/>
    <w:multiLevelType w:val="hybridMultilevel"/>
    <w:lvl w:ilvl="0">
      <w:lvlJc w:val="left"/>
      <w:lvlText w:val="%1"/>
      <w:numFmt w:val="decimal"/>
      <w:start w:val="66"/>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2019-12-06T09:40:26Z</dcterms:created>
  <dcterms:modified xsi:type="dcterms:W3CDTF">2019-12-06T09:40:26Z</dcterms:modified>
</cp:coreProperties>
</file>