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WASHINGTON,D.C. 20549</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20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June 2, 2026 (June 2, 2026)</w:t>
      </w:r>
    </w:p>
    <w:p>
      <w:pPr>
        <w:spacing w:after="0" w:line="209"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9"/>
          <w:szCs w:val="29"/>
          <w:b w:val="1"/>
          <w:bCs w:val="1"/>
          <w:color w:val="auto"/>
        </w:rPr>
        <w:t>SL GREEN REALTY CORP.</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240"/>
          </w:cols>
          <w:pgMar w:left="320" w:top="720" w:right="339" w:bottom="1440" w:gutter="0" w:footer="0" w:header="0"/>
        </w:sectPr>
      </w:pPr>
    </w:p>
    <w:p>
      <w:pPr>
        <w:spacing w:after="0" w:line="201" w:lineRule="exact"/>
        <w:rPr>
          <w:sz w:val="24"/>
          <w:szCs w:val="24"/>
          <w:color w:val="auto"/>
        </w:rPr>
      </w:pPr>
    </w:p>
    <w:p>
      <w:pPr>
        <w:ind w:left="1540"/>
        <w:spacing w:after="0"/>
        <w:rPr>
          <w:sz w:val="20"/>
          <w:szCs w:val="20"/>
          <w:color w:val="auto"/>
        </w:rPr>
      </w:pPr>
      <w:r>
        <w:rPr>
          <w:rFonts w:ascii="Times New Roman" w:cs="Times New Roman" w:eastAsia="Times New Roman" w:hAnsi="Times New Roman"/>
          <w:sz w:val="18"/>
          <w:szCs w:val="18"/>
          <w:b w:val="1"/>
          <w:bCs w:val="1"/>
          <w:color w:val="auto"/>
        </w:rPr>
        <w:t>Maryland</w:t>
      </w:r>
    </w:p>
    <w:p>
      <w:pPr>
        <w:spacing w:after="0" w:line="31" w:lineRule="exact"/>
        <w:rPr>
          <w:sz w:val="24"/>
          <w:szCs w:val="24"/>
          <w:color w:val="auto"/>
        </w:rPr>
      </w:pPr>
    </w:p>
    <w:p>
      <w:pPr>
        <w:ind w:left="86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21" w:lineRule="exact"/>
        <w:rPr>
          <w:sz w:val="24"/>
          <w:szCs w:val="24"/>
          <w:color w:val="auto"/>
        </w:rPr>
      </w:pPr>
    </w:p>
    <w:p>
      <w:pPr>
        <w:ind w:left="140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8"/>
          <w:szCs w:val="18"/>
          <w:b w:val="1"/>
          <w:bCs w:val="1"/>
          <w:color w:val="auto"/>
        </w:rPr>
        <w:t>1-13199</w:t>
      </w:r>
    </w:p>
    <w:p>
      <w:pPr>
        <w:spacing w:after="0" w:line="31" w:lineRule="exact"/>
        <w:rPr>
          <w:sz w:val="24"/>
          <w:szCs w:val="24"/>
          <w:color w:val="auto"/>
        </w:rPr>
      </w:pPr>
    </w:p>
    <w:p>
      <w:pPr>
        <w:jc w:val="center"/>
        <w:ind w:right="840"/>
        <w:spacing w:after="0"/>
        <w:rPr>
          <w:sz w:val="20"/>
          <w:szCs w:val="20"/>
          <w:color w:val="auto"/>
        </w:rPr>
      </w:pPr>
      <w:r>
        <w:rPr>
          <w:rFonts w:ascii="Times New Roman" w:cs="Times New Roman" w:eastAsia="Times New Roman" w:hAnsi="Times New Roman"/>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18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b w:val="1"/>
          <w:bCs w:val="1"/>
          <w:color w:val="auto"/>
        </w:rPr>
        <w:t>13-3956775</w:t>
      </w:r>
    </w:p>
    <w:p>
      <w:pPr>
        <w:spacing w:after="0" w:line="31" w:lineRule="exact"/>
        <w:rPr>
          <w:sz w:val="24"/>
          <w:szCs w:val="24"/>
          <w:color w:val="auto"/>
        </w:rPr>
      </w:pPr>
    </w:p>
    <w:p>
      <w:pPr>
        <w:jc w:val="center"/>
        <w:ind w:right="760"/>
        <w:spacing w:after="0"/>
        <w:rPr>
          <w:sz w:val="20"/>
          <w:szCs w:val="20"/>
          <w:color w:val="auto"/>
        </w:rPr>
      </w:pPr>
      <w:r>
        <w:rPr>
          <w:rFonts w:ascii="Times New Roman" w:cs="Times New Roman" w:eastAsia="Times New Roman" w:hAnsi="Times New Roman"/>
          <w:sz w:val="17"/>
          <w:szCs w:val="17"/>
          <w:color w:val="auto"/>
        </w:rPr>
        <w:t>(I.R.S. Employer Identification</w:t>
      </w:r>
    </w:p>
    <w:p>
      <w:pPr>
        <w:spacing w:after="0" w:line="21" w:lineRule="exact"/>
        <w:rPr>
          <w:sz w:val="24"/>
          <w:szCs w:val="24"/>
          <w:color w:val="auto"/>
        </w:rPr>
      </w:pPr>
    </w:p>
    <w:p>
      <w:pPr>
        <w:jc w:val="center"/>
        <w:ind w:right="700"/>
        <w:spacing w:after="0"/>
        <w:rPr>
          <w:sz w:val="20"/>
          <w:szCs w:val="20"/>
          <w:color w:val="auto"/>
        </w:rPr>
      </w:pPr>
      <w:r>
        <w:rPr>
          <w:rFonts w:ascii="Times New Roman" w:cs="Times New Roman" w:eastAsia="Times New Roman" w:hAnsi="Times New Roman"/>
          <w:sz w:val="18"/>
          <w:szCs w:val="18"/>
          <w:color w:val="auto"/>
        </w:rPr>
        <w:t>Number)</w:t>
      </w:r>
    </w:p>
    <w:p>
      <w:pPr>
        <w:spacing w:after="0" w:line="200" w:lineRule="exact"/>
        <w:rPr>
          <w:sz w:val="24"/>
          <w:szCs w:val="24"/>
          <w:color w:val="auto"/>
        </w:rPr>
      </w:pPr>
    </w:p>
    <w:p>
      <w:pPr>
        <w:sectPr>
          <w:pgSz w:w="11900" w:h="16838" w:orient="portrait"/>
          <w:cols w:equalWidth="0" w:num="3">
            <w:col w:w="3980" w:space="720"/>
            <w:col w:w="2820" w:space="720"/>
            <w:col w:w="3000"/>
          </w:cols>
          <w:pgMar w:left="320" w:top="720" w:right="339" w:bottom="1440" w:gutter="0" w:footer="0" w:header="0"/>
          <w:type w:val="continuous"/>
        </w:sectPr>
      </w:pPr>
    </w:p>
    <w:p>
      <w:pPr>
        <w:spacing w:after="0" w:line="30"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One Vanderbilt Avenue</w:t>
      </w:r>
    </w:p>
    <w:p>
      <w:pPr>
        <w:spacing w:after="0" w:line="3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New York, New York 10017</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 including zip code)</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 xml:space="preserve">Registrants’ telephone number, including area code: </w:t>
      </w:r>
      <w:r>
        <w:rPr>
          <w:rFonts w:ascii="Times New Roman" w:cs="Times New Roman" w:eastAsia="Times New Roman" w:hAnsi="Times New Roman"/>
          <w:sz w:val="17"/>
          <w:szCs w:val="17"/>
          <w:b w:val="1"/>
          <w:bCs w:val="1"/>
          <w:color w:val="auto"/>
        </w:rPr>
        <w:t>(212) 594-2700</w:t>
      </w:r>
    </w:p>
    <w:p>
      <w:pPr>
        <w:sectPr>
          <w:pgSz w:w="11900" w:h="16838" w:orient="portrait"/>
          <w:cols w:equalWidth="0" w:num="1">
            <w:col w:w="11240"/>
          </w:cols>
          <w:pgMar w:left="320" w:top="720" w:right="339" w:bottom="1440" w:gutter="0" w:footer="0" w:header="0"/>
          <w:type w:val="continuous"/>
        </w:sectPr>
      </w:pPr>
    </w:p>
    <w:p>
      <w:pPr>
        <w:spacing w:after="0" w:line="241"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0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2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4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w:t>
            </w:r>
          </w:p>
        </w:tc>
        <w:tc>
          <w:tcPr>
            <w:tcW w:w="0" w:type="dxa"/>
            <w:vAlign w:val="bottom"/>
          </w:tcPr>
          <w:p>
            <w:pPr>
              <w:spacing w:after="0"/>
              <w:rPr>
                <w:sz w:val="1"/>
                <w:szCs w:val="1"/>
                <w:color w:val="auto"/>
              </w:rPr>
            </w:pPr>
          </w:p>
        </w:tc>
      </w:tr>
      <w:tr>
        <w:trPr>
          <w:trHeight w:val="238"/>
        </w:trPr>
        <w:tc>
          <w:tcPr>
            <w:tcW w:w="2380" w:type="dxa"/>
            <w:vAlign w:val="bottom"/>
            <w:gridSpan w:val="2"/>
          </w:tcPr>
          <w:p>
            <w:pPr>
              <w:ind w:left="740"/>
              <w:spacing w:after="0"/>
              <w:rPr>
                <w:sz w:val="20"/>
                <w:szCs w:val="20"/>
                <w:color w:val="auto"/>
              </w:rPr>
            </w:pPr>
            <w:r>
              <w:rPr>
                <w:rFonts w:ascii="Times New Roman" w:cs="Times New Roman" w:eastAsia="Times New Roman" w:hAnsi="Times New Roman"/>
                <w:sz w:val="18"/>
                <w:szCs w:val="18"/>
                <w:b w:val="1"/>
                <w:bCs w:val="1"/>
                <w:color w:val="auto"/>
              </w:rPr>
              <w:t>Registrant</w:t>
            </w:r>
          </w:p>
        </w:tc>
        <w:tc>
          <w:tcPr>
            <w:tcW w:w="1800" w:type="dxa"/>
            <w:vAlign w:val="bottom"/>
            <w:gridSpan w:val="2"/>
            <w:vMerge w:val="continue"/>
          </w:tcPr>
          <w:p>
            <w:pPr>
              <w:spacing w:after="0"/>
              <w:rPr>
                <w:sz w:val="20"/>
                <w:szCs w:val="20"/>
                <w:color w:val="auto"/>
              </w:rPr>
            </w:pPr>
          </w:p>
        </w:tc>
        <w:tc>
          <w:tcPr>
            <w:tcW w:w="4040" w:type="dxa"/>
            <w:vAlign w:val="bottom"/>
            <w:gridSpan w:val="2"/>
            <w:vMerge w:val="continue"/>
          </w:tcPr>
          <w:p>
            <w:pPr>
              <w:spacing w:after="0"/>
              <w:rPr>
                <w:sz w:val="20"/>
                <w:szCs w:val="20"/>
                <w:color w:val="auto"/>
              </w:rPr>
            </w:pP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Which Registered</w:t>
            </w:r>
          </w:p>
        </w:tc>
        <w:tc>
          <w:tcPr>
            <w:tcW w:w="0" w:type="dxa"/>
            <w:vAlign w:val="bottom"/>
          </w:tcPr>
          <w:p>
            <w:pPr>
              <w:spacing w:after="0"/>
              <w:rPr>
                <w:sz w:val="1"/>
                <w:szCs w:val="1"/>
                <w:color w:val="auto"/>
              </w:rPr>
            </w:pPr>
          </w:p>
        </w:tc>
      </w:tr>
      <w:tr>
        <w:trPr>
          <w:trHeight w:val="187"/>
        </w:trPr>
        <w:tc>
          <w:tcPr>
            <w:tcW w:w="2260" w:type="dxa"/>
            <w:vAlign w:val="bottom"/>
            <w:tcBorders>
              <w:top w:val="single" w:sz="8" w:color="auto"/>
            </w:tcBorders>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SL Green Realty Corp.</w:t>
            </w:r>
          </w:p>
        </w:tc>
        <w:tc>
          <w:tcPr>
            <w:tcW w:w="120" w:type="dxa"/>
            <w:vAlign w:val="bottom"/>
          </w:tcPr>
          <w:p>
            <w:pPr>
              <w:spacing w:after="0"/>
              <w:rPr>
                <w:sz w:val="16"/>
                <w:szCs w:val="16"/>
                <w:color w:val="auto"/>
              </w:rPr>
            </w:pPr>
          </w:p>
        </w:tc>
        <w:tc>
          <w:tcPr>
            <w:tcW w:w="170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SLG</w:t>
            </w:r>
          </w:p>
        </w:tc>
        <w:tc>
          <w:tcPr>
            <w:tcW w:w="100" w:type="dxa"/>
            <w:vAlign w:val="bottom"/>
          </w:tcPr>
          <w:p>
            <w:pPr>
              <w:spacing w:after="0"/>
              <w:rPr>
                <w:sz w:val="16"/>
                <w:szCs w:val="16"/>
                <w:color w:val="auto"/>
              </w:rPr>
            </w:pPr>
          </w:p>
        </w:tc>
        <w:tc>
          <w:tcPr>
            <w:tcW w:w="39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Common Stock, $0.01 par value</w:t>
            </w:r>
          </w:p>
        </w:tc>
        <w:tc>
          <w:tcPr>
            <w:tcW w:w="120" w:type="dxa"/>
            <w:vAlign w:val="bottom"/>
          </w:tcPr>
          <w:p>
            <w:pPr>
              <w:spacing w:after="0"/>
              <w:rPr>
                <w:sz w:val="16"/>
                <w:szCs w:val="16"/>
                <w:color w:val="auto"/>
              </w:rPr>
            </w:pPr>
          </w:p>
        </w:tc>
        <w:tc>
          <w:tcPr>
            <w:tcW w:w="302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20"/>
        </w:trPr>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SL Green Realty Corp.</w:t>
            </w:r>
          </w:p>
        </w:tc>
        <w:tc>
          <w:tcPr>
            <w:tcW w:w="18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SLG.PRI</w:t>
            </w:r>
          </w:p>
        </w:tc>
        <w:tc>
          <w:tcPr>
            <w:tcW w:w="40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rPr>
              <w:t>6.500% Series I Cumulative Redeemable Preferred</w:t>
            </w:r>
          </w:p>
        </w:tc>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New York Stock Exchange</w:t>
            </w:r>
          </w:p>
        </w:tc>
        <w:tc>
          <w:tcPr>
            <w:tcW w:w="0" w:type="dxa"/>
            <w:vAlign w:val="bottom"/>
          </w:tcPr>
          <w:p>
            <w:pPr>
              <w:spacing w:after="0"/>
              <w:rPr>
                <w:sz w:val="1"/>
                <w:szCs w:val="1"/>
                <w:color w:val="auto"/>
              </w:rPr>
            </w:pPr>
          </w:p>
        </w:tc>
      </w:tr>
      <w:tr>
        <w:trPr>
          <w:trHeight w:val="234"/>
        </w:trPr>
        <w:tc>
          <w:tcPr>
            <w:tcW w:w="2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Stock, $0.01 par value</w:t>
            </w:r>
          </w:p>
        </w:tc>
        <w:tc>
          <w:tcPr>
            <w:tcW w:w="30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5" w:lineRule="exact"/>
        <w:rPr>
          <w:sz w:val="24"/>
          <w:szCs w:val="24"/>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20" w:right="339" w:bottom="1440" w:gutter="0" w:footer="0" w:header="0"/>
          <w:type w:val="continuous"/>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left="300" w:hanging="292"/>
        <w:spacing w:after="0"/>
        <w:tabs>
          <w:tab w:leader="none" w:pos="3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 Green Realty Corp. (the “Company”) held its Annual Meeting of Stockholders (the “Annual Meeting”) on June 2, 2026.</w:t>
      </w:r>
    </w:p>
    <w:p>
      <w:pPr>
        <w:spacing w:after="0" w:line="225" w:lineRule="exact"/>
        <w:rPr>
          <w:rFonts w:ascii="Times New Roman" w:cs="Times New Roman" w:eastAsia="Times New Roman" w:hAnsi="Times New Roman"/>
          <w:sz w:val="18"/>
          <w:szCs w:val="18"/>
          <w:color w:val="auto"/>
        </w:rPr>
      </w:pPr>
    </w:p>
    <w:p>
      <w:pPr>
        <w:ind w:right="100" w:firstLine="8"/>
        <w:spacing w:after="0" w:line="255" w:lineRule="auto"/>
        <w:tabs>
          <w:tab w:leader="none" w:pos="297"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Meeting was held for the purpose of: (i) electing eight directors to serve on the Company’s Board of Directors until the Company’s 2027 annual meeting of stockholders and until their successors are duly elected and qualify; (ii) approving, on an advisory basis, the Company’s executive compensation; and (iii) ratifying the appointment of Deloitte &amp; Touche LLP as the Company’s independent registered public accounting firm for the fiscal year ending December 31, 2026. Further information regarding the foregoing proposals is contained in the Company’s Definitive Proxy Statement on Schedule 14A, filed with the Securities and Exchange Commission on April 22, 2026. The total number of shares of common stock entitled to vote at the Annual Meeting was 71,116,386 of which 60,652,639 shares, or approximately 85.3%, were present in person or by proxy. The results of the meeting are as follows: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9"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John H. Alschuler, Carol N. Brown, Lauren B. Dillard, Stephen L. Green, Craig M. Hatkoff, Marc Holliday, Peggy Lamb and Andrew W. Mathias were elected, with approximately 90.5%, 99.0%, 94.3%, 95.8%, 91.7%, 96.6%, 92.3% and 90.8%, respectively, of the votes cast voting in favor, as the directors of the Company for a one-year term and until their successors are duly elected and qualify.</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4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8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18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Votes Against</w:t>
            </w:r>
          </w:p>
        </w:tc>
        <w:tc>
          <w:tcPr>
            <w:tcW w:w="184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Votes Abstaining</w:t>
            </w:r>
          </w:p>
        </w:tc>
        <w:tc>
          <w:tcPr>
            <w:tcW w:w="16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c>
          <w:tcPr>
            <w:tcW w:w="220" w:type="dxa"/>
            <w:vAlign w:val="bottom"/>
          </w:tcPr>
          <w:p>
            <w:pPr>
              <w:spacing w:after="0"/>
              <w:rPr>
                <w:sz w:val="20"/>
                <w:szCs w:val="20"/>
                <w:color w:val="auto"/>
              </w:rPr>
            </w:pPr>
          </w:p>
        </w:tc>
      </w:tr>
      <w:tr>
        <w:trPr>
          <w:trHeight w:val="209"/>
        </w:trPr>
        <w:tc>
          <w:tcPr>
            <w:tcW w:w="240" w:type="dxa"/>
            <w:vAlign w:val="bottom"/>
          </w:tcPr>
          <w:p>
            <w:pPr>
              <w:spacing w:after="0"/>
              <w:rPr>
                <w:sz w:val="18"/>
                <w:szCs w:val="18"/>
                <w:color w:val="auto"/>
              </w:rPr>
            </w:pPr>
          </w:p>
        </w:tc>
        <w:tc>
          <w:tcPr>
            <w:tcW w:w="36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John H. Alschuler</w:t>
            </w: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48,805,486</w:t>
            </w:r>
          </w:p>
        </w:tc>
        <w:tc>
          <w:tcPr>
            <w:tcW w:w="3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5,107,602</w:t>
            </w:r>
          </w:p>
        </w:tc>
        <w:tc>
          <w:tcPr>
            <w:tcW w:w="32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50,735</w:t>
            </w:r>
          </w:p>
        </w:tc>
        <w:tc>
          <w:tcPr>
            <w:tcW w:w="3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6,688,816</w:t>
            </w: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Carol N. Brown</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53,245,549</w:t>
            </w:r>
          </w:p>
        </w:tc>
        <w:tc>
          <w:tcPr>
            <w:tcW w:w="3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547,455</w:t>
            </w:r>
          </w:p>
        </w:tc>
        <w:tc>
          <w:tcPr>
            <w:tcW w:w="3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170,819</w:t>
            </w:r>
          </w:p>
        </w:tc>
        <w:tc>
          <w:tcPr>
            <w:tcW w:w="3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6,688,816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Lauren B. Dillard</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50,866,616</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3,047,716</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49,491</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6,688,816</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Stephen L. Green</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51,649,216</w:t>
            </w:r>
          </w:p>
        </w:tc>
        <w:tc>
          <w:tcPr>
            <w:tcW w:w="3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2,260,925</w:t>
            </w:r>
          </w:p>
        </w:tc>
        <w:tc>
          <w:tcPr>
            <w:tcW w:w="3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53,682</w:t>
            </w:r>
          </w:p>
        </w:tc>
        <w:tc>
          <w:tcPr>
            <w:tcW w:w="3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6,688,816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Craig M. Hatkoff</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49,453,231</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4,460,067</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50,525</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6,688,816</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Marc Holliday</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51,857,726</w:t>
            </w:r>
          </w:p>
        </w:tc>
        <w:tc>
          <w:tcPr>
            <w:tcW w:w="3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1,802,529</w:t>
            </w:r>
          </w:p>
        </w:tc>
        <w:tc>
          <w:tcPr>
            <w:tcW w:w="320" w:type="dxa"/>
            <w:vAlign w:val="bottom"/>
          </w:tcPr>
          <w:p>
            <w:pPr>
              <w:spacing w:after="0"/>
              <w:rPr>
                <w:sz w:val="18"/>
                <w:szCs w:val="18"/>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303,568</w:t>
            </w:r>
          </w:p>
        </w:tc>
        <w:tc>
          <w:tcPr>
            <w:tcW w:w="320" w:type="dxa"/>
            <w:vAlign w:val="bottom"/>
          </w:tcPr>
          <w:p>
            <w:pPr>
              <w:spacing w:after="0"/>
              <w:rPr>
                <w:sz w:val="18"/>
                <w:szCs w:val="18"/>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6,688,816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24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Peggy Lamb</w:t>
            </w: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49,742,021</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4,172,167</w:t>
            </w:r>
          </w:p>
        </w:tc>
        <w:tc>
          <w:tcPr>
            <w:tcW w:w="320" w:type="dxa"/>
            <w:vAlign w:val="bottom"/>
            <w:shd w:val="clear" w:color="auto" w:fill="CCEEFF"/>
          </w:tcPr>
          <w:p>
            <w:pPr>
              <w:spacing w:after="0"/>
              <w:rPr>
                <w:sz w:val="18"/>
                <w:szCs w:val="18"/>
                <w:color w:val="auto"/>
              </w:rPr>
            </w:pPr>
          </w:p>
        </w:tc>
        <w:tc>
          <w:tcPr>
            <w:tcW w:w="15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49,635</w:t>
            </w:r>
          </w:p>
        </w:tc>
        <w:tc>
          <w:tcPr>
            <w:tcW w:w="320" w:type="dxa"/>
            <w:vAlign w:val="bottom"/>
            <w:shd w:val="clear" w:color="auto" w:fill="CCEEFF"/>
          </w:tcPr>
          <w:p>
            <w:pPr>
              <w:spacing w:after="0"/>
              <w:rPr>
                <w:sz w:val="18"/>
                <w:szCs w:val="18"/>
                <w:color w:val="auto"/>
              </w:rPr>
            </w:pPr>
          </w:p>
        </w:tc>
        <w:tc>
          <w:tcPr>
            <w:tcW w:w="15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6,688,816</w:t>
            </w:r>
          </w:p>
        </w:tc>
        <w:tc>
          <w:tcPr>
            <w:tcW w:w="100" w:type="dxa"/>
            <w:vAlign w:val="bottom"/>
            <w:shd w:val="clear" w:color="auto" w:fill="CCEEFF"/>
          </w:tcPr>
          <w:p>
            <w:pPr>
              <w:spacing w:after="0"/>
              <w:rPr>
                <w:sz w:val="18"/>
                <w:szCs w:val="18"/>
                <w:color w:val="auto"/>
              </w:rPr>
            </w:pPr>
          </w:p>
        </w:tc>
        <w:tc>
          <w:tcPr>
            <w:tcW w:w="220" w:type="dxa"/>
            <w:vAlign w:val="bottom"/>
          </w:tcPr>
          <w:p>
            <w:pPr>
              <w:spacing w:after="0"/>
              <w:rPr>
                <w:sz w:val="18"/>
                <w:szCs w:val="18"/>
                <w:color w:val="auto"/>
              </w:rPr>
            </w:pPr>
          </w:p>
        </w:tc>
      </w:tr>
      <w:tr>
        <w:trPr>
          <w:trHeight w:val="234"/>
        </w:trPr>
        <w:tc>
          <w:tcPr>
            <w:tcW w:w="240" w:type="dxa"/>
            <w:vAlign w:val="bottom"/>
          </w:tcPr>
          <w:p>
            <w:pPr>
              <w:spacing w:after="0"/>
              <w:rPr>
                <w:sz w:val="20"/>
                <w:szCs w:val="20"/>
                <w:color w:val="auto"/>
              </w:rPr>
            </w:pPr>
          </w:p>
        </w:tc>
        <w:tc>
          <w:tcPr>
            <w:tcW w:w="3660" w:type="dxa"/>
            <w:vAlign w:val="bottom"/>
          </w:tcPr>
          <w:p>
            <w:pPr>
              <w:spacing w:after="0"/>
              <w:rPr>
                <w:sz w:val="20"/>
                <w:szCs w:val="20"/>
                <w:color w:val="auto"/>
              </w:rPr>
            </w:pPr>
            <w:r>
              <w:rPr>
                <w:rFonts w:ascii="Times New Roman" w:cs="Times New Roman" w:eastAsia="Times New Roman" w:hAnsi="Times New Roman"/>
                <w:sz w:val="18"/>
                <w:szCs w:val="18"/>
                <w:color w:val="auto"/>
              </w:rPr>
              <w:t>Andrew W. Mathias</w:t>
            </w: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48,966,502</w:t>
            </w:r>
          </w:p>
        </w:tc>
        <w:tc>
          <w:tcPr>
            <w:tcW w:w="3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4,947,700</w:t>
            </w:r>
          </w:p>
        </w:tc>
        <w:tc>
          <w:tcPr>
            <w:tcW w:w="32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49,621</w:t>
            </w:r>
          </w:p>
        </w:tc>
        <w:tc>
          <w:tcPr>
            <w:tcW w:w="320" w:type="dxa"/>
            <w:vAlign w:val="bottom"/>
          </w:tcPr>
          <w:p>
            <w:pPr>
              <w:spacing w:after="0"/>
              <w:rPr>
                <w:sz w:val="20"/>
                <w:szCs w:val="20"/>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6,688,816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14"/>
        </w:trPr>
        <w:tc>
          <w:tcPr>
            <w:tcW w:w="24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229"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The proposal to approve, on an advisory basis, the Company’s executive compensation was approved, with approximately 70.3% of the votes cast voting in favor.</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238"/>
        </w:trPr>
        <w:tc>
          <w:tcPr>
            <w:tcW w:w="2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340" w:type="dxa"/>
            <w:vAlign w:val="bottom"/>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220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7"/>
              </w:rPr>
              <w:t>Votes Abstaining</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 Non-Votes</w:t>
            </w:r>
          </w:p>
        </w:tc>
      </w:tr>
      <w:tr>
        <w:trPr>
          <w:trHeight w:val="216"/>
        </w:trPr>
        <w:tc>
          <w:tcPr>
            <w:tcW w:w="2320" w:type="dxa"/>
            <w:vAlign w:val="bottom"/>
            <w:shd w:val="clear" w:color="auto" w:fill="CCEEFF"/>
          </w:tcPr>
          <w:p>
            <w:pPr>
              <w:jc w:val="right"/>
              <w:ind w:right="670"/>
              <w:spacing w:after="0"/>
              <w:rPr>
                <w:sz w:val="20"/>
                <w:szCs w:val="20"/>
                <w:color w:val="auto"/>
              </w:rPr>
            </w:pPr>
            <w:r>
              <w:rPr>
                <w:rFonts w:ascii="Times New Roman" w:cs="Times New Roman" w:eastAsia="Times New Roman" w:hAnsi="Times New Roman"/>
                <w:sz w:val="18"/>
                <w:szCs w:val="18"/>
                <w:color w:val="auto"/>
              </w:rPr>
              <w:t>37,861,551</w:t>
            </w:r>
          </w:p>
        </w:tc>
        <w:tc>
          <w:tcPr>
            <w:tcW w:w="2340" w:type="dxa"/>
            <w:vAlign w:val="bottom"/>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16,006,662</w:t>
            </w:r>
          </w:p>
        </w:tc>
        <w:tc>
          <w:tcPr>
            <w:tcW w:w="220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95,610</w:t>
            </w:r>
          </w:p>
        </w:tc>
        <w:tc>
          <w:tcPr>
            <w:tcW w:w="212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6,688,816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appointment of Deloitte &amp; Touche LLP as the Company’s independent registered public accounting firm for the fiscal year ending December 31, 2026 was ratified, with approximately 99.9% of the votes cast voting in favor.</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260" w:type="dxa"/>
            <w:vAlign w:val="bottom"/>
          </w:tcPr>
          <w:p>
            <w:pPr>
              <w:spacing w:after="0"/>
              <w:rPr>
                <w:sz w:val="20"/>
                <w:szCs w:val="20"/>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Votes For</w:t>
            </w:r>
          </w:p>
        </w:tc>
        <w:tc>
          <w:tcPr>
            <w:tcW w:w="2260" w:type="dxa"/>
            <w:vAlign w:val="bottom"/>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7"/>
              </w:rPr>
              <w:t>Votes Against</w:t>
            </w:r>
          </w:p>
        </w:tc>
        <w:tc>
          <w:tcPr>
            <w:tcW w:w="2260" w:type="dxa"/>
            <w:vAlign w:val="bottom"/>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8"/>
              </w:rPr>
              <w:t>Votes Abstaining</w:t>
            </w:r>
          </w:p>
        </w:tc>
        <w:tc>
          <w:tcPr>
            <w:tcW w:w="2240" w:type="dxa"/>
            <w:vAlign w:val="bottom"/>
          </w:tcPr>
          <w:p>
            <w:pPr>
              <w:spacing w:after="0"/>
              <w:rPr>
                <w:sz w:val="20"/>
                <w:szCs w:val="20"/>
                <w:color w:val="auto"/>
              </w:rPr>
            </w:pPr>
          </w:p>
        </w:tc>
      </w:tr>
      <w:tr>
        <w:trPr>
          <w:trHeight w:val="216"/>
        </w:trPr>
        <w:tc>
          <w:tcPr>
            <w:tcW w:w="2260" w:type="dxa"/>
            <w:vAlign w:val="bottom"/>
          </w:tcPr>
          <w:p>
            <w:pPr>
              <w:spacing w:after="0"/>
              <w:rPr>
                <w:sz w:val="18"/>
                <w:szCs w:val="18"/>
                <w:color w:val="auto"/>
              </w:rPr>
            </w:pPr>
          </w:p>
        </w:tc>
        <w:tc>
          <w:tcPr>
            <w:tcW w:w="2220" w:type="dxa"/>
            <w:vAlign w:val="bottom"/>
            <w:shd w:val="clear" w:color="auto" w:fill="CCEEFF"/>
          </w:tcPr>
          <w:p>
            <w:pPr>
              <w:jc w:val="right"/>
              <w:ind w:right="610"/>
              <w:spacing w:after="0"/>
              <w:rPr>
                <w:sz w:val="20"/>
                <w:szCs w:val="20"/>
                <w:color w:val="auto"/>
              </w:rPr>
            </w:pPr>
            <w:r>
              <w:rPr>
                <w:rFonts w:ascii="Times New Roman" w:cs="Times New Roman" w:eastAsia="Times New Roman" w:hAnsi="Times New Roman"/>
                <w:sz w:val="18"/>
                <w:szCs w:val="18"/>
                <w:color w:val="auto"/>
              </w:rPr>
              <w:t>60,501,450</w:t>
            </w:r>
          </w:p>
        </w:tc>
        <w:tc>
          <w:tcPr>
            <w:tcW w:w="2260" w:type="dxa"/>
            <w:vAlign w:val="bottom"/>
            <w:shd w:val="clear" w:color="auto" w:fill="CCEEFF"/>
          </w:tcPr>
          <w:p>
            <w:pPr>
              <w:jc w:val="right"/>
              <w:ind w:right="710"/>
              <w:spacing w:after="0"/>
              <w:rPr>
                <w:sz w:val="20"/>
                <w:szCs w:val="20"/>
                <w:color w:val="auto"/>
              </w:rPr>
            </w:pPr>
            <w:r>
              <w:rPr>
                <w:rFonts w:ascii="Times New Roman" w:cs="Times New Roman" w:eastAsia="Times New Roman" w:hAnsi="Times New Roman"/>
                <w:sz w:val="18"/>
                <w:szCs w:val="18"/>
                <w:color w:val="auto"/>
              </w:rPr>
              <w:t>84,569</w:t>
            </w:r>
          </w:p>
        </w:tc>
        <w:tc>
          <w:tcPr>
            <w:tcW w:w="2260" w:type="dxa"/>
            <w:vAlign w:val="bottom"/>
            <w:shd w:val="clear" w:color="auto" w:fill="CCEEFF"/>
          </w:tcPr>
          <w:p>
            <w:pPr>
              <w:jc w:val="right"/>
              <w:ind w:right="730"/>
              <w:spacing w:after="0"/>
              <w:rPr>
                <w:sz w:val="20"/>
                <w:szCs w:val="20"/>
                <w:color w:val="auto"/>
              </w:rPr>
            </w:pPr>
            <w:r>
              <w:rPr>
                <w:rFonts w:ascii="Times New Roman" w:cs="Times New Roman" w:eastAsia="Times New Roman" w:hAnsi="Times New Roman"/>
                <w:sz w:val="18"/>
                <w:szCs w:val="18"/>
                <w:color w:val="auto"/>
              </w:rPr>
              <w:t>66,620</w:t>
            </w:r>
          </w:p>
        </w:tc>
        <w:tc>
          <w:tcPr>
            <w:tcW w:w="2240" w:type="dxa"/>
            <w:vAlign w:val="bottom"/>
          </w:tcPr>
          <w:p>
            <w:pPr>
              <w:spacing w:after="0"/>
              <w:rPr>
                <w:sz w:val="18"/>
                <w:szCs w:val="18"/>
                <w:color w:val="auto"/>
              </w:rPr>
            </w:pPr>
          </w:p>
        </w:tc>
      </w:tr>
      <w:tr>
        <w:trPr>
          <w:trHeight w:val="432"/>
        </w:trPr>
        <w:tc>
          <w:tcPr>
            <w:tcW w:w="226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33"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June 2, 2026</w:t>
      </w:r>
    </w:p>
    <w:p>
      <w:pPr>
        <w:spacing w:after="0" w:line="22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SL GREEN REALTY CORP.</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Andrew S. Levine</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Andrew S. Levine</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Legal Officer and General Counsel</w:t>
            </w:r>
          </w:p>
        </w:tc>
      </w:tr>
      <w:tr>
        <w:trPr>
          <w:trHeight w:val="432"/>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2026-06-02T15:23:16Z</dcterms:created>
  <dcterms:modified xsi:type="dcterms:W3CDTF">2026-06-02T15:23:16Z</dcterms:modified>
</cp:coreProperties>
</file>