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704850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ind w:left="3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10-K/A</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114"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AMENDMENT TO ANNUAL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5" w:lineRule="exact"/>
        <w:rPr>
          <w:sz w:val="24"/>
          <w:szCs w:val="24"/>
          <w:color w:val="auto"/>
        </w:rPr>
      </w:pPr>
    </w:p>
    <w:tbl>
      <w:tblPr>
        <w:tblLayout w:type="fixed"/>
        <w:tblInd w:w="152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302"/>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w w:val="99"/>
              </w:rPr>
              <w:t>Commission File Number: 1-13199 (SL Green Realty Corp.)</w:t>
            </w:r>
          </w:p>
        </w:tc>
      </w:tr>
      <w:tr>
        <w:trPr>
          <w:trHeight w:val="302"/>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w w:val="99"/>
              </w:rPr>
              <w:t>Commission File Number: 33-167793-02 (SL Green Operating Partnership, L.P.)</w:t>
            </w:r>
          </w:p>
        </w:tc>
      </w:tr>
      <w:tr>
        <w:trPr>
          <w:trHeight w:val="315"/>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w w:val="99"/>
              </w:rPr>
              <w:t>______________________________________________________________________</w:t>
            </w:r>
          </w:p>
        </w:tc>
      </w:tr>
      <w:tr>
        <w:trPr>
          <w:trHeight w:val="449"/>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31"/>
                <w:szCs w:val="31"/>
                <w:b w:val="1"/>
                <w:bCs w:val="1"/>
                <w:color w:val="auto"/>
                <w:w w:val="99"/>
              </w:rPr>
              <w:t>SL GREEN REALTY CORP.</w:t>
            </w:r>
          </w:p>
        </w:tc>
      </w:tr>
      <w:tr>
        <w:trPr>
          <w:trHeight w:val="392"/>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31"/>
                <w:szCs w:val="31"/>
                <w:b w:val="1"/>
                <w:bCs w:val="1"/>
                <w:color w:val="auto"/>
                <w:w w:val="99"/>
              </w:rPr>
              <w:t>SL GREEN OPERATING PARTNERSHIP, L.P.</w:t>
            </w:r>
          </w:p>
        </w:tc>
      </w:tr>
      <w:tr>
        <w:trPr>
          <w:trHeight w:val="170"/>
        </w:trPr>
        <w:tc>
          <w:tcPr>
            <w:tcW w:w="2580" w:type="dxa"/>
            <w:vAlign w:val="bottom"/>
          </w:tcPr>
          <w:p>
            <w:pPr>
              <w:spacing w:after="0"/>
              <w:rPr>
                <w:sz w:val="14"/>
                <w:szCs w:val="14"/>
                <w:color w:val="auto"/>
              </w:rPr>
            </w:pPr>
          </w:p>
        </w:tc>
        <w:tc>
          <w:tcPr>
            <w:tcW w:w="4800" w:type="dxa"/>
            <w:vAlign w:val="bottom"/>
            <w:gridSpan w:val="2"/>
          </w:tcPr>
          <w:p>
            <w:pPr>
              <w:jc w:val="center"/>
              <w:ind w:right="1690"/>
              <w:spacing w:after="0"/>
              <w:rPr>
                <w:sz w:val="20"/>
                <w:szCs w:val="20"/>
                <w:color w:val="auto"/>
              </w:rPr>
            </w:pPr>
            <w:r>
              <w:rPr>
                <w:rFonts w:ascii="Times New Roman" w:cs="Times New Roman" w:eastAsia="Times New Roman" w:hAnsi="Times New Roman"/>
                <w:sz w:val="14"/>
                <w:szCs w:val="14"/>
                <w:color w:val="auto"/>
                <w:w w:val="99"/>
              </w:rPr>
              <w:t>(Exact name of registrant as specified in its charter)</w:t>
            </w:r>
          </w:p>
        </w:tc>
      </w:tr>
      <w:tr>
        <w:trPr>
          <w:trHeight w:val="183"/>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w w:val="99"/>
              </w:rPr>
              <w:t>______________________________________________________________________</w:t>
            </w:r>
          </w:p>
        </w:tc>
      </w:tr>
      <w:tr>
        <w:trPr>
          <w:trHeight w:val="334"/>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SL Green Realty Corp.</w:t>
            </w:r>
          </w:p>
        </w:tc>
        <w:tc>
          <w:tcPr>
            <w:tcW w:w="2320" w:type="dxa"/>
            <w:vAlign w:val="bottom"/>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480" w:type="dxa"/>
            <w:vAlign w:val="bottom"/>
          </w:tcPr>
          <w:p>
            <w:pPr>
              <w:jc w:val="center"/>
              <w:ind w:left="1490"/>
              <w:spacing w:after="0"/>
              <w:rPr>
                <w:sz w:val="20"/>
                <w:szCs w:val="20"/>
                <w:color w:val="auto"/>
              </w:rPr>
            </w:pPr>
            <w:r>
              <w:rPr>
                <w:rFonts w:ascii="Times New Roman" w:cs="Times New Roman" w:eastAsia="Times New Roman" w:hAnsi="Times New Roman"/>
                <w:sz w:val="16"/>
                <w:szCs w:val="16"/>
                <w:b w:val="1"/>
                <w:bCs w:val="1"/>
                <w:color w:val="auto"/>
                <w:w w:val="98"/>
              </w:rPr>
              <w:t>13-3956775</w:t>
            </w: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SL Green Operating Partnership, L.P.</w:t>
            </w:r>
          </w:p>
        </w:tc>
        <w:tc>
          <w:tcPr>
            <w:tcW w:w="2320" w:type="dxa"/>
            <w:vAlign w:val="bottom"/>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80" w:type="dxa"/>
            <w:vAlign w:val="bottom"/>
          </w:tcPr>
          <w:p>
            <w:pPr>
              <w:jc w:val="center"/>
              <w:ind w:left="1490"/>
              <w:spacing w:after="0"/>
              <w:rPr>
                <w:sz w:val="20"/>
                <w:szCs w:val="20"/>
                <w:color w:val="auto"/>
              </w:rPr>
            </w:pPr>
            <w:r>
              <w:rPr>
                <w:rFonts w:ascii="Times New Roman" w:cs="Times New Roman" w:eastAsia="Times New Roman" w:hAnsi="Times New Roman"/>
                <w:sz w:val="16"/>
                <w:szCs w:val="16"/>
                <w:b w:val="1"/>
                <w:bCs w:val="1"/>
                <w:color w:val="auto"/>
                <w:w w:val="98"/>
              </w:rPr>
              <w:t>13-3960938</w:t>
            </w:r>
          </w:p>
        </w:tc>
      </w:tr>
      <w:tr>
        <w:trPr>
          <w:trHeight w:val="136"/>
        </w:trPr>
        <w:tc>
          <w:tcPr>
            <w:tcW w:w="2580" w:type="dxa"/>
            <w:vAlign w:val="bottom"/>
          </w:tcPr>
          <w:p>
            <w:pPr>
              <w:spacing w:after="0"/>
              <w:rPr>
                <w:sz w:val="11"/>
                <w:szCs w:val="11"/>
                <w:color w:val="auto"/>
              </w:rPr>
            </w:pPr>
          </w:p>
        </w:tc>
        <w:tc>
          <w:tcPr>
            <w:tcW w:w="2320" w:type="dxa"/>
            <w:vAlign w:val="bottom"/>
          </w:tcPr>
          <w:p>
            <w:pPr>
              <w:jc w:val="center"/>
              <w:ind w:left="630"/>
              <w:spacing w:after="0" w:line="136"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2480" w:type="dxa"/>
            <w:vAlign w:val="bottom"/>
          </w:tcPr>
          <w:p>
            <w:pPr>
              <w:jc w:val="center"/>
              <w:ind w:left="1490"/>
              <w:spacing w:after="0" w:line="136" w:lineRule="exact"/>
              <w:rPr>
                <w:sz w:val="20"/>
                <w:szCs w:val="20"/>
                <w:color w:val="auto"/>
              </w:rPr>
            </w:pPr>
            <w:r>
              <w:rPr>
                <w:rFonts w:ascii="Times New Roman" w:cs="Times New Roman" w:eastAsia="Times New Roman" w:hAnsi="Times New Roman"/>
                <w:sz w:val="12"/>
                <w:szCs w:val="12"/>
                <w:color w:val="auto"/>
              </w:rPr>
              <w:t>(I.R.S. Employer</w:t>
            </w:r>
          </w:p>
        </w:tc>
      </w:tr>
      <w:tr>
        <w:trPr>
          <w:trHeight w:val="159"/>
        </w:trPr>
        <w:tc>
          <w:tcPr>
            <w:tcW w:w="2580" w:type="dxa"/>
            <w:vAlign w:val="bottom"/>
          </w:tcPr>
          <w:p>
            <w:pPr>
              <w:spacing w:after="0"/>
              <w:rPr>
                <w:sz w:val="13"/>
                <w:szCs w:val="13"/>
                <w:color w:val="auto"/>
              </w:rPr>
            </w:pPr>
          </w:p>
        </w:tc>
        <w:tc>
          <w:tcPr>
            <w:tcW w:w="2320" w:type="dxa"/>
            <w:vAlign w:val="bottom"/>
          </w:tcPr>
          <w:p>
            <w:pPr>
              <w:jc w:val="center"/>
              <w:ind w:left="650"/>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2480" w:type="dxa"/>
            <w:vAlign w:val="bottom"/>
          </w:tcPr>
          <w:p>
            <w:pPr>
              <w:jc w:val="center"/>
              <w:ind w:left="149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400"/>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17"/>
                <w:szCs w:val="17"/>
                <w:b w:val="1"/>
                <w:bCs w:val="1"/>
                <w:color w:val="auto"/>
              </w:rPr>
              <w:t>One Vanderbilt Avenue, New York, NY 10017</w:t>
            </w:r>
          </w:p>
        </w:tc>
      </w:tr>
      <w:tr>
        <w:trPr>
          <w:trHeight w:val="159"/>
        </w:trPr>
        <w:tc>
          <w:tcPr>
            <w:tcW w:w="2580" w:type="dxa"/>
            <w:vAlign w:val="bottom"/>
          </w:tcPr>
          <w:p>
            <w:pPr>
              <w:spacing w:after="0"/>
              <w:rPr>
                <w:sz w:val="13"/>
                <w:szCs w:val="13"/>
                <w:color w:val="auto"/>
              </w:rPr>
            </w:pPr>
          </w:p>
        </w:tc>
        <w:tc>
          <w:tcPr>
            <w:tcW w:w="4800" w:type="dxa"/>
            <w:vAlign w:val="bottom"/>
            <w:gridSpan w:val="2"/>
          </w:tcPr>
          <w:p>
            <w:pPr>
              <w:jc w:val="center"/>
              <w:ind w:right="169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r>
      <w:tr>
        <w:trPr>
          <w:trHeight w:val="431"/>
        </w:trPr>
        <w:tc>
          <w:tcPr>
            <w:tcW w:w="2580" w:type="dxa"/>
            <w:vAlign w:val="bottom"/>
          </w:tcPr>
          <w:p>
            <w:pPr>
              <w:spacing w:after="0"/>
              <w:rPr>
                <w:sz w:val="24"/>
                <w:szCs w:val="24"/>
                <w:color w:val="auto"/>
              </w:rPr>
            </w:pPr>
          </w:p>
        </w:tc>
        <w:tc>
          <w:tcPr>
            <w:tcW w:w="2320" w:type="dxa"/>
            <w:vAlign w:val="bottom"/>
          </w:tcPr>
          <w:p>
            <w:pPr>
              <w:jc w:val="center"/>
              <w:ind w:left="670"/>
              <w:spacing w:after="0"/>
              <w:rPr>
                <w:sz w:val="20"/>
                <w:szCs w:val="20"/>
                <w:color w:val="auto"/>
              </w:rPr>
            </w:pPr>
            <w:r>
              <w:rPr>
                <w:rFonts w:ascii="Times New Roman" w:cs="Times New Roman" w:eastAsia="Times New Roman" w:hAnsi="Times New Roman"/>
                <w:sz w:val="17"/>
                <w:szCs w:val="17"/>
                <w:b w:val="1"/>
                <w:bCs w:val="1"/>
                <w:color w:val="auto"/>
              </w:rPr>
              <w:t>(212) 594-2700</w:t>
            </w:r>
          </w:p>
        </w:tc>
        <w:tc>
          <w:tcPr>
            <w:tcW w:w="2480" w:type="dxa"/>
            <w:vAlign w:val="bottom"/>
          </w:tcPr>
          <w:p>
            <w:pPr>
              <w:spacing w:after="0"/>
              <w:rPr>
                <w:sz w:val="24"/>
                <w:szCs w:val="24"/>
                <w:color w:val="auto"/>
              </w:rPr>
            </w:pPr>
          </w:p>
        </w:tc>
      </w:tr>
      <w:tr>
        <w:trPr>
          <w:trHeight w:val="153"/>
        </w:trPr>
        <w:tc>
          <w:tcPr>
            <w:tcW w:w="2580" w:type="dxa"/>
            <w:vAlign w:val="bottom"/>
          </w:tcPr>
          <w:p>
            <w:pPr>
              <w:spacing w:after="0"/>
              <w:rPr>
                <w:sz w:val="13"/>
                <w:szCs w:val="13"/>
                <w:color w:val="auto"/>
              </w:rPr>
            </w:pPr>
          </w:p>
        </w:tc>
        <w:tc>
          <w:tcPr>
            <w:tcW w:w="4800" w:type="dxa"/>
            <w:vAlign w:val="bottom"/>
            <w:gridSpan w:val="2"/>
          </w:tcPr>
          <w:p>
            <w:pPr>
              <w:jc w:val="center"/>
              <w:ind w:right="167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r>
      <w:tr>
        <w:trPr>
          <w:trHeight w:val="183"/>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w w:val="99"/>
              </w:rPr>
              <w:t>______________________________________________________________________</w:t>
            </w:r>
          </w:p>
        </w:tc>
      </w:tr>
    </w:tbl>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56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9"/>
              </w:rPr>
              <w:t>SECURITIES REGISTERED PURSUANT TO SECTION 12(B) OF THE ACT:</w:t>
            </w: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302"/>
        </w:trPr>
        <w:tc>
          <w:tcPr>
            <w:tcW w:w="60" w:type="dxa"/>
            <w:vAlign w:val="bottom"/>
          </w:tcPr>
          <w:p>
            <w:pPr>
              <w:spacing w:after="0"/>
              <w:rPr>
                <w:sz w:val="24"/>
                <w:szCs w:val="24"/>
                <w:color w:val="auto"/>
              </w:rPr>
            </w:pPr>
          </w:p>
        </w:tc>
        <w:tc>
          <w:tcPr>
            <w:tcW w:w="27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7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11"/>
        </w:trPr>
        <w:tc>
          <w:tcPr>
            <w:tcW w:w="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SL Green Realty Corp.</w:t>
            </w:r>
          </w:p>
        </w:tc>
        <w:tc>
          <w:tcPr>
            <w:tcW w:w="1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SLG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tcPr>
          <w:p>
            <w:pPr>
              <w:jc w:val="center"/>
              <w:ind w:right="77"/>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1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176"/>
        </w:trPr>
        <w:tc>
          <w:tcPr>
            <w:tcW w:w="60" w:type="dxa"/>
            <w:vAlign w:val="bottom"/>
          </w:tcPr>
          <w:p>
            <w:pPr>
              <w:spacing w:after="0"/>
              <w:rPr>
                <w:sz w:val="15"/>
                <w:szCs w:val="15"/>
                <w:color w:val="auto"/>
              </w:rPr>
            </w:pPr>
          </w:p>
        </w:tc>
        <w:tc>
          <w:tcPr>
            <w:tcW w:w="27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SL Green Realty Corp.</w:t>
            </w:r>
          </w:p>
        </w:tc>
        <w:tc>
          <w:tcPr>
            <w:tcW w:w="174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SLG.PRI</w:t>
            </w:r>
          </w:p>
        </w:tc>
        <w:tc>
          <w:tcPr>
            <w:tcW w:w="38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color w:val="auto"/>
              </w:rPr>
              <w:t>6.500% Series I Cumulative Redeemable Preferred</w:t>
            </w:r>
          </w:p>
        </w:tc>
        <w:tc>
          <w:tcPr>
            <w:tcW w:w="27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New York Stock Exchange</w:t>
            </w:r>
          </w:p>
        </w:tc>
      </w:tr>
      <w:tr>
        <w:trPr>
          <w:trHeight w:val="228"/>
        </w:trPr>
        <w:tc>
          <w:tcPr>
            <w:tcW w:w="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Stock, $0.01 par value</w:t>
            </w:r>
          </w:p>
        </w:tc>
        <w:tc>
          <w:tcPr>
            <w:tcW w:w="2780" w:type="dxa"/>
            <w:vAlign w:val="bottom"/>
          </w:tcPr>
          <w:p>
            <w:pPr>
              <w:spacing w:after="0"/>
              <w:rPr>
                <w:sz w:val="19"/>
                <w:szCs w:val="19"/>
                <w:color w:val="auto"/>
              </w:rPr>
            </w:pPr>
          </w:p>
        </w:tc>
      </w:tr>
    </w:tbl>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8" w:lineRule="exact"/>
        <w:rPr>
          <w:sz w:val="24"/>
          <w:szCs w:val="24"/>
          <w:color w:val="auto"/>
        </w:rPr>
      </w:pPr>
    </w:p>
    <w:p>
      <w:pPr>
        <w:spacing w:after="0"/>
        <w:tabs>
          <w:tab w:leader="none" w:pos="1400" w:val="left"/>
          <w:tab w:leader="none" w:pos="1940" w:val="left"/>
          <w:tab w:leader="none" w:pos="2880" w:val="left"/>
          <w:tab w:leader="none" w:pos="5120" w:val="left"/>
          <w:tab w:leader="none" w:pos="562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x</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28" w:lineRule="exact"/>
        <w:rPr>
          <w:sz w:val="24"/>
          <w:szCs w:val="24"/>
          <w:color w:val="auto"/>
        </w:rPr>
      </w:pPr>
    </w:p>
    <w:p>
      <w:pPr>
        <w:spacing w:after="0"/>
        <w:tabs>
          <w:tab w:leader="none" w:pos="1400" w:val="left"/>
          <w:tab w:leader="none" w:pos="1920" w:val="left"/>
          <w:tab w:leader="none" w:pos="2880" w:val="left"/>
          <w:tab w:leader="none" w:pos="5120" w:val="left"/>
          <w:tab w:leader="none" w:pos="562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x</w:t>
      </w:r>
    </w:p>
    <w:p>
      <w:pPr>
        <w:spacing w:after="0" w:line="11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4"/>
          <w:szCs w:val="24"/>
          <w:color w:val="auto"/>
        </w:rPr>
      </w:pPr>
    </w:p>
    <w:p>
      <w:pPr>
        <w:spacing w:after="0"/>
        <w:tabs>
          <w:tab w:leader="none" w:pos="1400" w:val="left"/>
          <w:tab w:leader="none" w:pos="1940" w:val="left"/>
          <w:tab w:leader="none" w:pos="2880" w:val="left"/>
          <w:tab w:leader="none" w:pos="5120" w:val="left"/>
          <w:tab w:leader="none" w:pos="564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o</w:t>
      </w:r>
    </w:p>
    <w:p>
      <w:pPr>
        <w:spacing w:after="0" w:line="114"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5" w:lineRule="exact"/>
        <w:rPr>
          <w:sz w:val="24"/>
          <w:szCs w:val="24"/>
          <w:color w:val="auto"/>
        </w:rPr>
      </w:pPr>
    </w:p>
    <w:p>
      <w:pPr>
        <w:spacing w:after="0"/>
        <w:tabs>
          <w:tab w:leader="none" w:pos="1440" w:val="left"/>
          <w:tab w:leader="none" w:pos="1960" w:val="left"/>
          <w:tab w:leader="none" w:pos="2920" w:val="left"/>
          <w:tab w:leader="none" w:pos="5140" w:val="left"/>
          <w:tab w:leader="none" w:pos="568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o</w:t>
      </w:r>
    </w:p>
    <w:p>
      <w:pPr>
        <w:spacing w:after="0" w:line="101"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SL Green Realty Corp.</w:t>
            </w:r>
          </w:p>
        </w:tc>
        <w:tc>
          <w:tcPr>
            <w:tcW w:w="28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1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2880" w:type="dxa"/>
            <w:vAlign w:val="bottom"/>
          </w:tcPr>
          <w:p>
            <w:pPr>
              <w:ind w:left="1100"/>
              <w:spacing w:after="0"/>
              <w:rPr>
                <w:sz w:val="20"/>
                <w:szCs w:val="20"/>
                <w:color w:val="auto"/>
              </w:rPr>
            </w:pPr>
            <w:r>
              <w:rPr>
                <w:rFonts w:ascii="Wingdings" w:cs="Wingdings" w:eastAsia="Wingdings" w:hAnsi="Wingdings"/>
                <w:sz w:val="14"/>
                <w:szCs w:val="14"/>
                <w:b w:val="1"/>
                <w:bCs w:val="1"/>
                <w:color w:val="auto"/>
              </w:rPr>
              <w:t>x</w:t>
            </w:r>
          </w:p>
        </w:tc>
        <w:tc>
          <w:tcPr>
            <w:tcW w:w="42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1200" w:type="dxa"/>
            <w:vAlign w:val="bottom"/>
          </w:tcPr>
          <w:p>
            <w:pPr>
              <w:ind w:left="1080"/>
              <w:spacing w:after="0"/>
              <w:rPr>
                <w:sz w:val="20"/>
                <w:szCs w:val="20"/>
                <w:color w:val="auto"/>
              </w:rPr>
            </w:pPr>
            <w:r>
              <w:rPr>
                <w:rFonts w:ascii="Wingdings" w:cs="Wingdings" w:eastAsia="Wingdings" w:hAnsi="Wingdings"/>
                <w:sz w:val="14"/>
                <w:szCs w:val="14"/>
                <w:b w:val="1"/>
                <w:bCs w:val="1"/>
                <w:color w:val="auto"/>
                <w:w w:val="79"/>
              </w:rPr>
              <w:t>o</w:t>
            </w: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2880" w:type="dxa"/>
            <w:vAlign w:val="bottom"/>
          </w:tcPr>
          <w:p>
            <w:pPr>
              <w:ind w:left="1100"/>
              <w:spacing w:after="0"/>
              <w:rPr>
                <w:sz w:val="20"/>
                <w:szCs w:val="20"/>
                <w:color w:val="auto"/>
              </w:rPr>
            </w:pPr>
            <w:r>
              <w:rPr>
                <w:rFonts w:ascii="Wingdings" w:cs="Wingdings" w:eastAsia="Wingdings" w:hAnsi="Wingdings"/>
                <w:sz w:val="14"/>
                <w:szCs w:val="14"/>
                <w:b w:val="1"/>
                <w:bCs w:val="1"/>
                <w:color w:val="auto"/>
              </w:rPr>
              <w:t>o</w:t>
            </w:r>
          </w:p>
        </w:tc>
        <w:tc>
          <w:tcPr>
            <w:tcW w:w="4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8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9" w:lineRule="exact"/>
        <w:rPr>
          <w:sz w:val="24"/>
          <w:szCs w:val="24"/>
          <w:color w:val="auto"/>
        </w:rPr>
      </w:pPr>
    </w:p>
    <w:p>
      <w:pPr>
        <w:sectPr>
          <w:pgSz w:w="11900" w:h="16838" w:orient="portrait"/>
          <w:cols w:equalWidth="0" w:num="1">
            <w:col w:w="11240"/>
          </w:cols>
          <w:pgMar w:left="320" w:top="1229" w:right="339" w:bottom="1110" w:gutter="0" w:footer="0" w:header="0"/>
        </w:sectPr>
      </w:pPr>
    </w:p>
    <w:p>
      <w:pPr>
        <w:ind w:left="20"/>
        <w:spacing w:after="0" w:line="233"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8" w:lineRule="exact"/>
        <w:rPr>
          <w:sz w:val="24"/>
          <w:szCs w:val="24"/>
          <w:color w:val="auto"/>
        </w:rPr>
      </w:pPr>
    </w:p>
    <w:p>
      <w:pPr>
        <w:ind w:left="20" w:right="420"/>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40"/>
        <w:spacing w:after="0"/>
        <w:rPr>
          <w:sz w:val="20"/>
          <w:szCs w:val="20"/>
          <w:color w:val="auto"/>
        </w:rPr>
      </w:pPr>
      <w:r>
        <w:rPr>
          <w:rFonts w:ascii="Wingdings" w:cs="Wingdings" w:eastAsia="Wingdings" w:hAnsi="Wingdings"/>
          <w:sz w:val="13"/>
          <w:szCs w:val="13"/>
          <w:b w:val="1"/>
          <w:bCs w:val="1"/>
          <w:color w:val="auto"/>
        </w:rPr>
        <w:t>o</w:t>
      </w:r>
    </w:p>
    <w:p>
      <w:pPr>
        <w:spacing w:after="0" w:line="279"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57" w:lineRule="exact"/>
        <w:rPr>
          <w:sz w:val="24"/>
          <w:szCs w:val="24"/>
          <w:color w:val="auto"/>
        </w:rPr>
      </w:pPr>
    </w:p>
    <w:p>
      <w:pPr>
        <w:sectPr>
          <w:pgSz w:w="11900" w:h="16838" w:orient="portrait"/>
          <w:cols w:equalWidth="0" w:num="2">
            <w:col w:w="10840" w:space="40"/>
            <w:col w:w="360"/>
          </w:cols>
          <w:pgMar w:left="320" w:top="1229" w:right="339" w:bottom="111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SL Green Operating Partnership, L.P.</w:t>
      </w:r>
    </w:p>
    <w:p>
      <w:pPr>
        <w:sectPr>
          <w:pgSz w:w="11900" w:h="16838" w:orient="portrait"/>
          <w:cols w:equalWidth="0" w:num="1">
            <w:col w:w="11240"/>
          </w:cols>
          <w:pgMar w:left="320" w:top="1229" w:right="339" w:bottom="111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8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60" w:type="dxa"/>
            <w:vAlign w:val="bottom"/>
          </w:tcPr>
          <w:p>
            <w:pPr>
              <w:ind w:left="1100"/>
              <w:spacing w:after="0"/>
              <w:rPr>
                <w:sz w:val="20"/>
                <w:szCs w:val="20"/>
                <w:color w:val="auto"/>
              </w:rPr>
            </w:pPr>
            <w:r>
              <w:rPr>
                <w:rFonts w:ascii="Wingdings" w:cs="Wingdings" w:eastAsia="Wingdings" w:hAnsi="Wingdings"/>
                <w:sz w:val="14"/>
                <w:szCs w:val="14"/>
                <w:b w:val="1"/>
                <w:bCs w:val="1"/>
                <w:color w:val="auto"/>
              </w:rPr>
              <w:t>o</w:t>
            </w:r>
          </w:p>
        </w:tc>
        <w:tc>
          <w:tcPr>
            <w:tcW w:w="43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1220" w:type="dxa"/>
            <w:vAlign w:val="bottom"/>
          </w:tcPr>
          <w:p>
            <w:pPr>
              <w:ind w:left="1100"/>
              <w:spacing w:after="0"/>
              <w:rPr>
                <w:sz w:val="20"/>
                <w:szCs w:val="20"/>
                <w:color w:val="auto"/>
              </w:rPr>
            </w:pPr>
            <w:r>
              <w:rPr>
                <w:rFonts w:ascii="Wingdings" w:cs="Wingdings" w:eastAsia="Wingdings" w:hAnsi="Wingdings"/>
                <w:sz w:val="14"/>
                <w:szCs w:val="14"/>
                <w:b w:val="1"/>
                <w:bCs w:val="1"/>
                <w:color w:val="auto"/>
                <w:w w:val="79"/>
              </w:rPr>
              <w:t>o</w:t>
            </w:r>
          </w:p>
        </w:tc>
      </w:tr>
      <w:tr>
        <w:trPr>
          <w:trHeight w:val="19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60" w:type="dxa"/>
            <w:vAlign w:val="bottom"/>
          </w:tcPr>
          <w:p>
            <w:pPr>
              <w:ind w:left="1080"/>
              <w:spacing w:after="0"/>
              <w:rPr>
                <w:sz w:val="20"/>
                <w:szCs w:val="20"/>
                <w:color w:val="auto"/>
              </w:rPr>
            </w:pPr>
            <w:r>
              <w:rPr>
                <w:rFonts w:ascii="Wingdings" w:cs="Wingdings" w:eastAsia="Wingdings" w:hAnsi="Wingdings"/>
                <w:sz w:val="14"/>
                <w:szCs w:val="14"/>
                <w:b w:val="1"/>
                <w:bCs w:val="1"/>
                <w:color w:val="auto"/>
              </w:rPr>
              <w:t>x</w:t>
            </w:r>
          </w:p>
        </w:tc>
        <w:tc>
          <w:tcPr>
            <w:tcW w:w="4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6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9" w:lineRule="exact"/>
        <w:rPr>
          <w:sz w:val="20"/>
          <w:szCs w:val="20"/>
          <w:color w:val="auto"/>
        </w:rPr>
      </w:pPr>
    </w:p>
    <w:p>
      <w:pPr>
        <w:sectPr>
          <w:pgSz w:w="11900" w:h="16838" w:orient="portrait"/>
          <w:cols w:equalWidth="0" w:num="1">
            <w:col w:w="11220"/>
          </w:cols>
          <w:pgMar w:left="320" w:top="156" w:right="359" w:bottom="1440" w:gutter="0" w:footer="0" w:header="0"/>
        </w:sectPr>
      </w:pPr>
    </w:p>
    <w:p>
      <w:pPr>
        <w:ind w:left="40"/>
        <w:spacing w:after="0" w:line="24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 w:lineRule="exact"/>
        <w:rPr>
          <w:sz w:val="20"/>
          <w:szCs w:val="20"/>
          <w:color w:val="auto"/>
        </w:rPr>
      </w:pPr>
    </w:p>
    <w:p>
      <w:pPr>
        <w:ind w:left="40" w:right="440"/>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ind w:right="100"/>
        <w:spacing w:after="0"/>
        <w:rPr>
          <w:sz w:val="20"/>
          <w:szCs w:val="20"/>
          <w:color w:val="auto"/>
        </w:rPr>
      </w:pPr>
      <w:r>
        <w:rPr>
          <w:rFonts w:ascii="Wingdings" w:cs="Wingdings" w:eastAsia="Wingdings" w:hAnsi="Wingdings"/>
          <w:sz w:val="14"/>
          <w:szCs w:val="14"/>
          <w:b w:val="1"/>
          <w:bCs w:val="1"/>
          <w:color w:val="auto"/>
        </w:rPr>
        <w:t>o</w:t>
      </w:r>
    </w:p>
    <w:p>
      <w:pPr>
        <w:spacing w:after="0" w:line="269" w:lineRule="exact"/>
        <w:rPr>
          <w:sz w:val="20"/>
          <w:szCs w:val="20"/>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13" w:lineRule="exact"/>
        <w:rPr>
          <w:sz w:val="20"/>
          <w:szCs w:val="20"/>
          <w:color w:val="auto"/>
        </w:rPr>
      </w:pPr>
    </w:p>
    <w:p>
      <w:pPr>
        <w:sectPr>
          <w:pgSz w:w="11900" w:h="16838" w:orient="portrait"/>
          <w:cols w:equalWidth="0" w:num="2">
            <w:col w:w="10860" w:space="40"/>
            <w:col w:w="320"/>
          </w:cols>
          <w:pgMar w:left="320" w:top="156"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10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w:t>
            </w:r>
          </w:p>
        </w:tc>
        <w:tc>
          <w:tcPr>
            <w:tcW w:w="220" w:type="dxa"/>
            <w:vAlign w:val="bottom"/>
          </w:tcPr>
          <w:p>
            <w:pPr>
              <w:ind w:left="10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133"/>
        </w:trPr>
        <w:tc>
          <w:tcPr>
            <w:tcW w:w="10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previously issued financial statements.</w:t>
            </w:r>
          </w:p>
        </w:tc>
        <w:tc>
          <w:tcPr>
            <w:tcW w:w="8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w:t>
            </w:r>
          </w:p>
        </w:tc>
        <w:tc>
          <w:tcPr>
            <w:tcW w:w="220" w:type="dxa"/>
            <w:vAlign w:val="bottom"/>
          </w:tcPr>
          <w:p>
            <w:pPr>
              <w:ind w:left="10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183"/>
        </w:trPr>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officers during the relevant recovery period pursuant to §240.10D-1(b).</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10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6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SL Green Realty Corp.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tc>
        <w:tc>
          <w:tcPr>
            <w:tcW w:w="8300" w:type="dxa"/>
            <w:vAlign w:val="bottom"/>
          </w:tcPr>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SL Green Operating Partnership,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SL Green Realty Corp. (58,315,632 shares) was $3.3 billion based on the quoted closing price on the New York Stock Exchange for such shares on June 30, 2024.</w:t>
      </w:r>
    </w:p>
    <w:p>
      <w:pPr>
        <w:spacing w:after="0" w:line="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4"/>
          <w:szCs w:val="14"/>
          <w:color w:val="auto"/>
        </w:rPr>
        <w:t>As of April 16, 2025, 71,016,826 shares of SL Green Realty Corp.'s common stock, par value $0.01 per share, were outstanding. As of April 16, 2025, 301,668 common units of limited partnership interest of SL Green Operating Partnership, L.P. were held by non-affiliates. There is no established trading market for such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1361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2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On February 18, 2025, we filed our Annual Report on Form 10-K for the year ended December 31, 2024 (the "Original Form 10-K") with the Securities and Exchange Commission (the "SEC"). We are filing this Amendment No. 1 on Form 10-K/A ("Amendment No. 1") solely to amend Part II, Item 8, "Report of Independent Registered Public Accounting Firm" of Ernst &amp; Young LLP included in the Original Form 10-K, which inadvertently included an incorrect reference regarding responsibility for the audit of a change in accounting principle.</w:t>
      </w:r>
    </w:p>
    <w:p>
      <w:pPr>
        <w:spacing w:after="0" w:line="6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accordance with Rule 12b-15 ("Rule 12b-15") under the Securities Exchange Act of 1934, as amended, we have included the entire text of Part II, Item 8 "Financial Statements and Supplementary Data" and Part II, Item 15 "Exhibits, Financial Statements and Schedules" in this Amendment No. 1. In addition, we are including in this Amendment No. 1 new certifications of its Chief Executive Officer and Chief Financial Officer, as required by Rule 12b-15.</w:t>
      </w:r>
    </w:p>
    <w:p>
      <w:pPr>
        <w:spacing w:after="0" w:line="5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Except as expressly set forth above, this Amendment No. 1 speaks as of the filing date of the Original Form 10-K, and does not reflect events that may have occurred subsequent to that date, nor does it modify or update in any way disclosure made in the Original Form 10-K, including any of the financial information disclosed in Parts II and IV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576580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48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400" w:type="dxa"/>
            <w:vAlign w:val="bottom"/>
            <w:gridSpan w:val="11"/>
          </w:tcPr>
          <w:p>
            <w:pPr>
              <w:ind w:left="880"/>
              <w:spacing w:after="0"/>
              <w:rPr>
                <w:sz w:val="20"/>
                <w:szCs w:val="20"/>
                <w:color w:val="auto"/>
              </w:rPr>
            </w:pPr>
            <w:r>
              <w:rPr>
                <w:rFonts w:ascii="Times New Roman" w:cs="Times New Roman" w:eastAsia="Times New Roman" w:hAnsi="Times New Roman"/>
                <w:sz w:val="17"/>
                <w:szCs w:val="17"/>
                <w:b w:val="1"/>
                <w:bCs w:val="1"/>
                <w:color w:val="auto"/>
              </w:rPr>
              <w:t>Index to Financial Statements and Schedules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1046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FINANCIAL STATEMENTS OF SL GREEN REALTY CORP.</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0460" w:type="dxa"/>
            <w:vAlign w:val="bottom"/>
            <w:gridSpan w:val="12"/>
          </w:tcPr>
          <w:p>
            <w:pPr>
              <w:spacing w:after="0" w:line="189" w:lineRule="exact"/>
              <w:rPr>
                <w:sz w:val="20"/>
                <w:szCs w:val="20"/>
                <w:color w:val="auto"/>
              </w:rPr>
            </w:pPr>
            <w:r>
              <w:rPr>
                <w:rFonts w:ascii="Times New Roman" w:cs="Times New Roman" w:eastAsia="Times New Roman" w:hAnsi="Times New Roman"/>
                <w:sz w:val="17"/>
                <w:szCs w:val="17"/>
                <w:color w:val="auto"/>
              </w:rPr>
              <w:t>Report of Independent Registered Public Accounting Firm (Deloitte &amp; Touche LLP; PCAOB ID: No. 34)</w:t>
            </w:r>
          </w:p>
        </w:tc>
        <w:tc>
          <w:tcPr>
            <w:tcW w:w="7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7"/>
                <w:szCs w:val="17"/>
                <w:color w:val="0000FF"/>
              </w:rPr>
              <w:t>3</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 PCAOB ID: No. 42)</w:t>
            </w:r>
          </w:p>
        </w:tc>
        <w:tc>
          <w:tcPr>
            <w:tcW w:w="240" w:type="dxa"/>
            <w:vAlign w:val="bottom"/>
          </w:tcPr>
          <w:p>
            <w:pPr>
              <w:spacing w:after="0"/>
              <w:rPr>
                <w:sz w:val="17"/>
                <w:szCs w:val="17"/>
                <w:color w:val="auto"/>
              </w:rPr>
            </w:pPr>
          </w:p>
        </w:tc>
        <w:tc>
          <w:tcPr>
            <w:tcW w:w="3080" w:type="dxa"/>
            <w:vAlign w:val="bottom"/>
            <w:gridSpan w:val="2"/>
          </w:tcPr>
          <w:p>
            <w:pPr>
              <w:spacing w:after="0"/>
              <w:rPr>
                <w:sz w:val="17"/>
                <w:szCs w:val="17"/>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6</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2620" w:type="dxa"/>
            <w:vAlign w:val="bottom"/>
            <w:gridSpan w:val="7"/>
          </w:tcPr>
          <w:p>
            <w:pPr>
              <w:spacing w:after="0"/>
              <w:rPr>
                <w:sz w:val="17"/>
                <w:szCs w:val="17"/>
                <w:color w:val="auto"/>
              </w:rPr>
            </w:pPr>
          </w:p>
        </w:tc>
        <w:tc>
          <w:tcPr>
            <w:tcW w:w="3320" w:type="dxa"/>
            <w:vAlign w:val="bottom"/>
            <w:gridSpan w:val="3"/>
          </w:tcPr>
          <w:p>
            <w:pPr>
              <w:spacing w:after="0"/>
              <w:rPr>
                <w:sz w:val="17"/>
                <w:szCs w:val="17"/>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7</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3800" w:type="dxa"/>
            <w:vAlign w:val="bottom"/>
            <w:gridSpan w:val="5"/>
          </w:tcPr>
          <w:p>
            <w:pPr>
              <w:spacing w:after="0"/>
              <w:rPr>
                <w:sz w:val="17"/>
                <w:szCs w:val="17"/>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9</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4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Consolidated Statements of Equity for the years ended December 31, 2024, 2023 and 2022</w:t>
            </w:r>
          </w:p>
        </w:tc>
        <w:tc>
          <w:tcPr>
            <w:tcW w:w="1680" w:type="dxa"/>
            <w:vAlign w:val="bottom"/>
            <w:tcBorders>
              <w:top w:val="single" w:sz="8" w:color="auto"/>
            </w:tcBorders>
            <w:gridSpan w:val="6"/>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37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12</w:t>
            </w:r>
          </w:p>
        </w:tc>
        <w:tc>
          <w:tcPr>
            <w:tcW w:w="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46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FINANCIAL STATEMENTS OF SL GREEN OPERATING PARTNERSHIP, L.P.</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640" w:type="dxa"/>
            <w:vAlign w:val="bottom"/>
            <w:tcBorders>
              <w:bottom w:val="single" w:sz="8" w:color="auto"/>
            </w:tcBorders>
            <w:gridSpan w:val="3"/>
          </w:tcPr>
          <w:p>
            <w:pPr>
              <w:spacing w:after="0" w:line="189" w:lineRule="exact"/>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tc>
        <w:tc>
          <w:tcPr>
            <w:tcW w:w="4820" w:type="dxa"/>
            <w:vAlign w:val="bottom"/>
            <w:gridSpan w:val="9"/>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82"/>
              </w:rPr>
              <w:t>15</w:t>
            </w:r>
          </w:p>
        </w:tc>
        <w:tc>
          <w:tcPr>
            <w:tcW w:w="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 PCAOB ID: No. 42)</w:t>
            </w:r>
          </w:p>
        </w:tc>
        <w:tc>
          <w:tcPr>
            <w:tcW w:w="33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18</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594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38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21</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4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0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Consolidated Statements of Capital for the years ended December 31, 2024, 2023 and 2022</w:t>
            </w:r>
          </w:p>
        </w:tc>
        <w:tc>
          <w:tcPr>
            <w:tcW w:w="1640" w:type="dxa"/>
            <w:vAlign w:val="bottom"/>
            <w:tcBorders>
              <w:top w:val="single" w:sz="8" w:color="auto"/>
            </w:tcBorders>
            <w:gridSpan w:val="5"/>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37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4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27</w:t>
            </w:r>
          </w:p>
        </w:tc>
        <w:tc>
          <w:tcPr>
            <w:tcW w:w="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Schedules</w:t>
            </w:r>
          </w:p>
        </w:tc>
        <w:tc>
          <w:tcPr>
            <w:tcW w:w="7400" w:type="dxa"/>
            <w:vAlign w:val="bottom"/>
            <w:gridSpan w:val="11"/>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10460" w:type="dxa"/>
            <w:vAlign w:val="bottom"/>
            <w:gridSpan w:val="12"/>
          </w:tcPr>
          <w:p>
            <w:pPr>
              <w:spacing w:after="0" w:line="189" w:lineRule="exact"/>
              <w:rPr>
                <w:sz w:val="20"/>
                <w:szCs w:val="20"/>
                <w:color w:val="auto"/>
              </w:rPr>
            </w:pPr>
            <w:r>
              <w:rPr>
                <w:rFonts w:ascii="Times New Roman" w:cs="Times New Roman" w:eastAsia="Times New Roman" w:hAnsi="Times New Roman"/>
                <w:sz w:val="17"/>
                <w:szCs w:val="17"/>
                <w:color w:val="auto"/>
              </w:rPr>
              <w:t>Schedule III- Real Estate and Accumulated Depreciation as of December 31, 2024</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0000FF"/>
              </w:rPr>
              <w:t>75</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4"/>
            <w:shd w:val="clear" w:color="auto" w:fill="000000"/>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04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All other schedules are omitted because they are not required or the required information is shown in the financial statements or notes thereto.</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187"/>
        </w:trPr>
        <w:tc>
          <w:tcPr>
            <w:tcW w:w="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 w:name="page4"/>
    <w:bookmarkEnd w:id="3"/>
    <w:p>
      <w:pPr>
        <w:ind w:right="3420" w:firstLine="3431"/>
        <w:spacing w:after="0" w:line="549"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SL Green Realty Corp. </w:t>
      </w:r>
      <w:r>
        <w:rPr>
          <w:rFonts w:ascii="Times New Roman" w:cs="Times New Roman" w:eastAsia="Times New Roman" w:hAnsi="Times New Roman"/>
          <w:sz w:val="17"/>
          <w:szCs w:val="17"/>
          <w:b w:val="1"/>
          <w:bCs w:val="1"/>
          <w:color w:val="auto"/>
        </w:rPr>
        <w:t>Opinion on the Financial Statements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SL Green Realty Corp. and subsidiaries (the "Company") as of December 31, 2024, the related consolidated statements of operations, comprehensive income (loss), equity, and cash flows, for the year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and our report dated February 14, 2025 (not presented herein), expressed an unqualified opinion on the Company's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7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5"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Impairment of Investments in Commercial Real Estate Properties and Investments in Unconsolidated Joint Ventures — Refer to Notes 2, 6 and 16 to the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Company’s investments in commercial real estate properties are evaluated for impairment quarterly, or whenever events or changes in circumstances indicate that the carrying amount may not be recoverable. The Company’s evaluation of the recoverability of commercial real estate properties involves the comparison of undiscounted future cash flows expected to be generated by each commercial real estate property over the Company’s estimated holding period, including the future terminal value, to the respective carrying amount. The Company also assesses their investments in unconsolidated joint ventures for recoverability, and if it is determined that a loss in value of the investment is other than temporary, the Company writes down the investment to its estimated fair value. The Company’s investments in unconsolidated joint ventures are evaluated for impairment based on each joint venture’s actual and projected cash flows. To the extent an impairment has occurred on either a commercial real estate property or investment in unconsolidated joint venture, the impairment loss will be measured as the excess of the carrying amount over the estimated fair value of the underlying asset. The Company’s recoverability assessment and estimated fair value, requires management to make significant estimates, including appropriate future market rental rates, capitalization rates, and discount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586105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Given the Company’s estimated future market rental rates, capitalization rates, and discount rates are significant assumptions made by management in their impairment assessments, performing audit procedures to evaluate the reasonableness of management’s recoverability assessment and estimated fair value that utilize these assumptions required a high degree of auditor judgment and an increased extent of effort, including the need to involve our fair value specialists.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Company's estimated future market rental rates, capitalization rates, and discount rates used in the evaluation of impairment, included the following, among others:</w:t>
      </w:r>
    </w:p>
    <w:p>
      <w:pPr>
        <w:spacing w:after="0" w:line="93" w:lineRule="exact"/>
        <w:rPr>
          <w:sz w:val="20"/>
          <w:szCs w:val="20"/>
          <w:color w:val="auto"/>
        </w:rPr>
      </w:pPr>
    </w:p>
    <w:p>
      <w:pPr>
        <w:ind w:left="640" w:right="40" w:hanging="320"/>
        <w:spacing w:after="0" w:line="27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recoverability and estimated fair value of both commercial real estate properties and investments in unconsolidated joint ventures, including those over estimated future market rental rates, capitalization rates, and discount rates.</w:t>
      </w:r>
    </w:p>
    <w:p>
      <w:pPr>
        <w:spacing w:after="0" w:line="57" w:lineRule="exact"/>
        <w:rPr>
          <w:rFonts w:ascii="Times New Roman" w:cs="Times New Roman" w:eastAsia="Times New Roman" w:hAnsi="Times New Roman"/>
          <w:sz w:val="17"/>
          <w:szCs w:val="17"/>
          <w:color w:val="auto"/>
        </w:rPr>
      </w:pPr>
    </w:p>
    <w:p>
      <w:pPr>
        <w:ind w:left="640" w:right="620" w:hanging="320"/>
        <w:spacing w:after="0" w:line="29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inquired with management regarding their determination of estimated future market rental rates, capitalization rates, and discount rates and evaluated the consistency in determining the rates with evidence obtained in other areas of our audit.</w:t>
      </w:r>
    </w:p>
    <w:p>
      <w:pPr>
        <w:spacing w:after="0" w:line="93" w:lineRule="exact"/>
        <w:rPr>
          <w:rFonts w:ascii="Times New Roman" w:cs="Times New Roman" w:eastAsia="Times New Roman" w:hAnsi="Times New Roman"/>
          <w:sz w:val="17"/>
          <w:szCs w:val="17"/>
          <w:color w:val="auto"/>
        </w:rPr>
      </w:pPr>
    </w:p>
    <w:p>
      <w:pPr>
        <w:ind w:left="640" w:right="160" w:hanging="320"/>
        <w:spacing w:after="0" w:line="29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Company's estimated future market rental rates, capitalization rates, and discount rates by:</w:t>
      </w:r>
    </w:p>
    <w:p>
      <w:pPr>
        <w:spacing w:after="0" w:line="93" w:lineRule="exact"/>
        <w:rPr>
          <w:rFonts w:ascii="Times New Roman" w:cs="Times New Roman" w:eastAsia="Times New Roman" w:hAnsi="Times New Roman"/>
          <w:sz w:val="17"/>
          <w:szCs w:val="17"/>
          <w:color w:val="auto"/>
        </w:rPr>
      </w:pPr>
    </w:p>
    <w:p>
      <w:pPr>
        <w:jc w:val="both"/>
        <w:ind w:left="1260" w:right="60" w:hanging="311"/>
        <w:spacing w:after="0" w:line="277" w:lineRule="auto"/>
        <w:tabs>
          <w:tab w:leader="none" w:pos="125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source information underlying the determination of the estimated future market rental rates, capitalization rates, and discount rates used by management by evaluating the reasonableness of these assumptions with independent market data, focusing on key factors, including geographical location, tenant composition, and property type.</w:t>
      </w:r>
    </w:p>
    <w:p>
      <w:pPr>
        <w:spacing w:after="0" w:line="57" w:lineRule="exact"/>
        <w:rPr>
          <w:rFonts w:ascii="Times New Roman" w:cs="Times New Roman" w:eastAsia="Times New Roman" w:hAnsi="Times New Roman"/>
          <w:sz w:val="17"/>
          <w:szCs w:val="17"/>
          <w:color w:val="auto"/>
        </w:rPr>
      </w:pPr>
    </w:p>
    <w:p>
      <w:pPr>
        <w:ind w:left="1260" w:right="340" w:hanging="311"/>
        <w:spacing w:after="0" w:line="297" w:lineRule="auto"/>
        <w:tabs>
          <w:tab w:leader="none" w:pos="125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comparable market transaction details to further evaluate management's selected estimated future market rental rates, capitalization rates, and discount rates, as applicable.</w:t>
      </w:r>
    </w:p>
    <w:p>
      <w:pPr>
        <w:spacing w:after="0" w:line="93" w:lineRule="exact"/>
        <w:rPr>
          <w:rFonts w:ascii="Times New Roman" w:cs="Times New Roman" w:eastAsia="Times New Roman" w:hAnsi="Times New Roman"/>
          <w:sz w:val="17"/>
          <w:szCs w:val="17"/>
          <w:color w:val="auto"/>
        </w:rPr>
      </w:pPr>
    </w:p>
    <w:p>
      <w:pPr>
        <w:ind w:left="1260" w:right="140" w:hanging="311"/>
        <w:spacing w:after="0" w:line="297" w:lineRule="auto"/>
        <w:tabs>
          <w:tab w:leader="none" w:pos="125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range of independent estimates of future market rental rates, capitalization rates, and discount rates and comparing those to the amounts selected by management.</w:t>
      </w:r>
    </w:p>
    <w:p>
      <w:pPr>
        <w:spacing w:after="0" w:line="89" w:lineRule="exact"/>
        <w:rPr>
          <w:sz w:val="20"/>
          <w:szCs w:val="20"/>
          <w:color w:val="auto"/>
        </w:rPr>
      </w:pPr>
    </w:p>
    <w:p>
      <w:pPr>
        <w:ind w:right="4040"/>
        <w:spacing w:after="0" w:line="4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Consolidation of Investments in Joint Ventures — Refer to Notes 2 and 6 to the financial statements </w:t>
      </w:r>
      <w:r>
        <w:rPr>
          <w:rFonts w:ascii="Times New Roman" w:cs="Times New Roman" w:eastAsia="Times New Roman" w:hAnsi="Times New Roman"/>
          <w:sz w:val="17"/>
          <w:szCs w:val="17"/>
          <w:i w:val="1"/>
          <w:iCs w:val="1"/>
          <w:color w:val="auto"/>
        </w:rPr>
        <w:t>Critical Audit Matter Description</w:t>
      </w:r>
    </w:p>
    <w:p>
      <w:pPr>
        <w:spacing w:after="0" w:line="262" w:lineRule="auto"/>
        <w:rPr>
          <w:sz w:val="20"/>
          <w:szCs w:val="20"/>
          <w:color w:val="auto"/>
        </w:rPr>
      </w:pPr>
      <w:r>
        <w:rPr>
          <w:rFonts w:ascii="Times New Roman" w:cs="Times New Roman" w:eastAsia="Times New Roman" w:hAnsi="Times New Roman"/>
          <w:sz w:val="17"/>
          <w:szCs w:val="17"/>
          <w:color w:val="auto"/>
        </w:rPr>
        <w:t>The Company assesses the accounting treatment for each joint venture upon formation, as well as any reconsideration event over the life of the investment, to determine whether consolidation is required. This assessment includes a review of each joint venture agreement to determine the rights provided to each party and whether those rights are protective or participating. The Company consolidates those joint ventures they control, or which are variable interest entities (each, a "VIE") where the Company is considered to be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The Company accounts for their investments in unconsolidated joint ventures under the equity method of accounting in cases where they exercise significant influence over, but do not control, these entities and are not considered to be the primary beneficiary. The evaluation of these investments for consolidation, including determining whether the joint venture is a VIE, and if so, whether the Company is the primary beneficiary requires management to make significant judgments due to the complex nature of these investments.</w:t>
      </w:r>
    </w:p>
    <w:p>
      <w:pPr>
        <w:spacing w:after="0" w:line="7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Given the Company's determination of consolidation is a significant judgement made by management for certain of these investments, performing audit procedures to evaluate the reasonableness of management's consolidation, including VIE and primary beneficiary assessment required a high degree of auditor judgment and an increased extent of effort.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Company's accounting determination for the consolidation of investments in joint ventures included the following, among others:</w:t>
      </w:r>
    </w:p>
    <w:p>
      <w:pPr>
        <w:spacing w:after="0" w:line="93" w:lineRule="exact"/>
        <w:rPr>
          <w:sz w:val="20"/>
          <w:szCs w:val="20"/>
          <w:color w:val="auto"/>
        </w:rPr>
      </w:pPr>
    </w:p>
    <w:p>
      <w:pPr>
        <w:ind w:left="640" w:right="320" w:hanging="320"/>
        <w:spacing w:after="0" w:line="297"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initial accounting assessment for consolidation and over management's evaluation of reconsideration events.</w:t>
      </w:r>
    </w:p>
    <w:p>
      <w:pPr>
        <w:spacing w:after="0" w:line="93" w:lineRule="exact"/>
        <w:rPr>
          <w:rFonts w:ascii="Times New Roman" w:cs="Times New Roman" w:eastAsia="Times New Roman" w:hAnsi="Times New Roman"/>
          <w:sz w:val="17"/>
          <w:szCs w:val="17"/>
          <w:color w:val="auto"/>
        </w:rPr>
      </w:pPr>
    </w:p>
    <w:p>
      <w:pPr>
        <w:ind w:left="640" w:right="240" w:hanging="320"/>
        <w:spacing w:after="0" w:line="297"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unconsolidated and consolidated joint ventures and evaluated the appropriateness of the Company's accounting conclusions upon formation and reconsideration events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599440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1260" w:right="320" w:hanging="311"/>
        <w:spacing w:after="0" w:line="297" w:lineRule="auto"/>
        <w:tabs>
          <w:tab w:leader="none" w:pos="12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the joint venture agreements and other related documents and evaluating the structure and terms of the agreement, as well as any reconsideration events which took place during the year, to determine if the joint venture should be classified as a VIE.</w:t>
      </w:r>
    </w:p>
    <w:p>
      <w:pPr>
        <w:spacing w:after="0" w:line="93" w:lineRule="exact"/>
        <w:rPr>
          <w:rFonts w:ascii="Times New Roman" w:cs="Times New Roman" w:eastAsia="Times New Roman" w:hAnsi="Times New Roman"/>
          <w:sz w:val="17"/>
          <w:szCs w:val="17"/>
          <w:color w:val="auto"/>
        </w:rPr>
      </w:pPr>
    </w:p>
    <w:p>
      <w:pPr>
        <w:ind w:left="1260" w:hanging="311"/>
        <w:spacing w:after="0" w:line="270" w:lineRule="auto"/>
        <w:tabs>
          <w:tab w:leader="none" w:pos="12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entity is determined to be a VIE, considering whether the Company appropriately determined the primary beneficiary by evaluating the contractual arrangements of the entity to determine if the Company has the power to direct activities that most significantly impact the VIE's economic performance, and if the Company has the obligation to absorb losses of the entity or the right to receive benefits from the entity that could be significant to the VIE.</w:t>
      </w:r>
    </w:p>
    <w:p>
      <w:pPr>
        <w:spacing w:after="0" w:line="116" w:lineRule="exact"/>
        <w:rPr>
          <w:rFonts w:ascii="Times New Roman" w:cs="Times New Roman" w:eastAsia="Times New Roman" w:hAnsi="Times New Roman"/>
          <w:sz w:val="17"/>
          <w:szCs w:val="17"/>
          <w:color w:val="auto"/>
        </w:rPr>
      </w:pPr>
    </w:p>
    <w:p>
      <w:pPr>
        <w:ind w:left="1260" w:right="520" w:hanging="311"/>
        <w:spacing w:after="0" w:line="297" w:lineRule="auto"/>
        <w:tabs>
          <w:tab w:leader="none" w:pos="12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whether any reconsideration events occurred during the year that would result in consolidation or deconsolidation, and if so, verified that this occurred properly.</w:t>
      </w:r>
    </w:p>
    <w:p>
      <w:pPr>
        <w:spacing w:after="0" w:line="93" w:lineRule="exact"/>
        <w:rPr>
          <w:rFonts w:ascii="Times New Roman" w:cs="Times New Roman" w:eastAsia="Times New Roman" w:hAnsi="Times New Roman"/>
          <w:sz w:val="17"/>
          <w:szCs w:val="17"/>
          <w:color w:val="auto"/>
        </w:rPr>
      </w:pPr>
    </w:p>
    <w:p>
      <w:pPr>
        <w:ind w:left="1260" w:right="240" w:hanging="311"/>
        <w:spacing w:after="0" w:line="277" w:lineRule="auto"/>
        <w:tabs>
          <w:tab w:leader="none" w:pos="12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evidence obtained in other areas of the audit to determine if there were additional reconsideration events that had not been identified by the Company, including, among others, reading board minutes and agreeing the terms of certain joint venture agreements and side agreements, if 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648970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420" w:firstLine="3431"/>
        <w:spacing w:after="0" w:line="549"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Directors of SL Green Realty Corp. </w:t>
      </w:r>
      <w:r>
        <w:rPr>
          <w:rFonts w:ascii="Times New Roman" w:cs="Times New Roman" w:eastAsia="Times New Roman" w:hAnsi="Times New Roman"/>
          <w:sz w:val="17"/>
          <w:szCs w:val="17"/>
          <w:b w:val="1"/>
          <w:bCs w:val="1"/>
          <w:color w:val="auto"/>
        </w:rPr>
        <w:t>Opinion on the Financial Statements</w:t>
      </w:r>
    </w:p>
    <w:p>
      <w:pPr>
        <w:spacing w:after="0" w:line="2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SL Green Realty Corp. (the Company) as of December 31, 2023, the related consolidated statements of operations, comprehensive (loss) income, equity and cash flows for each of the two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from 1997 to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1115695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3"/>
        </w:trPr>
        <w:tc>
          <w:tcPr>
            <w:tcW w:w="7200" w:type="dxa"/>
            <w:vAlign w:val="bottom"/>
            <w:tcBorders>
              <w:top w:val="single" w:sz="8" w:color="CCEEFF"/>
              <w:left w:val="single" w:sz="8" w:color="CCEEFF"/>
            </w:tcBorders>
            <w:gridSpan w:val="3"/>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interests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1,357,041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1,092,671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3,862,224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3,655,624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1,388,476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6,607,741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6,102,864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(2,126,081)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(1,968,004)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4,481,660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4,134,860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26,865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266,428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264,653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2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$1,618 and $1,630 and</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20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of $13,520 and $13,520 in 2024 and 2023, respectively</w:t>
            </w:r>
          </w:p>
        </w:tc>
        <w:tc>
          <w:tcPr>
            <w:tcW w:w="180" w:type="dxa"/>
            <w:vAlign w:val="bottom"/>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200" w:type="dxa"/>
            <w:vAlign w:val="bottom"/>
            <w:tcBorders>
              <w:left w:val="single" w:sz="8" w:color="CCEEFF"/>
            </w:tcBorders>
            <w:gridSpan w:val="3"/>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2,690,138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117,132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865,639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885,929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2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Real estate loans held by consolidated securitization vehicles (includes $584,134 and $— at fair value as of</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709,095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610,911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Borders>
              <w:left w:val="single" w:sz="8" w:color="CCEEFF"/>
              <w:bottom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0"/>
                <w:szCs w:val="20"/>
                <w:color w:val="auto"/>
                <w:vertAlign w:val="superscript"/>
              </w:rPr>
              <w:t>(1)</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65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00" w:type="dxa"/>
            <w:vAlign w:val="bottom"/>
            <w:tcBorders>
              <w:bottom w:val="single" w:sz="8" w:color="auto"/>
            </w:tcBorders>
            <w:gridSpan w:val="2"/>
            <w:vMerge w:val="continue"/>
          </w:tcPr>
          <w:p>
            <w:pPr>
              <w:spacing w:after="0"/>
              <w:rPr>
                <w:sz w:val="10"/>
                <w:szCs w:val="10"/>
                <w:color w:val="auto"/>
              </w:rPr>
            </w:pPr>
          </w:p>
        </w:tc>
        <w:tc>
          <w:tcPr>
            <w:tcW w:w="6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1,944,635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316,240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554,752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 net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1,146,010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Unsecured notes, net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2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Senior obligations of consolidated securitization vehicles (includes $567,487 and $— at fair value as of</w:t>
            </w:r>
          </w:p>
        </w:tc>
        <w:tc>
          <w:tcPr>
            <w:tcW w:w="18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590,131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20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8"/>
              </w:rPr>
              <w:t>Other liabilities (includes $251,096 and $259,392 at fair value as of December 31, 2024 and December 31, 2023,</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414,153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471,401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153,164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810,989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827,692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200" w:type="dxa"/>
            <w:vAlign w:val="bottom"/>
            <w:tcBorders>
              <w:left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5,915,143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5,270,704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20)</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3"/>
        </w:trPr>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288,941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units and redeemable equity</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196,064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166,501</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6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 Green stockholders' equity:</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Series I Preferred Stock, $0.01 par value, $25.00 liquidation preference, 9,200 issued and outstanding at both</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 and 2023</w:t>
            </w: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Common stock, $0.01 par value, 160,000 shares authorized and 71,097 and 65,786 issued and outstanding at</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December 31, 2024 and 2023, respectively (including 0 and 1,060 shares held in treasury at December 31, 2024</w:t>
            </w:r>
          </w:p>
        </w:tc>
        <w:tc>
          <w:tcPr>
            <w:tcW w:w="18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2023, respectively)</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4,159,562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3,826,452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Treasury stock at cost</w:t>
            </w: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(128,655)</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(449,101)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SL Green stockholders' equity</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3,951,300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3,786,315</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118,651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69,610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4,069,951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3,855,925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0" w:firstLine="2"/>
        <w:spacing w:after="0" w:line="217" w:lineRule="auto"/>
        <w:tabs>
          <w:tab w:leader="none" w:pos="24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$236.7 million and $41.2 million of land, $159.1 million and $40.5 million of building and improvements, $— million and $— million of building and leasehold improvements, $— million and $— million of right of use assets, $4.1 million and $5.4 million of accumulated depreciation, 709.1 million and — million of real estate loans held by consolidated securitization vehicles, $830.3 million and $676.9 million of other assets included in other line items, $357.9 million and $50.0 million of real estate debt, net, $1.1 million and $0.9 million of accrued interest payable, $— million and $— million of lease liabilities, 590.1 million and — million of senior obligations of consolidated securitization vehicles and $324.8 million and $306.5 million of other liabilities included in other line items as of December 31, 2024 and December 31, 2023, respectively.</w:t>
      </w:r>
    </w:p>
    <w:p>
      <w:pPr>
        <w:spacing w:after="0" w:line="25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665480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605,999</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683,335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671,500</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133,214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89,048</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24,353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103,726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886,272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913,710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919,454</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expenses, including related party expenses of $7 in 2024, $5 in 2023 and $5,701 in</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189,598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174,063</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128,187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111,739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147,220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207,443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85,187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93,798</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916,181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838,752</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(84,485)</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22,010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(78,074)</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Perpetual preferred stock dividends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 common stockholders</w:t>
            </w: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0.08</w:t>
            </w:r>
          </w:p>
        </w:tc>
        <w:tc>
          <w:tcPr>
            <w:tcW w:w="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0.08</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65,062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and common share equivalents outstanding</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657225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08"/>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w:t>
            </w:r>
          </w:p>
        </w:tc>
        <w:tc>
          <w:tcPr>
            <w:tcW w:w="10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103,629</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derivative instruments</w:t>
            </w:r>
          </w:p>
        </w:tc>
        <w:tc>
          <w:tcPr>
            <w:tcW w:w="10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(decrease) in unrealized value of marketable securities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102,189</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31,092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25,886</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and preferred units distributions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SL Green</w:t>
            </w:r>
          </w:p>
        </w:tc>
        <w:tc>
          <w:tcPr>
            <w:tcW w:w="100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22,729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782320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29845</wp:posOffset>
            </wp:positionV>
            <wp:extent cx="3913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3505" cy="8255"/>
                    </a:xfrm>
                    <a:prstGeom prst="rect">
                      <a:avLst/>
                    </a:prstGeom>
                    <a:noFill/>
                  </pic:spPr>
                </pic:pic>
              </a:graphicData>
            </a:graphic>
          </wp:anchor>
        </w:drawing>
      </w:r>
    </w:p>
    <w:p>
      <w:pPr>
        <w:spacing w:after="0" w:line="5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24765</wp:posOffset>
            </wp:positionV>
            <wp:extent cx="849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Series I</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Par</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80" w:type="dxa"/>
            <w:vAlign w:val="bottom"/>
          </w:tcPr>
          <w:p>
            <w:pPr>
              <w:spacing w:after="0"/>
              <w:rPr>
                <w:sz w:val="10"/>
                <w:szCs w:val="1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14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auto"/>
              </w:rPr>
              <w:t>Paid-</w:t>
            </w: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9"/>
                <w:szCs w:val="9"/>
                <w:color w:val="auto"/>
              </w:rPr>
            </w:pPr>
          </w:p>
        </w:tc>
        <w:tc>
          <w:tcPr>
            <w:tcW w:w="78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21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0"/>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In-Capital</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64,105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3,739,409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(126,160)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(46,758)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975,781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13,377</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4,778,253</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(29,817)</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96,362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96,362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Measurement adjustment for redeemable noncontrolling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Deferred compensation plan and stock awards, net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forfeitures and tax withholdings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32,034</w:t>
            </w: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(151,197)</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special dividend paid in 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163,115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160,620</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($3.6896 per common share, none</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of which represented a return of capital for federal income tax</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purposes)</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64,380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3,790,358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49,604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651,138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61,889</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4,646,922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(569,127)</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Measurement adjustment for redeemable noncontrolling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Deferred compensation plan and stock awards, net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forfeitures and tax withholdings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35,573</w:t>
            </w: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($3.2288 per common share, none</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of which represented a return of capital for federal income tax</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purposes)</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64,726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3,826,452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17,477</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(151,551)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69,610</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3,855,925</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21,082</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(9,216)</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52,308</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Conversion of units in the Operating Partnership to common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Measurement adjustment for redeemable noncontrolling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Deferred compensation plan and stock awards, net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forfeitures and tax withholdings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26,848</w:t>
            </w: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386,790</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Consolidation of partially owned entity</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Cash distributions declared ($3.0075 per common share, none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of which represented a return of capital for federal income tax</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purposes)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71,097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4,159,562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18,196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(449,101)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118,651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4,069,951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873760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214,062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223,984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57,958</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84,485</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46,219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18,332</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02"/>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129,595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276,088</w:t>
            </w:r>
          </w:p>
        </w:tc>
      </w:tr>
      <w:tr>
        <w:trPr>
          <w:trHeight w:val="19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(64,491)</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(300,770)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161,474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729,025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restricted cash assumed from acquisition and consolidation of real estate investment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or redemption of debt and preferred equity investments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63,496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181,293</w:t>
            </w:r>
          </w:p>
        </w:tc>
      </w:tr>
      <w:tr>
        <w:trPr>
          <w:trHeight w:val="204"/>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118,753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171,345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425,805</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381,980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(292,364)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senior unsecured notes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1,170,000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1,524,000</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senior unsecured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(1,864,000)</w:t>
            </w:r>
          </w:p>
        </w:tc>
      </w:tr>
      <w:tr>
        <w:trPr>
          <w:trHeight w:val="742"/>
        </w:trPr>
        <w:tc>
          <w:tcPr>
            <w:tcW w:w="7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52,308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preferred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the Operating Partnership</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common and preferred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(262,136)</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obligation related to secured borrowing</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r>
      <w:tr>
        <w:trPr>
          <w:trHeight w:val="202"/>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(252,229)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(449,383)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(654,823)</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47,070</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335,519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336,984</w:t>
            </w:r>
          </w:p>
        </w:tc>
      </w:tr>
      <w:tr>
        <w:trPr>
          <w:trHeight w:val="22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200,752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229,119</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169,519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9,001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r>
      <w:tr>
        <w:trPr>
          <w:trHeight w:val="249"/>
        </w:trPr>
        <w:tc>
          <w:tcPr>
            <w:tcW w:w="7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of preferred equity investment for real estate or equity in joint venture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190,652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debt investment for real estate or equity in joint venture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193,995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Assumption of mortgage and mezzanine loans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1,712,750</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special dividend paid in stock</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160,620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improvements and capital expenditures payable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18,518</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107,632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50,377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47,135</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Deconsolidation of a subsidiary</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 debt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Extinguishment of debt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46,835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30,359</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by noncontrolling interest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9,514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Recognition of right of use assets and related lease liabilities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57,938</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742"/>
        </w:trPr>
        <w:tc>
          <w:tcPr>
            <w:tcW w:w="7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December 2024, the Company declared a regular monthly distribution per share of $0.2575 that was paid in cash. This distribution was paid in January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In December 2023, the Company declared a regular monthly distribution per share of $0.2500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In December 2022, the Company declared a regular monthly distribution per share of $0.2708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128"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4"/>
        </w:trPr>
        <w:tc>
          <w:tcPr>
            <w:tcW w:w="7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203,273</w:t>
            </w:r>
          </w:p>
        </w:tc>
      </w:tr>
      <w:tr>
        <w:trPr>
          <w:trHeight w:val="20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180,781</w:t>
            </w:r>
          </w:p>
        </w:tc>
      </w:tr>
      <w:tr>
        <w:trPr>
          <w:trHeight w:val="204"/>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424180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420" w:firstLine="3431"/>
        <w:spacing w:after="0" w:line="45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Partners of SL Green Operating Partnership, L.P. and the Board of Directors of SL Green Realty Corp.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SL Green Operating Partnership, L.P. and subsidiaries (the "Partnership") as of December 31, 2024, the related consolidated statements of operations, comprehensive income (loss), capital, and cash flows, for the year ended December 31, 2024, and the related notes and the schedule listed in the Index at Item 15 (collectively referred to as the "financial statements"). In our opinion, the financial statements present fairly, in all material respects, the financial position of the Partnership as of December 31, 2024, and the results of its operations and its cash flows for the year ended December 31, 2024, in conformity with accounting principles generally accepted in the United States of America.</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Partnership's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14, 2025 (not presented herein), expressed an unqualified opinion on the Partnership's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These financial statements are the responsibility of the Partnership's management. Our responsibility is to express an opinion on the Partnership's financial statements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7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5"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Impairment of Investments in Commercial Real Estate Properties and Investments in Unconsolidated Joint Ventures — Refer to Notes 2, 6 and 16 to the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Partnership’s investments in commercial real estate properties are evaluated for impairment quarterly, or whenever events or changes in circumstances indicate that the carrying amount may not be recoverable. The Partnership’s evaluation of the recoverability of commercial real estate properties involves the comparison of undiscounted future cash flows expected to be generated by each commercial real estate property over the Partnership’s estimated holding period, including the future terminal value, to the respective carrying amount. The Partnership also assesses their investments in unconsolidated joint ventures for recoverability, and if it is determined that a loss in value of the investment is other than temporary, the Partnership writes down the investment to its estimated fair value. The Partnership’s investments in unconsolidated joint ventures are evaluated for impairment based on each joint venture’s actual and projected cash flows. To the extent an impairment has occurred on either a commercial real estate property or investment in unconsolidated joint venture, the impairment loss will be measured as the excess of the carrying amount over the estimated fair value of the underlying asset. The Partnership’s recoverability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color w:val="auto"/>
        </w:rPr>
        <w:t>and estimated fair value, requires management to make significant estimates, including appropriate future market rental rates, capitalization rates, and discount rates.</w:t>
      </w:r>
    </w:p>
    <w:p>
      <w:pPr>
        <w:spacing w:after="0" w:line="41"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17"/>
          <w:szCs w:val="17"/>
          <w:color w:val="auto"/>
        </w:rPr>
        <w:t>Given the Partnership’s estimated future market rental rates, capitalization rates, and discount rates are significant assumptions made by management in their impairment assessments, performing audit procedures to evaluate the reasonableness of management’s recoverability assessment and estimated fair value that utilize these assumptions required a high degree of auditor judgment and an increased extent of effort, including the need to involve our fair value specialists.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84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Partnership's estimated future market rental rates, capitalization rates, and discount rates used in the evaluation of impairment, included the following, among others:</w:t>
      </w:r>
    </w:p>
    <w:p>
      <w:pPr>
        <w:spacing w:after="0" w:line="93" w:lineRule="exact"/>
        <w:rPr>
          <w:sz w:val="20"/>
          <w:szCs w:val="20"/>
          <w:color w:val="auto"/>
        </w:rPr>
      </w:pPr>
    </w:p>
    <w:p>
      <w:pPr>
        <w:ind w:left="640" w:right="40" w:hanging="320"/>
        <w:spacing w:after="0" w:line="277"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recoverability and estimated fair value of both commercial real estate properties and investments in unconsolidated joint ventures, including those over estimated future market rental rates, capitalization rates, and discount rates.</w:t>
      </w:r>
    </w:p>
    <w:p>
      <w:pPr>
        <w:spacing w:after="0" w:line="109" w:lineRule="exact"/>
        <w:rPr>
          <w:rFonts w:ascii="Times New Roman" w:cs="Times New Roman" w:eastAsia="Times New Roman" w:hAnsi="Times New Roman"/>
          <w:sz w:val="17"/>
          <w:szCs w:val="17"/>
          <w:color w:val="auto"/>
        </w:rPr>
      </w:pPr>
    </w:p>
    <w:p>
      <w:pPr>
        <w:ind w:left="640" w:right="620" w:hanging="320"/>
        <w:spacing w:after="0" w:line="297"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inquired with management regarding their determination of estimated future market rental rates, capitalization rates, and discount rates and evaluated the consistency in determining the rates with evidence obtained in other areas of our audit.</w:t>
      </w:r>
    </w:p>
    <w:p>
      <w:pPr>
        <w:spacing w:after="0" w:line="93" w:lineRule="exact"/>
        <w:rPr>
          <w:rFonts w:ascii="Times New Roman" w:cs="Times New Roman" w:eastAsia="Times New Roman" w:hAnsi="Times New Roman"/>
          <w:sz w:val="17"/>
          <w:szCs w:val="17"/>
          <w:color w:val="auto"/>
        </w:rPr>
      </w:pPr>
    </w:p>
    <w:p>
      <w:pPr>
        <w:ind w:left="640" w:right="40" w:hanging="320"/>
        <w:spacing w:after="0" w:line="297"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Partnership's estimated future market rental rates, capitalization rates, and discount rates by:</w:t>
      </w:r>
    </w:p>
    <w:p>
      <w:pPr>
        <w:spacing w:after="0" w:line="93" w:lineRule="exact"/>
        <w:rPr>
          <w:rFonts w:ascii="Times New Roman" w:cs="Times New Roman" w:eastAsia="Times New Roman" w:hAnsi="Times New Roman"/>
          <w:sz w:val="17"/>
          <w:szCs w:val="17"/>
          <w:color w:val="auto"/>
        </w:rPr>
      </w:pPr>
    </w:p>
    <w:p>
      <w:pPr>
        <w:jc w:val="both"/>
        <w:ind w:left="1260" w:right="60" w:hanging="311"/>
        <w:spacing w:after="0" w:line="277" w:lineRule="auto"/>
        <w:tabs>
          <w:tab w:leader="none" w:pos="125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source information underlying the determination of the estimated future market rental rates, capitalization rates, and discount rates used by management by evaluating the reasonableness of these assumptions with independent market data, focusing on key factors, including geographical location, tenant composition, and property type.</w:t>
      </w:r>
    </w:p>
    <w:p>
      <w:pPr>
        <w:spacing w:after="0" w:line="57" w:lineRule="exact"/>
        <w:rPr>
          <w:rFonts w:ascii="Times New Roman" w:cs="Times New Roman" w:eastAsia="Times New Roman" w:hAnsi="Times New Roman"/>
          <w:sz w:val="17"/>
          <w:szCs w:val="17"/>
          <w:color w:val="auto"/>
        </w:rPr>
      </w:pPr>
    </w:p>
    <w:p>
      <w:pPr>
        <w:ind w:left="1260" w:right="340" w:hanging="311"/>
        <w:spacing w:after="0" w:line="297" w:lineRule="auto"/>
        <w:tabs>
          <w:tab w:leader="none" w:pos="125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comparable market transaction details to further evaluate management's selected estimated future market rental rates, capitalization rates, and discount rates, as applicable.</w:t>
      </w:r>
    </w:p>
    <w:p>
      <w:pPr>
        <w:spacing w:after="0" w:line="93" w:lineRule="exact"/>
        <w:rPr>
          <w:rFonts w:ascii="Times New Roman" w:cs="Times New Roman" w:eastAsia="Times New Roman" w:hAnsi="Times New Roman"/>
          <w:sz w:val="17"/>
          <w:szCs w:val="17"/>
          <w:color w:val="auto"/>
        </w:rPr>
      </w:pPr>
    </w:p>
    <w:p>
      <w:pPr>
        <w:ind w:left="1260" w:right="140" w:hanging="311"/>
        <w:spacing w:after="0" w:line="297" w:lineRule="auto"/>
        <w:tabs>
          <w:tab w:leader="none" w:pos="125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range of independent estimates of future market rental rates, capitalization rates, and discount rates and comparing those to the amounts selected by management.</w:t>
      </w:r>
    </w:p>
    <w:p>
      <w:pPr>
        <w:spacing w:after="0" w:line="89" w:lineRule="exact"/>
        <w:rPr>
          <w:sz w:val="20"/>
          <w:szCs w:val="20"/>
          <w:color w:val="auto"/>
        </w:rPr>
      </w:pPr>
    </w:p>
    <w:p>
      <w:pPr>
        <w:ind w:right="4040"/>
        <w:spacing w:after="0" w:line="4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Consolidation of Investments in Joint Ventures — Refer to Notes 2 and 6 to the financial statements </w:t>
      </w:r>
      <w:r>
        <w:rPr>
          <w:rFonts w:ascii="Times New Roman" w:cs="Times New Roman" w:eastAsia="Times New Roman" w:hAnsi="Times New Roman"/>
          <w:sz w:val="17"/>
          <w:szCs w:val="17"/>
          <w:i w:val="1"/>
          <w:iCs w:val="1"/>
          <w:color w:val="auto"/>
        </w:rPr>
        <w:t>Critical Audit Matter Description</w:t>
      </w:r>
    </w:p>
    <w:p>
      <w:pPr>
        <w:spacing w:after="0" w:line="262" w:lineRule="auto"/>
        <w:rPr>
          <w:sz w:val="20"/>
          <w:szCs w:val="20"/>
          <w:color w:val="auto"/>
        </w:rPr>
      </w:pPr>
      <w:r>
        <w:rPr>
          <w:rFonts w:ascii="Times New Roman" w:cs="Times New Roman" w:eastAsia="Times New Roman" w:hAnsi="Times New Roman"/>
          <w:sz w:val="17"/>
          <w:szCs w:val="17"/>
          <w:color w:val="auto"/>
        </w:rPr>
        <w:t>The Partnership assesses the accounting treatment for each joint venture upon formation, as well as any reconsideration event over the life of the investment, to determine whether consolidation is required. This assessment includes a review of each joint venture agreement to determine the rights provided to each party and whether those rights are protective or participating. The Partnership consolidates those joint ventures they control, or which are variable interest entities (each, a "VIE") where the Partnership is considered to be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The Partnership accounts for their investments in unconsolidated joint ventures under the equity method of accounting in cases where they exercise significant influence over, but do not control, these entities and are not considered to be the primary beneficiary. The evaluation of these investments for consolidation, including determining whether the joint venture is a VIE, and if so, whether the Partnership is the primary beneficiary requires management to make significant judgments due to the complex nature of these investments.</w:t>
      </w:r>
    </w:p>
    <w:p>
      <w:pPr>
        <w:spacing w:after="0" w:line="7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Given the Partnership’s determination of consolidation is a significant judgement made by management for certain of these investments, performing audit procedures to evaluate the reasonableness of management’s consolidation, including VIE and primary beneficiary assessment, required a high degree of auditor judgment and an increased extent of effort.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Partnership's accounting determination for the consolidation of investments in joint ventures included the following, among others:</w:t>
      </w:r>
    </w:p>
    <w:p>
      <w:pPr>
        <w:spacing w:after="0" w:line="93" w:lineRule="exact"/>
        <w:rPr>
          <w:sz w:val="20"/>
          <w:szCs w:val="20"/>
          <w:color w:val="auto"/>
        </w:rPr>
      </w:pPr>
    </w:p>
    <w:p>
      <w:pPr>
        <w:ind w:left="640" w:right="320" w:hanging="320"/>
        <w:spacing w:after="0" w:line="297"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initial accounting assessment for consolidation and over management's evaluation of reconsideration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599440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640" w:right="100" w:hanging="320"/>
        <w:spacing w:after="0" w:line="297"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unconsolidated and consolidated joint ventures and evaluated the appropriateness of the Partnership's accounting conclusions upon formation and reconsideration events by:</w:t>
      </w:r>
    </w:p>
    <w:p>
      <w:pPr>
        <w:spacing w:after="0" w:line="93" w:lineRule="exact"/>
        <w:rPr>
          <w:rFonts w:ascii="Times New Roman" w:cs="Times New Roman" w:eastAsia="Times New Roman" w:hAnsi="Times New Roman"/>
          <w:sz w:val="17"/>
          <w:szCs w:val="17"/>
          <w:color w:val="auto"/>
        </w:rPr>
      </w:pPr>
    </w:p>
    <w:p>
      <w:pPr>
        <w:ind w:left="1260" w:right="340" w:hanging="311"/>
        <w:spacing w:after="0" w:line="297" w:lineRule="auto"/>
        <w:tabs>
          <w:tab w:leader="none" w:pos="125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the joint venture agreements and other related documents and evaluating the structure and terms of the agreement, as well as any reconsideration events which took place during the year, to determine if the joint venture should be classified as a VIE.</w:t>
      </w:r>
    </w:p>
    <w:p>
      <w:pPr>
        <w:spacing w:after="0" w:line="93" w:lineRule="exact"/>
        <w:rPr>
          <w:rFonts w:ascii="Times New Roman" w:cs="Times New Roman" w:eastAsia="Times New Roman" w:hAnsi="Times New Roman"/>
          <w:sz w:val="17"/>
          <w:szCs w:val="17"/>
          <w:color w:val="auto"/>
        </w:rPr>
      </w:pPr>
    </w:p>
    <w:p>
      <w:pPr>
        <w:ind w:left="1260" w:hanging="311"/>
        <w:spacing w:after="0" w:line="270" w:lineRule="auto"/>
        <w:tabs>
          <w:tab w:leader="none" w:pos="125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entity is determined to be a VIE, considering whether the Partnership appropriately determined the primary beneficiary by evaluating the contractual arrangements of the entity to determine if the Partnership has the power to direct activities that most significantly impact the VIE's economic performance, and if the Partnership has the obligation to absorb losses of the entity or the right to receive benefits from the entity that could be significant to the VIE.</w:t>
      </w:r>
    </w:p>
    <w:p>
      <w:pPr>
        <w:spacing w:after="0" w:line="116" w:lineRule="exact"/>
        <w:rPr>
          <w:rFonts w:ascii="Times New Roman" w:cs="Times New Roman" w:eastAsia="Times New Roman" w:hAnsi="Times New Roman"/>
          <w:sz w:val="17"/>
          <w:szCs w:val="17"/>
          <w:color w:val="auto"/>
        </w:rPr>
      </w:pPr>
    </w:p>
    <w:p>
      <w:pPr>
        <w:ind w:left="1260" w:right="540" w:hanging="311"/>
        <w:spacing w:after="0" w:line="297" w:lineRule="auto"/>
        <w:tabs>
          <w:tab w:leader="none" w:pos="125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whether any reconsideration events occurred during the year that would result in consolidation or deconsolidation, and if so, verified that this occurred properly.</w:t>
      </w:r>
    </w:p>
    <w:p>
      <w:pPr>
        <w:spacing w:after="0" w:line="93" w:lineRule="exact"/>
        <w:rPr>
          <w:rFonts w:ascii="Times New Roman" w:cs="Times New Roman" w:eastAsia="Times New Roman" w:hAnsi="Times New Roman"/>
          <w:sz w:val="17"/>
          <w:szCs w:val="17"/>
          <w:color w:val="auto"/>
        </w:rPr>
      </w:pPr>
    </w:p>
    <w:p>
      <w:pPr>
        <w:ind w:left="1260" w:right="140" w:hanging="311"/>
        <w:spacing w:after="0" w:line="277" w:lineRule="auto"/>
        <w:tabs>
          <w:tab w:leader="none" w:pos="125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evidence obtained in other areas of the audit to determine if there were additional reconsideration events that had not been identified by the Partnership, including, among others, reading board minutes and agreeing the terms of certain joint venture agreements and side agreements, if any.</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Partnership's auditor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648970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Partners of SL Green Operating Partnership,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7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SL Green Operating Partnership, L.P. (the Operating Partnership) as of December 31, 2023, the related consolidated statements of operations, comprehensive (loss) income, capital and cash flows for each of the two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Operating Partnership at December 31, 2023, and the results of its operations and its cash flows for each of the two years in the period ended December 31, 2023, in conformity with U.S. generally accepted accounting principles.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Operating Partnership’s management. Our responsibility is to express an opinion on the Operating Partnership’s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Operating Partnership's auditor from 2010 to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865505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66"/>
        </w:trPr>
        <w:tc>
          <w:tcPr>
            <w:tcW w:w="7500" w:type="dxa"/>
            <w:vAlign w:val="bottom"/>
            <w:tcBorders>
              <w:top w:val="single" w:sz="8" w:color="CCEEFF"/>
              <w:left w:val="single" w:sz="8" w:color="CCEEFF"/>
            </w:tcBorders>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interests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1,357,041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1,092,671</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3,862,224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3,655,624</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1,388,476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1,354,569</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6,607,741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6,102,864</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(2,126,081)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(1,968,004)</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4,481,660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4,134,860</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26,865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266,428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264,653</w:t>
            </w:r>
          </w:p>
        </w:tc>
        <w:tc>
          <w:tcPr>
            <w:tcW w:w="0" w:type="dxa"/>
            <w:vAlign w:val="bottom"/>
          </w:tcPr>
          <w:p>
            <w:pPr>
              <w:spacing w:after="0"/>
              <w:rPr>
                <w:sz w:val="1"/>
                <w:szCs w:val="1"/>
                <w:color w:val="auto"/>
              </w:rPr>
            </w:pPr>
          </w:p>
        </w:tc>
      </w:tr>
      <w:tr>
        <w:trPr>
          <w:trHeight w:val="158"/>
        </w:trPr>
        <w:tc>
          <w:tcPr>
            <w:tcW w:w="75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$1,618 and $1,630 and</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of $13,520 and $13,520 in 2024 and 2023, 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2,690,138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2,983,313</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865,639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885,929</w:t>
            </w:r>
          </w:p>
        </w:tc>
        <w:tc>
          <w:tcPr>
            <w:tcW w:w="0" w:type="dxa"/>
            <w:vAlign w:val="bottom"/>
          </w:tcPr>
          <w:p>
            <w:pPr>
              <w:spacing w:after="0"/>
              <w:rPr>
                <w:sz w:val="1"/>
                <w:szCs w:val="1"/>
                <w:color w:val="auto"/>
              </w:rPr>
            </w:pPr>
          </w:p>
        </w:tc>
      </w:tr>
      <w:tr>
        <w:trPr>
          <w:trHeight w:val="158"/>
        </w:trPr>
        <w:tc>
          <w:tcPr>
            <w:tcW w:w="75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Real estate loans held by consolidated securitization vehicles (includes $584,134 and $— at fair value as of</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709,095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610,911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413,670</w:t>
            </w:r>
          </w:p>
        </w:tc>
        <w:tc>
          <w:tcPr>
            <w:tcW w:w="0" w:type="dxa"/>
            <w:vAlign w:val="bottom"/>
          </w:tcPr>
          <w:p>
            <w:pPr>
              <w:spacing w:after="0"/>
              <w:rPr>
                <w:sz w:val="1"/>
                <w:szCs w:val="1"/>
                <w:color w:val="auto"/>
              </w:rPr>
            </w:pPr>
          </w:p>
        </w:tc>
      </w:tr>
      <w:tr>
        <w:trPr>
          <w:trHeight w:val="229"/>
        </w:trPr>
        <w:tc>
          <w:tcPr>
            <w:tcW w:w="7500" w:type="dxa"/>
            <w:vAlign w:val="bottom"/>
            <w:tcBorders>
              <w:left w:val="single" w:sz="8" w:color="CCEEFF"/>
              <w:bottom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0"/>
                <w:szCs w:val="20"/>
                <w:color w:val="auto"/>
                <w:vertAlign w:val="superscript"/>
              </w:rPr>
              <w:t>(1)</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68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0" w:type="dxa"/>
            <w:vAlign w:val="bottom"/>
            <w:tcBorders>
              <w:bottom w:val="single" w:sz="8" w:color="auto"/>
            </w:tcBorders>
            <w:gridSpan w:val="2"/>
            <w:vMerge w:val="continue"/>
          </w:tcPr>
          <w:p>
            <w:pPr>
              <w:spacing w:after="0"/>
              <w:rPr>
                <w:sz w:val="13"/>
                <w:szCs w:val="13"/>
                <w:color w:val="auto"/>
              </w:rPr>
            </w:pPr>
          </w:p>
        </w:tc>
        <w:tc>
          <w:tcPr>
            <w:tcW w:w="6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1,944,635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316,240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554,752</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 net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1,146,010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1,244,881</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Unsecured notes, net</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0" w:type="dxa"/>
            <w:vAlign w:val="bottom"/>
          </w:tcPr>
          <w:p>
            <w:pPr>
              <w:spacing w:after="0"/>
              <w:rPr>
                <w:sz w:val="1"/>
                <w:szCs w:val="1"/>
                <w:color w:val="auto"/>
              </w:rPr>
            </w:pPr>
          </w:p>
        </w:tc>
      </w:tr>
      <w:tr>
        <w:trPr>
          <w:trHeight w:val="157"/>
        </w:trPr>
        <w:tc>
          <w:tcPr>
            <w:tcW w:w="75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Senior obligations of consolidated securitization vehicles (includes $567,487 and $— at fair value as of December</w:t>
            </w:r>
          </w:p>
        </w:tc>
        <w:tc>
          <w:tcPr>
            <w:tcW w:w="180" w:type="dxa"/>
            <w:vAlign w:val="bottom"/>
          </w:tcPr>
          <w:p>
            <w:pPr>
              <w:spacing w:after="0"/>
              <w:rPr>
                <w:sz w:val="13"/>
                <w:szCs w:val="13"/>
                <w:color w:val="auto"/>
              </w:rPr>
            </w:pPr>
          </w:p>
        </w:tc>
        <w:tc>
          <w:tcPr>
            <w:tcW w:w="1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590,131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31, 2024 and December 31, 2023, respectively)</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50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Other liabilities (includes $251,096 and $259,392 at fair value as of December 31, 2024 and December 31, 2023,</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414,153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471,401</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153,164</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134,053</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105,531</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810,989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827,692</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4"/>
        </w:trPr>
        <w:tc>
          <w:tcPr>
            <w:tcW w:w="7500" w:type="dxa"/>
            <w:vAlign w:val="bottom"/>
            <w:tcBorders>
              <w:left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5,915,143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5,270,704</w:t>
            </w:r>
          </w:p>
        </w:tc>
        <w:tc>
          <w:tcPr>
            <w:tcW w:w="0" w:type="dxa"/>
            <w:vAlign w:val="bottom"/>
          </w:tcPr>
          <w:p>
            <w:pPr>
              <w:spacing w:after="0"/>
              <w:rPr>
                <w:sz w:val="1"/>
                <w:szCs w:val="1"/>
                <w:color w:val="auto"/>
              </w:rPr>
            </w:pPr>
          </w:p>
        </w:tc>
      </w:tr>
      <w:tr>
        <w:trPr>
          <w:trHeight w:val="20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20)</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0"/>
        </w:trPr>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40"/>
        </w:trPr>
        <w:tc>
          <w:tcPr>
            <w:tcW w:w="7500" w:type="dxa"/>
            <w:vAlign w:val="bottom"/>
            <w:tcBorders>
              <w:top w:val="single" w:sz="8" w:color="CCEEFF"/>
              <w:left w:val="single" w:sz="8" w:color="CCEEFF"/>
            </w:tcBorders>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Limited partner interests in SLGOP (4,510 and 3,949 limited partner common units outstanding at December 31,</w:t>
            </w:r>
          </w:p>
        </w:tc>
        <w:tc>
          <w:tcPr>
            <w:tcW w:w="1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288,941</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and 2023, 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units and redeemable equity</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196,064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166,501</w:t>
            </w:r>
          </w:p>
        </w:tc>
        <w:tc>
          <w:tcPr>
            <w:tcW w:w="0" w:type="dxa"/>
            <w:vAlign w:val="bottom"/>
          </w:tcPr>
          <w:p>
            <w:pPr>
              <w:spacing w:after="0"/>
              <w:rPr>
                <w:sz w:val="1"/>
                <w:szCs w:val="1"/>
                <w:color w:val="auto"/>
              </w:rPr>
            </w:pPr>
          </w:p>
        </w:tc>
      </w:tr>
      <w:tr>
        <w:trPr>
          <w:trHeight w:val="171"/>
        </w:trPr>
        <w:tc>
          <w:tcPr>
            <w:tcW w:w="7500" w:type="dxa"/>
            <w:vAlign w:val="bottom"/>
            <w:tcBorders>
              <w:left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520" w:type="dxa"/>
            <w:vAlign w:val="bottom"/>
            <w:tcBorders>
              <w:left w:val="single" w:sz="8" w:color="CCEEFF"/>
            </w:tcBorders>
            <w:shd w:val="clear" w:color="auto" w:fill="000000"/>
          </w:tcPr>
          <w:p>
            <w:pPr>
              <w:spacing w:after="0"/>
              <w:rPr>
                <w:sz w:val="3"/>
                <w:szCs w:val="3"/>
                <w:color w:val="auto"/>
              </w:rPr>
            </w:pPr>
          </w:p>
        </w:tc>
        <w:tc>
          <w:tcPr>
            <w:tcW w:w="69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SLGOP partners' capital:</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500" w:type="dxa"/>
            <w:vAlign w:val="bottom"/>
            <w:tcBorders>
              <w:left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Series I Preferred Units, $25.00 liquidation preference, 9,200 issued and outstanding at both December 31, 2024 and</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0"/>
        </w:trPr>
        <w:tc>
          <w:tcPr>
            <w:tcW w:w="5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5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SL Green partners' capital (756 and 687 general partner common units, and 70,341 and 64,039 limited partner</w:t>
            </w: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3,711,172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3,546,906</w:t>
            </w:r>
          </w:p>
        </w:tc>
        <w:tc>
          <w:tcPr>
            <w:tcW w:w="0" w:type="dxa"/>
            <w:vAlign w:val="bottom"/>
          </w:tcPr>
          <w:p>
            <w:pPr>
              <w:spacing w:after="0"/>
              <w:rPr>
                <w:sz w:val="1"/>
                <w:szCs w:val="1"/>
                <w:color w:val="auto"/>
              </w:rPr>
            </w:pPr>
          </w:p>
        </w:tc>
      </w:tr>
      <w:tr>
        <w:trPr>
          <w:trHeight w:val="20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units outstanding at December 31, 2024 and 2023, respectively)</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18,196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0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SLGOP partners' capital</w:t>
            </w:r>
          </w:p>
        </w:tc>
        <w:tc>
          <w:tcPr>
            <w:tcW w:w="180" w:type="dxa"/>
            <w:vAlign w:val="bottom"/>
          </w:tcPr>
          <w:p>
            <w:pPr>
              <w:spacing w:after="0"/>
              <w:rPr>
                <w:sz w:val="17"/>
                <w:szCs w:val="17"/>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3,951,300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3,786,315</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118,651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69,610</w:t>
            </w:r>
          </w:p>
        </w:tc>
        <w:tc>
          <w:tcPr>
            <w:tcW w:w="0" w:type="dxa"/>
            <w:vAlign w:val="bottom"/>
          </w:tcPr>
          <w:p>
            <w:pPr>
              <w:spacing w:after="0"/>
              <w:rPr>
                <w:sz w:val="1"/>
                <w:szCs w:val="1"/>
                <w:color w:val="auto"/>
              </w:rPr>
            </w:pPr>
          </w:p>
        </w:tc>
      </w:tr>
      <w:tr>
        <w:trPr>
          <w:trHeight w:val="202"/>
        </w:trPr>
        <w:tc>
          <w:tcPr>
            <w:tcW w:w="7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4,069,951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3,855,925</w:t>
            </w:r>
          </w:p>
        </w:tc>
        <w:tc>
          <w:tcPr>
            <w:tcW w:w="0" w:type="dxa"/>
            <w:vAlign w:val="bottom"/>
          </w:tcPr>
          <w:p>
            <w:pPr>
              <w:spacing w:after="0"/>
              <w:rPr>
                <w:sz w:val="1"/>
                <w:szCs w:val="1"/>
                <w:color w:val="auto"/>
              </w:rPr>
            </w:pPr>
          </w:p>
        </w:tc>
      </w:tr>
      <w:tr>
        <w:trPr>
          <w:trHeight w:val="229"/>
        </w:trPr>
        <w:tc>
          <w:tcPr>
            <w:tcW w:w="750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0" w:right="20" w:firstLine="2"/>
        <w:spacing w:after="0" w:line="217" w:lineRule="auto"/>
        <w:tabs>
          <w:tab w:leader="none" w:pos="22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$236.7 million and $41.2 million of land, $159.1 million and $40.5 million of building and improvements, $</w:t>
      </w:r>
    </w:p>
    <w:p>
      <w:pPr>
        <w:jc w:val="both"/>
        <w:ind w:left="20" w:right="20"/>
        <w:spacing w:after="0" w:line="21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million and $— million of building and leasehold improvements, $— million and $— million of right of use assets, $4.1 million and $5.4 million of accumulated depreciation, 709.1 million and — million of real estate loans held by consolidated securitization vehicles, $830.3 million and $676.9 million of other assets included in other line items, $357.9 million and $50.0 million of real estate debt, net, $1.1 million and $0.9 million of accrued interest payable, $— million and $— million of lease liabilities, 590.1 million and — million of senior obligations of consolidated securitization vehicles and $324.8 million and $306.5 million of other liabilities included in other line items as of December 31, 2024 and December 31, 2023,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574040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605,999</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683,335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671,500</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133,214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89,048</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24,353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103,726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886,272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913,710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919,454</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expenses, including related party expenses of $7 in 2024, $5 in 2023 and $5,701 in</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189,598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174,063</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128,187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111,739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147,220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207,443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85,187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93,798</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916,181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990,296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838,752</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(84,485)</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SLGOP</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22,507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(83,868)</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Perpetual preferred unit dividends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w:t>
            </w: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7,557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(98,818)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unit</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0.04</w:t>
            </w:r>
          </w:p>
        </w:tc>
        <w:tc>
          <w:tcPr>
            <w:tcW w:w="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unit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0.04</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units outstanding</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68,736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and common unit equivalents outstanding</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69,605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574040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0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w:t>
            </w:r>
          </w:p>
        </w:tc>
        <w:tc>
          <w:tcPr>
            <w:tcW w:w="10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103,629</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derivative instruments</w:t>
            </w:r>
          </w:p>
        </w:tc>
        <w:tc>
          <w:tcPr>
            <w:tcW w:w="10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(decrease) in unrealized value of marketable securities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102,189</w:t>
            </w:r>
          </w:p>
        </w:tc>
        <w:tc>
          <w:tcPr>
            <w:tcW w:w="0" w:type="dxa"/>
            <w:vAlign w:val="bottom"/>
          </w:tcPr>
          <w:p>
            <w:pPr>
              <w:spacing w:after="0"/>
              <w:rPr>
                <w:sz w:val="1"/>
                <w:szCs w:val="1"/>
                <w:color w:val="auto"/>
              </w:rPr>
            </w:pPr>
          </w:p>
        </w:tc>
      </w:tr>
      <w:tr>
        <w:trPr>
          <w:trHeight w:val="20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31,092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25,886</w:t>
            </w:r>
          </w:p>
        </w:tc>
        <w:tc>
          <w:tcPr>
            <w:tcW w:w="0" w:type="dxa"/>
            <w:vAlign w:val="bottom"/>
          </w:tcPr>
          <w:p>
            <w:pPr>
              <w:spacing w:after="0"/>
              <w:rPr>
                <w:sz w:val="1"/>
                <w:szCs w:val="1"/>
                <w:color w:val="auto"/>
              </w:rPr>
            </w:pPr>
          </w:p>
        </w:tc>
      </w:tr>
      <w:tr>
        <w:trPr>
          <w:trHeight w:val="21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SLGOP</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31,869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782320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Consolidated Statements of Capital</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10"/>
          </w:tcPr>
          <w:p>
            <w:pPr>
              <w:ind w:left="56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2"/>
                <w:szCs w:val="12"/>
                <w:b w:val="1"/>
                <w:bCs w:val="1"/>
                <w:color w:val="auto"/>
              </w:rPr>
              <w:t>Partners' Interest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2"/>
                <w:szCs w:val="12"/>
                <w:b w:val="1"/>
                <w:bCs w:val="1"/>
                <w:color w:val="auto"/>
              </w:rPr>
              <w:t>Series I</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40" w:type="dxa"/>
            <w:vAlign w:val="bottom"/>
          </w:tcPr>
          <w:p>
            <w:pPr>
              <w:spacing w:after="0"/>
              <w:rPr>
                <w:sz w:val="9"/>
                <w:szCs w:val="9"/>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Unitholders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60" w:type="dxa"/>
            <w:vAlign w:val="bottom"/>
          </w:tcPr>
          <w:p>
            <w:pPr>
              <w:spacing w:after="0"/>
              <w:rPr>
                <w:sz w:val="15"/>
                <w:szCs w:val="15"/>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64,105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4,589,702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(46,758)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13,377</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4,778,253</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(76,952)</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(29,817)</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96,362</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Measurement adjustment for redeemable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32,034</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units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(151,197)</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special distribution paid in units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160,620</w:t>
            </w:r>
          </w:p>
        </w:tc>
        <w:tc>
          <w:tcPr>
            <w:tcW w:w="0" w:type="dxa"/>
            <w:vAlign w:val="bottom"/>
          </w:tcPr>
          <w:p>
            <w:pPr>
              <w:spacing w:after="0"/>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($3.6896 per common unit, none of which represented a return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64,380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4,313,497</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61,889</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4,646,922</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(569,127)</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Measurement adjustment for redeemable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35,573</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0" w:type="dxa"/>
            <w:vAlign w:val="bottom"/>
          </w:tcPr>
          <w:p>
            <w:pPr>
              <w:spacing w:after="0"/>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($3.2288 per common unit, none of which represented a return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64,726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3,546,906</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17,477</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69,610</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3,855,925</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21,082</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(9,216)</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52,308</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Conversion of common units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Measurement adjustment for redeemable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26,848</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386,790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Consolidation of partially owned entity</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0" w:type="dxa"/>
            <w:vAlign w:val="bottom"/>
          </w:tcPr>
          <w:p>
            <w:pPr>
              <w:spacing w:after="0"/>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($3.0075 per common unit, none of which represented a return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0" w:type="dxa"/>
            <w:vAlign w:val="bottom"/>
          </w:tcPr>
          <w:p>
            <w:pPr>
              <w:spacing w:after="0"/>
              <w:rPr>
                <w:sz w:val="1"/>
                <w:szCs w:val="1"/>
                <w:color w:val="auto"/>
              </w:rPr>
            </w:pPr>
          </w:p>
        </w:tc>
      </w:tr>
      <w:tr>
        <w:trPr>
          <w:trHeight w:val="170"/>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221,932</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71,097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3,711,172</w:t>
            </w:r>
          </w:p>
        </w:tc>
        <w:tc>
          <w:tcPr>
            <w:tcW w:w="10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18,196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118,651</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4,069,951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657225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214,062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223,984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57,958</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84,485</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46,219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18,332</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02"/>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129,595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276,088</w:t>
            </w:r>
          </w:p>
        </w:tc>
      </w:tr>
      <w:tr>
        <w:trPr>
          <w:trHeight w:val="20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(64,491)</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(300,770)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161,474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729,025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restricted cash assumed from acquisition and consolidation of real estate investment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or redemption of debt and preferred equity investments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63,496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181,293</w:t>
            </w:r>
          </w:p>
        </w:tc>
      </w:tr>
      <w:tr>
        <w:trPr>
          <w:trHeight w:val="204"/>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118,753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171,345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425,805</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381,980</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(292,364)</w:t>
            </w:r>
          </w:p>
        </w:tc>
      </w:tr>
      <w:tr>
        <w:trPr>
          <w:trHeight w:val="978"/>
        </w:trPr>
        <w:tc>
          <w:tcPr>
            <w:tcW w:w="7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senior unsecured notes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1,170,000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1,524,000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senior unsecured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(1,864,000)</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52,308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units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units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on common and preferred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(278,408)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obligation related to secured borrowing</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77,874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(8,098)</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(252,229)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(449,383)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(654,823)</w:t>
            </w:r>
          </w:p>
        </w:tc>
      </w:tr>
      <w:tr>
        <w:trPr>
          <w:trHeight w:val="20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47,070</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335,519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336,984</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384,054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5"/>
        </w:trPr>
        <w:tc>
          <w:tcPr>
            <w:tcW w:w="7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200,752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169,519</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9,001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w:t>
            </w:r>
          </w:p>
        </w:tc>
      </w:tr>
      <w:tr>
        <w:trPr>
          <w:trHeight w:val="250"/>
        </w:trPr>
        <w:tc>
          <w:tcPr>
            <w:tcW w:w="7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preferred equity investment for real estate or equity in joint venture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of debt investment for real estate or equity in joint venture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193,995</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 of mortgage and mezzanine loans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1,712,750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special distribution paid in units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160,620</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 and capital expenditures payable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107,632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50,377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Deconsolidation of a subsidiary</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 debt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Extinguishment of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46,835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by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Recognition of right of use assets and related lease liabilities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977"/>
        </w:trPr>
        <w:tc>
          <w:tcPr>
            <w:tcW w:w="7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December 2024, the Company declared a regular monthly distribution per share of $0.2575 that was paid in cash. This distribution was paid in January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In December 2023, the Company declared a regular monthly distribution per share of $0.2500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In December 2022, the Company declared a regular monthly distribution per share of $0.2708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10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4"/>
        </w:trPr>
        <w:tc>
          <w:tcPr>
            <w:tcW w:w="7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203,273</w:t>
            </w:r>
          </w:p>
        </w:tc>
      </w:tr>
      <w:tr>
        <w:trPr>
          <w:trHeight w:val="20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180,781</w:t>
            </w:r>
          </w:p>
        </w:tc>
      </w:tr>
      <w:tr>
        <w:trPr>
          <w:trHeight w:val="204"/>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S.L. Green Management Corp, or the Service Corporation. All of the management, leasing and construction services that are provided to the properties that are wholly owned by us and that are provided to certain joint ventures are conducted through SL Green Management LLC and S.L. Green Management Corp., respectively, which are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74"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Substantially all of our assets are held by, and all of our operations are conducted through, the Operating Partnership. The Company is the sole managing general partner of the Operating Partnership. As of December 31, 2024, noncontrolling investors held, in the aggregate, a 5.97%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2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On December 31, 2024, we owned the following interests in properties in the New York metropolitan area, primarily in midtown Manhattan. Our investments located outside of Manhattan are referred to as the Suburban properties: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40" w:type="dxa"/>
            <w:vAlign w:val="bottom"/>
          </w:tcPr>
          <w:p>
            <w:pPr>
              <w:spacing w:after="0"/>
              <w:rPr>
                <w:sz w:val="16"/>
                <w:szCs w:val="16"/>
                <w:color w:val="auto"/>
              </w:rPr>
            </w:pPr>
          </w:p>
        </w:tc>
        <w:tc>
          <w:tcPr>
            <w:tcW w:w="1340" w:type="dxa"/>
            <w:vAlign w:val="bottom"/>
            <w:gridSpan w:val="2"/>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2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19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80" w:type="dxa"/>
            <w:vAlign w:val="bottom"/>
            <w:gridSpan w:val="2"/>
            <w:vMerge w:val="continue"/>
          </w:tcPr>
          <w:p>
            <w:pPr>
              <w:spacing w:after="0"/>
              <w:rPr>
                <w:sz w:val="12"/>
                <w:szCs w:val="12"/>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Leased</w:t>
            </w:r>
          </w:p>
        </w:tc>
        <w:tc>
          <w:tcPr>
            <w:tcW w:w="0" w:type="dxa"/>
            <w:vAlign w:val="bottom"/>
          </w:tcPr>
          <w:p>
            <w:pPr>
              <w:spacing w:after="0"/>
              <w:rPr>
                <w:sz w:val="1"/>
                <w:szCs w:val="1"/>
                <w:color w:val="auto"/>
              </w:rPr>
            </w:pPr>
          </w:p>
        </w:tc>
      </w:tr>
      <w:tr>
        <w:trPr>
          <w:trHeight w:val="144"/>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4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Square Feet</w:t>
            </w:r>
          </w:p>
        </w:tc>
        <w:tc>
          <w:tcPr>
            <w:tcW w:w="24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Occupancy</w:t>
            </w:r>
            <w:r>
              <w:rPr>
                <w:rFonts w:ascii="Times New Roman" w:cs="Times New Roman" w:eastAsia="Times New Roman" w:hAnsi="Times New Roman"/>
                <w:sz w:val="10"/>
                <w:szCs w:val="10"/>
                <w:b w:val="1"/>
                <w:bCs w:val="1"/>
                <w:color w:val="auto"/>
                <w:w w:val="99"/>
              </w:rPr>
              <w:t>(1)</w:t>
            </w:r>
          </w:p>
        </w:tc>
        <w:tc>
          <w:tcPr>
            <w:tcW w:w="0" w:type="dxa"/>
            <w:vAlign w:val="bottom"/>
          </w:tcPr>
          <w:p>
            <w:pPr>
              <w:spacing w:after="0"/>
              <w:rPr>
                <w:sz w:val="1"/>
                <w:szCs w:val="1"/>
                <w:color w:val="auto"/>
              </w:rPr>
            </w:pPr>
          </w:p>
        </w:tc>
      </w:tr>
      <w:tr>
        <w:trPr>
          <w:trHeight w:val="191"/>
        </w:trPr>
        <w:tc>
          <w:tcPr>
            <w:tcW w:w="980" w:type="dxa"/>
            <w:vAlign w:val="bottom"/>
            <w:vMerge w:val="continue"/>
          </w:tcPr>
          <w:p>
            <w:pPr>
              <w:spacing w:after="0"/>
              <w:rPr>
                <w:sz w:val="16"/>
                <w:szCs w:val="16"/>
                <w:color w:val="auto"/>
              </w:rPr>
            </w:pPr>
          </w:p>
        </w:tc>
        <w:tc>
          <w:tcPr>
            <w:tcW w:w="19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4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Buildings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195"/>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9,587,441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12,175,149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21,762,590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880,771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1,385,484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2,266,255</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7"/>
        </w:trPr>
        <w:tc>
          <w:tcPr>
            <w:tcW w:w="9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10,498,708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24,072,287</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0" w:type="dxa"/>
            <w:vAlign w:val="bottom"/>
          </w:tcPr>
          <w:p>
            <w:pPr>
              <w:spacing w:after="0"/>
              <w:rPr>
                <w:sz w:val="1"/>
                <w:szCs w:val="1"/>
                <w:color w:val="auto"/>
              </w:rPr>
            </w:pPr>
          </w:p>
        </w:tc>
      </w:tr>
      <w:tr>
        <w:trPr>
          <w:trHeight w:val="197"/>
        </w:trPr>
        <w:tc>
          <w:tcPr>
            <w:tcW w:w="294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11,361,508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24,935,087</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91.8 %</w:t>
            </w:r>
          </w:p>
        </w:tc>
        <w:tc>
          <w:tcPr>
            <w:tcW w:w="0" w:type="dxa"/>
            <w:vAlign w:val="bottom"/>
          </w:tcPr>
          <w:p>
            <w:pPr>
              <w:spacing w:after="0"/>
              <w:rPr>
                <w:sz w:val="1"/>
                <w:szCs w:val="1"/>
                <w:color w:val="auto"/>
              </w:rPr>
            </w:pPr>
          </w:p>
        </w:tc>
      </w:tr>
      <w:tr>
        <w:trPr>
          <w:trHeight w:val="171"/>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99.1 %</w:t>
            </w:r>
          </w:p>
        </w:tc>
        <w:tc>
          <w:tcPr>
            <w:tcW w:w="0" w:type="dxa"/>
            <w:vAlign w:val="bottom"/>
          </w:tcPr>
          <w:p>
            <w:pPr>
              <w:spacing w:after="0"/>
              <w:rPr>
                <w:sz w:val="1"/>
                <w:szCs w:val="1"/>
                <w:color w:val="auto"/>
              </w:rPr>
            </w:pPr>
          </w:p>
        </w:tc>
      </w:tr>
      <w:tr>
        <w:trPr>
          <w:trHeight w:val="190"/>
        </w:trPr>
        <w:tc>
          <w:tcPr>
            <w:tcW w:w="29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11,501,890</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13,795,463</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25,297,353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9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Alternative Strategy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Portfolio</w:t>
            </w: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00" w:hanging="395"/>
        <w:spacing w:after="0" w:line="266" w:lineRule="auto"/>
        <w:tabs>
          <w:tab w:leader="none" w:pos="3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feet divided by total square footage at acquisition. The weighted average leased occupancy for residential properties represents the total leased units divided by total available units. Properties under construction are not included in the calculation of weighted average leased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549275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69" w:lineRule="exact"/>
        <w:rPr>
          <w:sz w:val="20"/>
          <w:szCs w:val="20"/>
          <w:color w:val="auto"/>
        </w:rPr>
      </w:pPr>
    </w:p>
    <w:p>
      <w:pPr>
        <w:jc w:val="both"/>
        <w:ind w:left="400" w:hanging="395"/>
        <w:spacing w:after="0" w:line="270" w:lineRule="auto"/>
        <w:tabs>
          <w:tab w:leader="none" w:pos="3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we owned a building at 7 Dey Street / 185 Broadway that was comprised of approximately 140,382 square feet (unaudited) of residential space and approximately 50,206 square feet (unaudited)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we also managed one office building and one retail building owned by a third party encompassing approximately 0.4 million square feet (unaudited), and held debt and preferred equity investments with a book value of $303.7 million, excluding debt and preferred equity investments and other financing receivables totaling $9.7 million that are included in balance sheet line items other than the Debt and preferred equity investments line item.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Partnership Agreement</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January 2025, the Company closed on the acquisition of 500 Park Avenue for a gross asset valuation of $130.0 million. The Company financed the acquisition with a new $80.0 million mortgage. The mortgage has a term of up to 5 years, as fully extended, and bears interest at a floating rate of 2.40% over Term SOFR, which the Company has swapped to a fixed rate of 6.57% through February 2028.</w:t>
      </w:r>
    </w:p>
    <w:p>
      <w:pPr>
        <w:spacing w:after="0" w:line="55" w:lineRule="exact"/>
        <w:rPr>
          <w:sz w:val="20"/>
          <w:szCs w:val="20"/>
          <w:color w:val="auto"/>
        </w:rPr>
      </w:pPr>
    </w:p>
    <w:p>
      <w:pPr>
        <w:ind w:right="8740" w:firstLine="5"/>
        <w:spacing w:after="0" w:line="387" w:lineRule="auto"/>
        <w:tabs>
          <w:tab w:leader="none" w:pos="175"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Principles of Consolidation</w:t>
      </w:r>
    </w:p>
    <w:p>
      <w:pPr>
        <w:spacing w:after="0" w:line="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include our accounts and those of our subsidiaries, which are wholly owned or controlled by us. Entities which we have significant influence, but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 noncontrolling interest in a consolidated subsidiary is defined as the portion of the equity (net assets) in a subsidiary not attributable, directly or indirectly, to us. Noncontrolling interests are required to be presented as a separate component of equity in the consolidated balance sheet and the presentation of net income is modified to present earnings and other comprehensive income (loss) attributed to controlling and noncontrolling interests.</w:t>
      </w:r>
    </w:p>
    <w:p>
      <w:pPr>
        <w:spacing w:after="0" w:line="57"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We assess the accounting treatment for each joint venture and debt and preferred equity investment. This assessment includes a review of each joint venture or limited liability company agreement to determine the rights provided to each party and whether those rights are protective or participating. For all VIEs, we review such agreements in order to determine which party has the power to direct the activities that most significantly impact the entity's economic performance. In situations where we and our partner approve, among other things, the annual budget, receive a detailed monthly reporting package, meet on a quarterly basis to review the results of the joint venture, review and approve the joint venture's tax return before filing, and approve all leases that cover more than a nominal amount of space relative to the total rentable space at each property, we do not consolidate the joint venture as we consider these to be substantive participation rights that result in shared power of the activities that most significantly impact the performance of the joint venture. Our joint venture agreements typically contain certain protective rights such as requiring partner approval to sell, finance or refinance the property and the payment of capital expenditures and operating expenditures outside of the approved budget or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611505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Commercial Real Estate Properties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Real estate properties are presented at cost less accumulated depreciation and amortization. Costs directly related to the development or redevelopment of properties are capitalized. Ordinary repairs and maintenance are expensed as incurred; major replacements and betterments, which improve or extend the life of the asset, are capitalized and depreciated over their estimated useful lives.</w:t>
      </w:r>
    </w:p>
    <w:p>
      <w:pPr>
        <w:spacing w:after="0" w:line="57"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recognize the assets acquired, liabilities assumed (including contingencies) and any noncontrolling interests in an acquired entity at their respective fair values on the acquisition date. When we acquire our partner's equity interest in an existing unconsolidated joint venture and gain control over the investment, we record the consolidated investment at fair value. The difference between the book value of our equity investment on the purchase date and our share of the fair value of the investment's purchase price is recorded as a purchase price fair value adjustment in our consolidated statements of operations. See Note 3, "Property Acquisitions."</w:t>
      </w:r>
    </w:p>
    <w:p>
      <w:pPr>
        <w:spacing w:after="0" w:line="67"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Origination costs are amortized as an expense over the remaining life of the lease and tenant improvements are amortized over the shorter of the remaining life of the lease or useful life of improvement (or charged against earnings if the lease is terminated prior to its contractual expiration date). When allocating the purchase price of real estate,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 As of December 31, 2024, the weighted average amortization period for above-market leases, below-market leases, and in-place lease costs is 10.0 years, 12.1 years, and 8.9 years, respectively.</w:t>
      </w:r>
    </w:p>
    <w:p>
      <w:pPr>
        <w:spacing w:after="0" w:line="77"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iv) the present value of the lease payments equals or exceeds substantially all of the fair value of the underlying asset, or v) the underlying asset is of such a specialized nature that it is expected to have no alternative use to the lessor at the end of the lease term.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744220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We incur a variety of costs in the development and leasing of our properties. After the determination is made to capitalize a cost, it is allocated to the specific component of a project that is benefited. Determination of when a development project is substantially complete and capitalization must cease involves a degree of judgment. The costs of land and building under development include specifically identifiable costs. The capitalized costs include, but are not limited to,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after major construction activity ceases. We cease capitalization on the portions substantially completed and occupied or held available for occupancy, and capitalize only those costs associated with the portions under construction.</w:t>
      </w:r>
    </w:p>
    <w:p>
      <w:pPr>
        <w:spacing w:after="0" w:line="6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Properties other than Right of use assets - operating leases are depreciated using the straight-line method over the estimated useful lives of the assets. The estimated useful lives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r>
      <w:tr>
        <w:trPr>
          <w:trHeight w:val="205"/>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(fee ownership)</w:t>
            </w:r>
          </w:p>
        </w:tc>
        <w:tc>
          <w:tcPr>
            <w:tcW w:w="100" w:type="dxa"/>
            <w:vAlign w:val="bottom"/>
            <w:tcBorders>
              <w:top w:val="single" w:sz="8" w:color="CCEEFF"/>
            </w:tcBorders>
            <w:shd w:val="clear" w:color="auto" w:fill="CCEEFF"/>
          </w:tcPr>
          <w:p>
            <w:pPr>
              <w:spacing w:after="0"/>
              <w:rPr>
                <w:sz w:val="17"/>
                <w:szCs w:val="17"/>
                <w:color w:val="auto"/>
              </w:rPr>
            </w:pPr>
          </w:p>
        </w:tc>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years</w:t>
            </w:r>
          </w:p>
        </w:tc>
      </w:tr>
      <w:tr>
        <w:trPr>
          <w:trHeight w:val="20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Building improvements</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shorter of remaining life of the building or useful life</w:t>
            </w:r>
          </w:p>
        </w:tc>
      </w:tr>
      <w:tr>
        <w:trPr>
          <w:trHeight w:val="212"/>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interest)</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lesser of 40 years or remaining term of the lease</w:t>
            </w:r>
          </w:p>
        </w:tc>
      </w:tr>
      <w:tr>
        <w:trPr>
          <w:trHeight w:val="20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Right of use assets - financing leases</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lesser of 40 years or remaining term of the lease</w:t>
            </w:r>
          </w:p>
        </w:tc>
      </w:tr>
      <w:tr>
        <w:trPr>
          <w:trHeight w:val="212"/>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 to 7 years</w:t>
            </w:r>
          </w:p>
        </w:tc>
      </w:tr>
      <w:tr>
        <w:trPr>
          <w:trHeight w:val="20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shorter of remaining term of the lease or useful life</w:t>
            </w:r>
          </w:p>
        </w:tc>
      </w:tr>
    </w:tbl>
    <w:p>
      <w:pPr>
        <w:spacing w:after="0" w:line="18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Right of use assets - operating leases are amortized over the remaining lease term. The amortization is made up of the principal amortization under the lease liability plus or minus the straight-line adjustment of the operating lease rent under ASC 842.</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Depreciation expense (including amortization of right of use assets - financing leases) totaled $183.9 million, $221.0 million, and $190.1 million for the years ended December 31, 2024, 2023 and 2022, respectively.</w:t>
      </w:r>
    </w:p>
    <w:p>
      <w:pPr>
        <w:spacing w:after="0" w:line="4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Properties are individually evaluated for impairment quarterly or whenever events or changes in circumstances indicate that the carrying amount may not be recoverable. A consolidated property's value is considered impaired if management's estimate of the aggregate future cash flows (undiscounted) and terminal value to be generated by the property is less than the carrying value of the property taking into account the appropriate capitalization rate in determining the future terminal value. To the extent impairment has occurred, the loss will be measured as the excess of the carrying amount of the property over the fair value of the property as calculated in accordance with Accounting Standards Codification, or ASC 820. We also evaluate our real estate consolidated properties for impairment when a property has been classified as held for sale. Real estate assets held for sale are valued at the lower of their carrying value or fair value less costs to sell and depreciation expense is no longer recorded.</w:t>
      </w:r>
    </w:p>
    <w:p>
      <w:pPr>
        <w:spacing w:after="0" w:line="68"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April 2024, the Company entered into an agreement to sell the property at 719 Seventh Avenue for $30.5 million. As a result of the pending sale, the Company recorded a $46.3 million charge to reduce the carrying value of its investment to the contracted purchase price for the three months ended March 31, 2024, which is included in Depreciable real estate reserves and impairments in the consolidated statements of operations. The transaction closed during the second quarter of 2024. See Note 4, "Properties Held for Sale and Property Dispositions."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the Company recorded a $17.6 million charge, reflective of $15.1 million of capitalized interest, to reduce the carrying value of the residential condominium units at 760 Madison Avenue, based on the total of the sales contracts that the Company entered into for these units. This charge is included in Depreciable real estate reserves and impairments in the consolidated statements of operations. The remaining transactions are expected to close during the first quarter of 2025. See Note 4, "Properties Held for Sale and Property Dispositions."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through a series of transactions, the Company reduced its ownership interest in 690 Madison Avenue to 90.0% and repaid the previous $60.9 million mortgage on the property for a net payment of $32.1 million. As a result of the transactions, the Company assessed the property for recoverability and recorded a $34.3 million charge to write down the carrying value of the investment, which is included in Depreciable real estate reserves and impairments in the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606425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2024, we recognized a reduction of rental revenue of ($2.6 million) for the amortization of aggregate above-market leases in excess of below-market leases resulting from the allocation of the purchase price of the applicable properties. For the years ended December 31, 2023 and 2022, we recognized $14.2 million and $5.7 million, respectively, of rental revenue for the amortization of aggregate below-market leases in excess of above-market leases.</w:t>
      </w:r>
    </w:p>
    <w:p>
      <w:pPr>
        <w:spacing w:after="0" w:line="27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summarizes our identified intangible assets (acquired above-market leases and in-place leases) and intangible liabilities (acquired below-market leases) as of December 31, 2024 and 2023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Identified intangible assets (included in other assets):</w:t>
            </w:r>
          </w:p>
        </w:tc>
        <w:tc>
          <w:tcPr>
            <w:tcW w:w="2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378,277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189,680</w:t>
            </w: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(197,211)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(184,902)</w:t>
            </w:r>
          </w:p>
        </w:tc>
      </w:tr>
      <w:tr>
        <w:trPr>
          <w:trHeight w:val="204"/>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181,066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6"/>
        </w:trPr>
        <w:tc>
          <w:tcPr>
            <w:tcW w:w="7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Identified intangible liabilities (included in deferred revenue):</w:t>
            </w: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243,703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205,394</w:t>
            </w: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(204,092)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(202,089)</w:t>
            </w:r>
          </w:p>
        </w:tc>
      </w:tr>
      <w:tr>
        <w:trPr>
          <w:trHeight w:val="204"/>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39,611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estimated annual amortization of acquired above-market leases, net of acquired (below-market) leases (a component of rental revenue), for each of the five succeeding years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2026</w:t>
            </w:r>
          </w:p>
        </w:tc>
        <w:tc>
          <w:tcPr>
            <w:tcW w:w="5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2027</w:t>
            </w:r>
          </w:p>
        </w:tc>
        <w:tc>
          <w:tcPr>
            <w:tcW w:w="5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2028</w:t>
            </w:r>
          </w:p>
        </w:tc>
        <w:tc>
          <w:tcPr>
            <w:tcW w:w="5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2029</w:t>
            </w:r>
          </w:p>
        </w:tc>
        <w:tc>
          <w:tcPr>
            <w:tcW w:w="5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r>
    </w:tbl>
    <w:p>
      <w:pPr>
        <w:spacing w:after="0" w:line="16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estimated annual amortization of all other identifiable assets (a component of depreciation and amortization expense) including tenant improvements for each of the five succeeding years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2025</w:t>
            </w:r>
          </w:p>
        </w:tc>
        <w:tc>
          <w:tcPr>
            <w:tcW w:w="52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30,485</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2026</w:t>
            </w:r>
          </w:p>
        </w:tc>
        <w:tc>
          <w:tcPr>
            <w:tcW w:w="5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26,943</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2027</w:t>
            </w:r>
          </w:p>
        </w:tc>
        <w:tc>
          <w:tcPr>
            <w:tcW w:w="5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21,648</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2028</w:t>
            </w:r>
          </w:p>
        </w:tc>
        <w:tc>
          <w:tcPr>
            <w:tcW w:w="5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2029</w:t>
            </w:r>
          </w:p>
        </w:tc>
        <w:tc>
          <w:tcPr>
            <w:tcW w:w="5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15,008</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consider all highly liquid investments with maturity of three months or less when purchased to be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Restricted cash primarily consists of security deposits held on behalf of our tenants, interest reserves, as well as capital improvement and real estate tax escrows required under certain loan agreements.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See Note 16,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640715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Marketable Securities</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At acquisition, we designate a debt security as held-to-maturity, available-for-sale, or trading. As of December 31, 2024, we did not have any debt securities designated as trading. We account for our available-for-sale securities at fair value pursuant to ASC 820-10,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We account for our held-to-maturity securities at amortized cost basis. Credit losses for our debt securities are recognized in accordance with ASC 326. No allowance for loan losses were recognized for the years ended December 31, 2024, 2023 and 2022. We account for equity marketable securities at fair value pursuant to ASC 820-10, with the net unrealized gains or losses reported in net income.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we held the following marketable securities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available-for-sale</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17,323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r>
      <w:tr>
        <w:trPr>
          <w:trHeight w:val="20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held-to-maturity</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 in marketable securities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The cost basis of the available-for-sale commercial mortgage-backed securities ("CMBS") was $18.3 million and $11.5 million as of December 31, 2024 and 2023, respectively. These securities mature at various times through 2030. As of December 31, 2024, one security was in an unrealized gain position of $0.2 million with a fair market value of $5.5 million, and two securities were in an unrealized loss position of $1.5 million and fair market value of $11.8 million with one of the securities being in a continuous unrealized loss position for more than 12 months. All securities were in an unrealized loss position as of December 31, 2023 with an unrealized loss of $1.9 million and a fair market value of $9.6 million and were in a continuous unrealized loss position for more than 12 months. We do not intend to sell our other securities, and it is more likely than not that we will not be required to sell the investment before the recovery of their amortized cost basis.</w:t>
      </w:r>
    </w:p>
    <w:p>
      <w:pPr>
        <w:spacing w:after="0" w:line="28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cost basis of the held-to-maturity CMBS was $5.5 million as of December 31, 2024, and was purchased at a $0.2 million discount. We had no held-to-maturity CMBS as of December 31, 2023.</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did not dispose of any debt marketable securities during the years ended December 31, 2024 and December 31, 2023. During the year ended December 31, 2022, we received aggregate net proceeds of $7.8 million from the sale of one debt marketable security and $3.7 million from the repayment of one debt marketable security.</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held no equity marketable securities as of December 31, 2024 and December 31, 2023. During the year ended December 31, 2022, we sold the one equity marketable security that was held as of December 31, 2021 for which we received aggregate net proceeds of $4.2 million. We recognized $6.5 million of realized losses for the year ended December 31, 2022.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CMBS Securitization Trusts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may be contracted to provide special servicing activities for CMBS securitization trusts and, in certain cases, we may also acquire securities in these trusts. In certain cases, we may acquire the controlling class of the trust and we may have the right to designate, and remove, the special servicer for these trusts. These circumstances may result in our consolidating the securitization trusts on our financial statements. We evaluate all of our positions and special servicer appointments for consolidation, which are considered to be VIEs to the Company.</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As the special servicer, we provide services on defaulted loans within the trusts as permitted by the underlying contractual agreements. We receive a fee in exchange for these services. The rights provided to us as special servicer give us the ability to direct activities that could significantly impact the trust's economic performance, which requires consolidation of the securitization trust unless a third party has the right to unilaterally remove us as special servicer without cause. In such instances where we can be removed as special servicer without cause, we do not have the power to direct activities that most significantly impact the trust's economic performance and would not consolidate the securitization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607695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For CMBS securitization trusts in which we are determined to be the primary beneficiary, we consolidate the securitization trusts on our consolidated balance sheets. The consolidation of such securitization trusts results in a gross presentation of the underlying collateral loans as assets as well as the senior CMBS positions owned by third parties, which are presented as liabilities on our consolidated balance sheets. The assets of the consolidated securitization trust can only be used to satisfy the liabilities of that securitization and are not available to the Company for any other purpose. Additionally, the senior CMBS securitization trust obligations can only be satisfied through repayment of the underlying collateral loans as they do not have any recourse to the Company or our assets. The Company has not provided any guarantees with respect to the performance or repayment of the senior CMBS obligations.</w:t>
      </w:r>
    </w:p>
    <w:p>
      <w:pPr>
        <w:spacing w:after="0" w:line="69"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While consolidation of the securitization trust increases the gross presentation of our consolidated balance sheets, it does not impact the economic exposure or performance of the Company as it is limited to that of the actual investment in the CMBS securitization trust, and not the consolidated senior obligations.</w:t>
      </w: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we consolidated the following CMBS securitization trusts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4"/>
              </w:rPr>
              <w:t xml:space="preserve">Fair Value </w:t>
            </w:r>
            <w:r>
              <w:rPr>
                <w:rFonts w:ascii="Times New Roman" w:cs="Times New Roman" w:eastAsia="Times New Roman" w:hAnsi="Times New Roman"/>
                <w:sz w:val="20"/>
                <w:szCs w:val="20"/>
                <w:b w:val="1"/>
                <w:bCs w:val="1"/>
                <w:color w:val="auto"/>
                <w:w w:val="94"/>
                <w:vertAlign w:val="superscript"/>
              </w:rPr>
              <w:t>(1)</w:t>
            </w: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5"/>
              </w:rPr>
              <w:t>Principal Value</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4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Principal Value</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3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709,095</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894,000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spacing w:after="0"/>
              <w:rPr>
                <w:sz w:val="22"/>
                <w:szCs w:val="22"/>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2023 - 2024 </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590,131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688,346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CCEEFF"/>
            </w:tcBorders>
            <w:gridSpan w:val="3"/>
          </w:tcPr>
          <w:p>
            <w:pPr>
              <w:jc w:val="right"/>
              <w:ind w:right="160"/>
              <w:spacing w:after="0" w:line="209" w:lineRule="exact"/>
              <w:rPr>
                <w:sz w:val="20"/>
                <w:szCs w:val="20"/>
                <w:color w:val="auto"/>
              </w:rPr>
            </w:pPr>
            <w:r>
              <w:rPr>
                <w:rFonts w:ascii="Times New Roman" w:cs="Times New Roman" w:eastAsia="Times New Roman" w:hAnsi="Times New Roman"/>
                <w:sz w:val="16"/>
                <w:szCs w:val="16"/>
                <w:color w:val="auto"/>
              </w:rPr>
              <w:t xml:space="preserve">2023 - 2024 </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137"/>
        </w:trPr>
        <w:tc>
          <w:tcPr>
            <w:tcW w:w="43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Real estate loans held by consolidated securitization vehicles in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118,964</w:t>
            </w:r>
          </w:p>
        </w:tc>
        <w:tc>
          <w:tcPr>
            <w:tcW w:w="3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205,654</w:t>
            </w:r>
          </w:p>
        </w:tc>
        <w:tc>
          <w:tcPr>
            <w:tcW w:w="1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excess of senior obligations of consolidated securitization vehicles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$134.8 million and $34.2 million of assets and liabilities, respectively, for a loan that is on non-accrual and is accounted for on an amortized cost basis.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respective borrowers on the resolution of the past maturities.</w:t>
      </w:r>
    </w:p>
    <w:p>
      <w:pPr>
        <w:spacing w:after="0" w:line="103"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have elected to record the associated interest income and interest expense for these investments as separate line items on our consolidated statements of operations. The amounts recorded in Interest income from real estate loans held by consolidated securitization vehicles on our consolidated statements of operations include the Company's interest income as well as the interest income associated with CMBS positions owned by third parties, which is offset by the amounts recorded in Interest expense on senior obligations of consolidated securitization vehicles on our consolidated statements of operations. As a result, the net impact is limited to the interest income on the CMBS securities we own directly and not the gross consolidated interest income and interest expense.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Unconsolidated Joint Ventures</w:t>
      </w:r>
    </w:p>
    <w:p>
      <w:pPr>
        <w:spacing w:after="0" w:line="121"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We account for our investments in unconsolidated joint ventures under the equity method of accounting in cases where we exercise significant influence over, but do not control, these entities and are not considered to be the primary beneficiary. We consolidate those joint ventures that we control or which are variable interest entities (each, a "VIE") and where we are considered to be the primary beneficiary. In all these joint ventures, the rights of the joint venture partner are both protective as well as participating. In scenarios where we are determined to be the primary beneficiary in a VIE, these substantive participating rights held by our joint venture partner preclude us from consolidating these VIE entities. These investments are recorded initially at cost, as investments in unconsolidated joint ventures, and subsequently adjusted for equity in net income (loss) and cash contributions and distributions. Equity in net income (loss) from unconsolidated joint ventures is allocated based on our ownership or economic interest in each joint venture and includes adjustments related to basis differences in accounting for the investment. When a capital event (as defined in each joint venture agreement) such as a refinancing occurs, if return thresholds are met, future equity income will be allocated at our increased economic interest.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We generally finance our joint ventures with non-recourse debt. In certain cases we may provide guarantees or master leases, which terminate upon the satisfaction of specified circumstances or repayment of the underlying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6, "Investment in Unconsolidated Joint Ventures," we do not believe that the values of any of our equity investments were impaired at December 31, 2024.</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may originate loans for real estate acquisition, development and construction ("ADC loans"), where we expect to receive some of the residual profit from such projects. When the risk and rewards of these arrangements are essentially the same as an investor or joint venture partner, we account for these arrangements as real estate investments under the equity method of accounting for investments. Otherwise, we account for these arrangements consistent with the accounting for our debt and preferred equity investments.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Lease Costs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Deferred lease costs consist of incremental fees and direct costs that would not have been incurred if the lease had not been obtained and are amortized on a straight-line basis over the related lease term. Certain of our employees provide leasing services to the wholly owned properties. For the years ended December 31, 2024, 2023 and 2022, $8.5 million, $6.8 million, and $6.6 million of their compensation, respectively, was capitalized and is amortized over an estimated average lease term of seven years.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Financing Costs</w:t>
      </w:r>
    </w:p>
    <w:p>
      <w:pPr>
        <w:spacing w:after="0" w:line="121"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Deferred financing costs represent commitment fees, legal, title and other third party costs associated with obtaining commitments for financing which result in a closing of such financing. These costs are amortized over the terms of the respective agreements. Unamortized deferred financing costs are expensed when the associated debt is refinanced or repaid before maturity. Costs incurred in seeking financing transactions, which do not close, are expensed in the period in which it is determined that the financing will not close. Deferred financing costs related to a recognized debt liability are presented in the consolidated balance sheet as a direct deduction from the carrying amount of that debt liability.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Classification</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Rental revenue for operating leases is recognized on a straight-line basis over the term of the lease. Rental revenue recognition commences when the leased space is available for its intended use by the lessee.</w:t>
      </w:r>
    </w:p>
    <w:p>
      <w:pPr>
        <w:spacing w:after="0" w:line="41"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2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excess of rents recognized over amounts contractually due pursuant to the underlying leases are included in deferred rents receivable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591185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7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5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4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64"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7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Asset management fees are recognized on a straight-line basis over the term of the asset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640715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Revenues from the sale of SUMMIT tickets are recognized upon admission or ticket expirations. Deferred revenue related to unused and unexpired tickets as of December 31, 2024 and 2023 was $3.1 million and $2.6 million, respectively, and is included in Deferred revenue on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Preferred Equity Investments</w:t>
      </w:r>
    </w:p>
    <w:p>
      <w:pPr>
        <w:spacing w:after="0" w:line="121"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67"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7"/>
          <w:szCs w:val="17"/>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280"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2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6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expected amount to be collected.</w:t>
      </w:r>
    </w:p>
    <w:p>
      <w:pPr>
        <w:spacing w:after="0" w:line="6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Other financing receivables that are included in balance sheet line items other than the Debt and preferred equity investments line are also measured at the net amount expected to be collected.</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 Expense</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Rent expense is recognized on a straight-line basis over the initial term of the lease. The excess of the rent expense recognized over the amounts contractually due pursuant to the underlying lease is included in the lease liability - operating leases on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Underwriting Commissions and Costs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Underwriting commissions and costs incurred in connection with our stock offerings are reflected as a reduction of additional paid-in-capital.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Costs</w:t>
      </w:r>
    </w:p>
    <w:p>
      <w:pPr>
        <w:spacing w:after="0" w:line="108" w:lineRule="exact"/>
        <w:rPr>
          <w:sz w:val="20"/>
          <w:szCs w:val="20"/>
          <w:color w:val="auto"/>
        </w:rPr>
      </w:pPr>
    </w:p>
    <w:p>
      <w:pPr>
        <w:ind w:right="120" w:firstLine="629"/>
        <w:spacing w:after="0" w:line="281" w:lineRule="auto"/>
        <w:rPr>
          <w:sz w:val="20"/>
          <w:szCs w:val="20"/>
          <w:color w:val="auto"/>
        </w:rPr>
      </w:pPr>
      <w:r>
        <w:rPr>
          <w:rFonts w:ascii="Times New Roman" w:cs="Times New Roman" w:eastAsia="Times New Roman" w:hAnsi="Times New Roman"/>
          <w:sz w:val="17"/>
          <w:szCs w:val="17"/>
          <w:color w:val="auto"/>
        </w:rPr>
        <w:t>Transaction costs for real estate asset acquisitions are capitalized to the investment basis, which is then subject to a purchase price allocation based on relative fair value. Transaction costs for business combinations or costs incurred on potential transactions that are not consummated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2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5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state and local corporate tax liability for these entities. During the years ended December 31, 2024, 2023 and 2022, we recorded Federal, state and local tax provisions of $4.9 million, $8.2 million, and $3.7 million, respectively.</w:t>
      </w:r>
    </w:p>
    <w:p>
      <w:pPr>
        <w:spacing w:after="0" w:line="6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SUMMIT is held in a TRS and pays Federal, state, and local taxes. During the years ended December 31, 2024, 2023 and 2022, we recorded Federal, state and local tax expense for SUMMIT of $0.7 million, $9.2 million, and $2.6 million, respectively.</w:t>
      </w:r>
    </w:p>
    <w:p>
      <w:pPr>
        <w:spacing w:after="0" w:line="4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2024, the Company paid distributions on its common stock of $3.16 per share which represented $0.23 per share of ordinary income and $2.93 per share of capital gains. For the year ended December 31, 2023, the Company paid distributions on its common stock of $3.25 per share which represented $0.00 per share of ordinary income, and $3.25 per share of capital gains. For the year ended December 31, 2022, the Company paid distributions on its common stock of $6.17 per share which represented $2.56 per share of ordinary income and $1.17 per share of capital gains.</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Based Employee Compensation Plans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have a stock-based employee compensation plan, described more fully in Note 14, "Share-based Compensation."</w:t>
      </w:r>
    </w:p>
    <w:p>
      <w:pPr>
        <w:spacing w:after="0" w:line="119"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For share-based awards with a performance or market measure, we recognize compensation cost over the requisite service period, using the accelerated attribution expense method. The requisite service period begins on the date the compensation committee of our Board of Directors authorizes the award, adopts any relevant performance measures and communicates the award to the employees. For programs with awards that vest based on the achievement of a performance condition or market condition, we determine whether it is probable that the performance condition will be met, and estimate compensation cost based on the fair value of the award at the applicable award date estimated using a binomial model or market quotes. For share-based awards for which there is no pre-established performance measure, we recognize compensation cost over the service vesting period, which represents the requisite service period, on a straight-line basis. In accordance with the provisions of our share-based incentive compensation plans, we accept the return of shares of the Company's common stock, at the current quoted market price, from certain key employees to satisfy minimum statutory tax-withholding requirements related to shares that vested during the period.</w:t>
      </w:r>
    </w:p>
    <w:p>
      <w:pPr>
        <w:spacing w:after="0" w:line="286"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Awards can also be made in the form of a separate series of units of limited partnership interest in the Operating Partnership called long-term incentive plan units, or LTIP units. LTIP units, which can be granted either as free-standing awards or in tandem with other awards under our stock incentive plan, are valued by reference to the value of the Company's common stock at the time of grant and are subject to such conditions and restrictions as the compensation committee of the Company's board of directors may determine, including continued employment or service, computation of financial metrics and/or achievement of pre-established performance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607695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The Company's stock options are recorded at fair value at the time of issuance. Fair value of the stock options is determined using the Black-Scholes option pricing model. The Black-Scholes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plan has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 employee stock options.</w:t>
      </w:r>
    </w:p>
    <w:p>
      <w:pPr>
        <w:spacing w:after="0" w:line="6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Compensation cost for stock options, if any, is recognized over the vesting period of the award. Our policy is to grant options with an exercise price equal to the quoted closing market price of the Company's common stock on either the grant date or the date immediately preceding the grant date. Awards of stock or restricted stock are expensed as compensation over the benefit period based on the fair value of the stock on the grant date.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Instruments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use a variety of commonly used derivative instruments, including, but not limited to, interest rate swaps, caps, collars and floors, to manage interest rate risk. Effectiveness is essential for those derivatives that we intend to qualify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the normal course of business, we are exposed to the effect of interest rate changes and limit these risks by following established risk management policies and procedures including the use of derivatives. To address exposure to interest rates, derivatives are used primarily to fix the rate on debt based on floating-rate indices and manage the cost of borrowing obligations.</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use a variety of conventional derivative products. These derivatives include, but are not limited to, interest rate swaps, caps, collars and floors. We expressly prohibit the use of unconventional derivative instruments and using derivative instruments for trading or speculative purposes. Further, we have a policy of only entering into contracts with major financial institutions based upon their credit ratings and other factors.</w:t>
      </w:r>
    </w:p>
    <w:p>
      <w:pPr>
        <w:spacing w:after="0" w:line="57"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We may employ swaps, forwards or purchased options to hedge qualifying forecasted transactions. Gains and losses related to these transactions are deferred and recognized in net income as interest expense in the same period or periods that the underlying transaction occurs, expires or is otherwise terminated.</w:t>
      </w:r>
    </w:p>
    <w:p>
      <w:pPr>
        <w:spacing w:after="0" w:line="26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Hedges that are reported at fair value and presented on the balance sheet could be characterized as cash flow hedges or fair value hedges. Interest rate caps and collars are examples of cash flow hedges. Cash flow hedges address the risk associated with future cash flows of interest payments. For all hedges held by us that meet the hedging objectives established by our corporate policy governing interest rate risk management, no net gains or losses were reported in earnings. The changes in fair value of derivative instruments designated as hedge instruments are reflected in accumulated other comprehensive income. For derivative instruments not designated as hedging instruments, the gain or loss, resulting from the change in the estimated fair value of the derivative instruments, is recognized in current earnings during the period of change.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 of the Company</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The Company presents both basic and diluted earnings per share ("EPS") using the two-class method,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Basic EPS includes participating securities, consisting of unvested restricted stock that receive nonforfeitable dividends similar to shares of common stock. Diluted EPS reflects the potential dilution that could occur if securities or other contracts to issue common stock were exercised or converted into common stock, where such exercise or conversion would result in a lower EPS amount. Diluted EPS also includes units of limited partnership interest. The dilutive effect of stock options is reflected in the weighted average diluted outstanding shares calculation by application of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608330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Unit of the Operating Partnership</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Operating Partnership presents both basic and diluted earnings per unit ("EPU") using the two-class method, which is an earnings allocation formula that determines EPU for common units and any participating securities according to dividends declared (whether paid or unpaid). Under the two-class method, basic EPU is computed by dividing the income available to common unitholders by the weighted-average number of common units outstanding for the period. Basic EPU includes participating securities, consisting of unvested restricted units that receive nonforfeitable dividends similar to shares of common units. Diluted EPU reflects the potential dilution that could occur if securities or other contracts to issue common units were exercised or converted into common units, where such exercise or conversion would result in a lower EPU amount. The dilutive effect of unit options is reflected in the weighted average diluted outstanding units calculation by application of the treasury stock method.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w:t>
      </w:r>
    </w:p>
    <w:p>
      <w:pPr>
        <w:spacing w:after="0" w:line="57"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Our tenants operate in various industries. Other than one tenant, Paramount Global, which accounted for 5.5% of our share of annualized cash rent as of December 31, 2024, no other tenant in our portfolio accounted for more than 5.0% of our share of annualized cash rent, including our share of joint venture annualized cash rent, as of December 31, 2024.</w:t>
      </w:r>
    </w:p>
    <w:p>
      <w:pPr>
        <w:spacing w:after="0" w:line="69"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For the years ended December 31, 2024, 2023, and 2022, the following properties contributed more than 5.0% of our annualized cash rent from office properties, including our share of annualized cash rent from joint venture office properties: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14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14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2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20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14.7%</w:t>
            </w:r>
          </w:p>
        </w:tc>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 Vanderbilt Avenue</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6"/>
              </w:rPr>
              <w:t>16.0%</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One Vanderbilt Avenue</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14.1%</w:t>
            </w:r>
          </w:p>
        </w:tc>
      </w:tr>
      <w:tr>
        <w:trPr>
          <w:trHeight w:val="20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114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rPr>
              <w:t>8.8%</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11 Madison Avenue</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5"/>
              </w:rPr>
              <w:t>8.3%</w:t>
            </w: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245 Park Avenue</w:t>
            </w:r>
          </w:p>
        </w:tc>
        <w:tc>
          <w:tcPr>
            <w:tcW w:w="122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7.0%</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420</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5"/>
              </w:rPr>
              <w:t>6.7%</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11 Madison Avenue</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7.8%</w:t>
            </w:r>
          </w:p>
        </w:tc>
      </w:tr>
      <w:tr>
        <w:trPr>
          <w:trHeight w:val="20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114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rPr>
              <w:t>6.7%</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1515 Broadway</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5"/>
              </w:rPr>
              <w:t>6.4%</w:t>
            </w: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420 Lexington Avenue</w:t>
            </w:r>
          </w:p>
        </w:tc>
        <w:tc>
          <w:tcPr>
            <w:tcW w:w="122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6.7%</w:t>
            </w:r>
          </w:p>
        </w:tc>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5"/>
              </w:rPr>
              <w:t>5.6%</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1515 Broadway</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5.8%</w:t>
            </w:r>
          </w:p>
        </w:tc>
      </w:tr>
      <w:tr>
        <w:trPr>
          <w:trHeight w:val="20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114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rPr>
              <w:t>5.9%</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280</w:t>
            </w:r>
          </w:p>
        </w:tc>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5"/>
              </w:rPr>
              <w:t>5.5%</w:t>
            </w: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122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245</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5"/>
              </w:rPr>
              <w:t>5.5%</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280 Park Avenue</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5.1%</w:t>
            </w:r>
          </w:p>
        </w:tc>
      </w:tr>
    </w:tbl>
    <w:p>
      <w:pPr>
        <w:spacing w:after="0" w:line="16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57.2% of our work force is covered by five collective bargaining agreements, and none of our work force is covered by collective bargaining agreements that expire before December 31, 2025. See Note 19, "Benefits Plans."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Certain prior year balances have been reclassified to conform to our current year presentation.</w:t>
      </w:r>
    </w:p>
    <w:p>
      <w:pPr>
        <w:spacing w:after="0" w:line="119"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Beginning in the second quarter of 2024, we reclassified amounts recorded for certain right-of-use assets classified as operating leases from a gross presentation above accumulated depreciation to a net presentation below accumulated depreciation in our consolidated balance sheets. This includes reclassifying the related amortization that was previously included in the accumulated depreciation. We believe this presentation enhances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739775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Updates</w:t>
      </w:r>
    </w:p>
    <w:p>
      <w:pPr>
        <w:spacing w:after="0" w:line="12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 - Reporting Comprehensive Income - Expense Disaggregation Disclosures (Subtopic 220-40). The objective of this amendment is to help investors better understand a public entity's performance, better assess the entity's prospect for future cash flows, and compare the entity's performance over time and with that of other entities. The amendment will require public business entities to include a footnote disclosure about specific expenses by requiring them to disaggregate, in a tabular presentation, each relevant expense caption on the face of the income statement that includes purchases of inventory, employee compensation, depreciation, and intangible asset amortization. For any remaining items within each relevant expense caption, a qualitative disclosure is required for the amounts that are not separately disaggregated quantitatively. Additionally, the amendment provides guidance on the definition of selling expenses along with a requirement to disclose the total amount of selling expenses. The amendment does not change the requirements for the presentation of expenses on the face of the income statement. ASU 2024-03 is effective for annual periods beginning after December 15, 2026. Early adoption is permitted. We are currently evaluating the impact of ASU 2024-03 on our consolidated financial statements, but do not believe the adoption of this standard will have a material impact on our consolidated financial statements.</w:t>
      </w:r>
    </w:p>
    <w:p>
      <w:pPr>
        <w:spacing w:after="0" w:line="77"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 Improvements to Income Tax Disclosures. The objective of the amendments in ASU 2023-09 related to the rate reconciliation and income taxes paid disclosures are to improve transparency of income tax disclosures by requiring consistent categories and greater disaggregation of information in the rate reconciliation, and income taxes paid disaggregated by jurisdiction. The amendment will require that public entities on an annual basis disclose specific categories in the rate reconciliation and provide additional information for reconciling items that meet a quantitative threshold. Additionally, the amendment will require that all entities disclose on an annual basis the amount of taxes paid (net of refunds received) disaggregated by federal, state and foreign taxes as well as disaggregated by individual jurisdictions that meet a quantitative threshold. ASU 2023-09 is effective prospectively for annual periods beginning after December 15, 2024. Early adoption and retrospective application is permitted. The Company adopted this guidance on January 1, 2025 and do not believe it will have a material impact on the Company's consolidated financial statements.</w:t>
      </w:r>
    </w:p>
    <w:p>
      <w:pPr>
        <w:spacing w:after="0" w:line="286"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 Improvements to Reportable Segment Disclosures. ASU 2023-07 amends the reportable segment disclosure requirements to enhance disclosures about significant segment expenses. The objective of the amendment is to improve financial reporting by requiring disclosure of incremental segment information on an annual and interim basis for all public entities to enable investors to develop more decision-useful financial analyses. The amendment will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Additionally, the amendment will require an entity to disclose an amount for "other segment items" by reportable segment and a description of its composition as well as require all the current annual disclosure requirements in ASC 280 on an interim basis, except for entity-wide disclsoures. Lastly, the amendment will require a public entity to disclose the title and position of the CODM and an explanation of how the CODM uses the reported measures of segment profit or loss in assessing segment performance and deciding to allocate resources. ASU 2023-07 is effective for fiscal years beginning after December 15, 2023, and interim periods within fiscal years beginning after December 15, 2024. Early adoption is permitted and should be applied retrospectively to all prior periods presented in the financial statements. The Company adopted this guidance on January 1, 2024 and it did not have a material impact on the Company's consolidated financial statements.</w:t>
      </w:r>
    </w:p>
    <w:p>
      <w:pPr>
        <w:spacing w:after="0" w:line="72"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August 2023, the FASB issued ASU No. 2023-05 Business Combinations - Joint Venture Formations (Subtopic 805-60) Recognition and Initial Measurement. ASU 2023-05 addresses the accounting for contributions made to a joint venture, upon formation, in a joint venture's separate financial statements. The objectives of the amendments are to provide decision-useful information to investors and other allocators of capital in a joint venture's financial statements and reduce diversity in practice. The amendments require that a joint venture apply the following key adaptations from the business combinations guidance upon formation: (i) a joint venture is the formation of a new entity without an accounting acquirer, (ii) a joint venture measures its identifiable net assets and goodwill, if any, at the formation date, (iii) initial measurement of a joint venture's total net assets is equal to the fair value of 100 percent of the joint venture's equity, and (iv) a joint venture provides relevant disclosures. ASU 2023-05 is effective prospectively for all joint venture formations with a formation date on or after January 1, 2025, with early adoption permitted in any interim or annual period in which financial statements have not yet been issued, either prospectively or retrospectively. The Company adopted this guidance on January 1, 2025 and do not believe it will have a material impact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744855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right="100" w:firstLine="393"/>
        <w:spacing w:after="0" w:line="261" w:lineRule="auto"/>
        <w:rPr>
          <w:sz w:val="20"/>
          <w:szCs w:val="20"/>
          <w:color w:val="auto"/>
        </w:rPr>
      </w:pPr>
      <w:r>
        <w:rPr>
          <w:rFonts w:ascii="Times New Roman" w:cs="Times New Roman" w:eastAsia="Times New Roman" w:hAnsi="Times New Roman"/>
          <w:sz w:val="17"/>
          <w:szCs w:val="17"/>
          <w:color w:val="auto"/>
        </w:rPr>
        <w:t>In March 2022, the FASB issued ASU No. 2022-02 Financial Instruments - Credit Losses (Topic 326) Troubled Debt Restructurings and Vintage Disclosures. ASU 2022-02 eliminates the troubled debt restructuring recognition and measurement guidance and, instead, requires that an entity evaluate whether the modification represents a new loan or a continuation of an existing loan. The amendments enhance existing disclosure requirements and introduce new requirements related to certain modifications of receivables made to borrowers experiencing financial difficulties. Additionally, ASU 2022-02 requires an entity to disclose current-period gross write-offs by year of origination for financing receivables and net investment in leases within the scope of Subtopic 326-</w:t>
      </w:r>
    </w:p>
    <w:p>
      <w:pPr>
        <w:spacing w:after="0" w:line="4" w:lineRule="exact"/>
        <w:rPr>
          <w:sz w:val="20"/>
          <w:szCs w:val="20"/>
          <w:color w:val="auto"/>
        </w:rPr>
      </w:pPr>
    </w:p>
    <w:p>
      <w:pPr>
        <w:jc w:val="both"/>
        <w:ind w:right="100" w:firstLine="5"/>
        <w:spacing w:after="0" w:line="257" w:lineRule="auto"/>
        <w:tabs>
          <w:tab w:leader="none" w:pos="2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write-off information must be included in the vintage disclosures required for entities in accordance with Subtopic 326-20, which requires that an entity disclose the amortized cost basis of financing receivables by credit-quality indicator and class of financing receivable by year of origination. ASU 2022-</w:t>
      </w:r>
    </w:p>
    <w:p>
      <w:pPr>
        <w:ind w:right="100" w:firstLine="5"/>
        <w:spacing w:after="0" w:line="275" w:lineRule="auto"/>
        <w:tabs>
          <w:tab w:leader="none" w:pos="22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effective for reporting periods beginning after December 15, 2022, including interim periods within those fiscal years, with early adoption permitted. The Company adopted this guidance on January 1, 2023 and it did not have a material impact on the Company's consolidated financial statements.</w:t>
      </w:r>
    </w:p>
    <w:p>
      <w:pPr>
        <w:spacing w:after="0" w:line="57" w:lineRule="exact"/>
        <w:rPr>
          <w:sz w:val="20"/>
          <w:szCs w:val="20"/>
          <w:color w:val="auto"/>
        </w:rPr>
      </w:pPr>
    </w:p>
    <w:p>
      <w:pPr>
        <w:ind w:right="8060" w:firstLine="5"/>
        <w:spacing w:after="0" w:line="387" w:lineRule="auto"/>
        <w:tabs>
          <w:tab w:leader="none" w:pos="175"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Acquisitions and Consolidations 2024 Acquisitions</w:t>
      </w:r>
    </w:p>
    <w:p>
      <w:pPr>
        <w:spacing w:after="0" w:line="1" w:lineRule="exact"/>
        <w:rPr>
          <w:rFonts w:ascii="Times New Roman" w:cs="Times New Roman" w:eastAsia="Times New Roman" w:hAnsi="Times New Roman"/>
          <w:sz w:val="17"/>
          <w:szCs w:val="17"/>
          <w:b w:val="1"/>
          <w:bCs w:val="1"/>
          <w:color w:val="auto"/>
        </w:rPr>
      </w:pP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 ended December 31, 2024, we did not acquire any properties from a third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Property Consolidations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properties consolidated during the year ended December 31, 2024:</w:t>
      </w:r>
    </w:p>
    <w:p>
      <w:pPr>
        <w:spacing w:after="0" w:line="13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Consolidation Date</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Approximate Square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Gross Asset Valuati</w:t>
            </w:r>
          </w:p>
        </w:tc>
        <w:tc>
          <w:tcPr>
            <w:tcW w:w="0" w:type="dxa"/>
            <w:vAlign w:val="bottom"/>
          </w:tcPr>
          <w:p>
            <w:pPr>
              <w:spacing w:after="0"/>
              <w:rPr>
                <w:sz w:val="1"/>
                <w:szCs w:val="1"/>
                <w:color w:val="auto"/>
              </w:rPr>
            </w:pPr>
          </w:p>
        </w:tc>
      </w:tr>
      <w:tr>
        <w:trPr>
          <w:trHeight w:val="209"/>
        </w:trPr>
        <w:tc>
          <w:tcPr>
            <w:tcW w:w="390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120" w:type="dxa"/>
            <w:vAlign w:val="bottom"/>
          </w:tcPr>
          <w:p>
            <w:pPr>
              <w:spacing w:after="0"/>
              <w:rPr>
                <w:sz w:val="18"/>
                <w:szCs w:val="18"/>
                <w:color w:val="auto"/>
              </w:rPr>
            </w:pPr>
          </w:p>
        </w:tc>
        <w:tc>
          <w:tcPr>
            <w:tcW w:w="13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4"/>
        </w:trPr>
        <w:tc>
          <w:tcPr>
            <w:tcW w:w="380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100 Park Avenue </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2024</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Fee Interest</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7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10 East 53rd Street </w:t>
            </w:r>
            <w:r>
              <w:rPr>
                <w:rFonts w:ascii="Times New Roman" w:cs="Times New Roman" w:eastAsia="Times New Roman" w:hAnsi="Times New Roman"/>
                <w:sz w:val="20"/>
                <w:szCs w:val="20"/>
                <w:color w:val="auto"/>
                <w:vertAlign w:val="superscript"/>
              </w:rPr>
              <w:t>(2)</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March 2024</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Fee Interest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400" w:right="100" w:hanging="395"/>
        <w:spacing w:after="0" w:line="253" w:lineRule="auto"/>
        <w:tabs>
          <w:tab w:leader="none" w:pos="3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the Company amended the joint venture agreement with its partner. As a result of the amended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positive fair value adjustment of $117.8 million, which is included in Purchase price and other fair value adjustments in the consolidated statements of operations. Prior to December 2024, the investment was accounted for under the equity method. See Note 16, "Fair Value Measurements."</w:t>
      </w:r>
    </w:p>
    <w:p>
      <w:pPr>
        <w:spacing w:after="0" w:line="2" w:lineRule="exact"/>
        <w:rPr>
          <w:rFonts w:ascii="Times New Roman" w:cs="Times New Roman" w:eastAsia="Times New Roman" w:hAnsi="Times New Roman"/>
          <w:sz w:val="14"/>
          <w:szCs w:val="14"/>
          <w:color w:val="auto"/>
        </w:rPr>
      </w:pPr>
    </w:p>
    <w:p>
      <w:pPr>
        <w:jc w:val="both"/>
        <w:ind w:left="400" w:right="100" w:hanging="395"/>
        <w:spacing w:after="0" w:line="252" w:lineRule="auto"/>
        <w:tabs>
          <w:tab w:leader="none" w:pos="3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2024, the Company entered into an agreement to acquire its partner's 45.0% interest in the joint venture for cash consideration of $7.2 million, which is net of all outstanding debt obligations at contract signing. As a result of the contract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negative fair value adjustment of ($55.7 million), which is included in Purchase price and other fair value adjustments in the consolidated statements of operations. Prior to March 2024, the investment was accounted for under the equity method. In December 2024, the Company closed on the acquisition of the partner's interest. See Note 16, "Fair Value Measurements."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Acquisitions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year ended December 31, 2023, we did not acquire any properties from a third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Acquisitions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properties acquired during the year ended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Acquisition Date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Approximate Square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Gross Asset Valuation</w:t>
            </w:r>
          </w:p>
        </w:tc>
        <w:tc>
          <w:tcPr>
            <w:tcW w:w="0" w:type="dxa"/>
            <w:vAlign w:val="bottom"/>
          </w:tcPr>
          <w:p>
            <w:pPr>
              <w:spacing w:after="0"/>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260" w:type="dxa"/>
            <w:vAlign w:val="bottom"/>
          </w:tcPr>
          <w:p>
            <w:pPr>
              <w:spacing w:after="0"/>
              <w:rPr>
                <w:sz w:val="18"/>
                <w:szCs w:val="18"/>
                <w:color w:val="auto"/>
              </w:rPr>
            </w:pPr>
          </w:p>
        </w:tc>
        <w:tc>
          <w:tcPr>
            <w:tcW w:w="140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04"/>
        </w:trPr>
        <w:tc>
          <w:tcPr>
            <w:tcW w:w="410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245 Park Avenue </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September 2022</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Fee Interest</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0" w:right="100" w:hanging="395"/>
        <w:spacing w:after="0" w:line="264" w:lineRule="auto"/>
        <w:tabs>
          <w:tab w:leader="none" w:pos="3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31, 2021, HNA, through an affiliated entity, filed for Chapter 11 bankruptcy protection on account of its investment in 245 Park Avenue, together with another asset in Chicago. On July 8, 2022, certain of the debtors and affiliates of SL Green entered into a Plan Sponsorship and Investment Agreement (the "Plan"). Since the debtors did not receive any qualifying bids for the property and the Plan was confirmed, SL Green acquired full ownership and control of the property in September 2022, at which time our outstanding preferred equity and accrued interest balance were credited to our equity investment in the property. We recorded the assets acquired and liabilities assumed at fair value.</w:t>
      </w:r>
    </w:p>
    <w:p>
      <w:pPr>
        <w:spacing w:after="0" w:line="81" w:lineRule="exact"/>
        <w:rPr>
          <w:sz w:val="20"/>
          <w:szCs w:val="20"/>
          <w:color w:val="auto"/>
        </w:rPr>
      </w:pPr>
    </w:p>
    <w:p>
      <w:pPr>
        <w:ind w:right="7380" w:firstLine="5"/>
        <w:spacing w:after="0" w:line="387" w:lineRule="auto"/>
        <w:tabs>
          <w:tab w:leader="none" w:pos="175"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Properties Held for Sale and Property Dispositions Properties Held for Sale</w:t>
      </w:r>
    </w:p>
    <w:p>
      <w:pPr>
        <w:spacing w:after="0" w:line="1" w:lineRule="exact"/>
        <w:rPr>
          <w:rFonts w:ascii="Times New Roman" w:cs="Times New Roman" w:eastAsia="Times New Roman" w:hAnsi="Times New Roman"/>
          <w:sz w:val="17"/>
          <w:szCs w:val="17"/>
          <w:b w:val="1"/>
          <w:bCs w:val="1"/>
          <w:color w:val="auto"/>
        </w:rPr>
      </w:pPr>
    </w:p>
    <w:p>
      <w:pPr>
        <w:ind w:left="4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2024 and 2023, no properties were classified as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640715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Dispositions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properties sold during the years ended December 31, 2024, 2023, and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Sales Price </w:t>
            </w:r>
            <w:r>
              <w:rPr>
                <w:rFonts w:ascii="Times New Roman" w:cs="Times New Roman" w:eastAsia="Times New Roman" w:hAnsi="Times New Roman"/>
                <w:sz w:val="20"/>
                <w:szCs w:val="20"/>
                <w:b w:val="1"/>
                <w:bCs w:val="1"/>
                <w:color w:val="auto"/>
                <w:vertAlign w:val="superscript"/>
              </w:rPr>
              <w:t>(1)</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xml:space="preserve">(Loss) Gain on Sale </w:t>
            </w:r>
            <w:r>
              <w:rPr>
                <w:rFonts w:ascii="Times New Roman" w:cs="Times New Roman" w:eastAsia="Times New Roman" w:hAnsi="Times New Roman"/>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2580" w:type="dxa"/>
            <w:vAlign w:val="bottom"/>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0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Disposition Date</w:t>
            </w:r>
          </w:p>
        </w:tc>
        <w:tc>
          <w:tcPr>
            <w:tcW w:w="10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00" w:type="dxa"/>
            <w:vAlign w:val="bottom"/>
            <w:vMerge w:val="restart"/>
          </w:tcPr>
          <w:p>
            <w:pPr>
              <w:spacing w:after="0"/>
              <w:rPr>
                <w:sz w:val="13"/>
                <w:szCs w:val="13"/>
                <w:color w:val="auto"/>
              </w:rPr>
            </w:pPr>
          </w:p>
        </w:tc>
        <w:tc>
          <w:tcPr>
            <w:tcW w:w="16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Approximate Usable</w:t>
            </w:r>
          </w:p>
        </w:tc>
        <w:tc>
          <w:tcPr>
            <w:tcW w:w="2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Square Feet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151"/>
        </w:trPr>
        <w:tc>
          <w:tcPr>
            <w:tcW w:w="286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w w:val="99"/>
              </w:rPr>
              <w:t>Giorgio Armani Residences at 760 Madison</w:t>
            </w:r>
          </w:p>
        </w:tc>
        <w:tc>
          <w:tcPr>
            <w:tcW w:w="10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2024</w:t>
            </w:r>
          </w:p>
        </w:tc>
        <w:tc>
          <w:tcPr>
            <w:tcW w:w="16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13,590</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2960" w:type="dxa"/>
            <w:vAlign w:val="bottom"/>
            <w:gridSpan w:val="3"/>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Avenue (3 Condominium Units) </w:t>
            </w:r>
            <w:r>
              <w:rPr>
                <w:rFonts w:ascii="Times New Roman" w:cs="Times New Roman" w:eastAsia="Times New Roman" w:hAnsi="Times New Roman"/>
                <w:sz w:val="20"/>
                <w:szCs w:val="20"/>
                <w:color w:val="auto"/>
                <w:vertAlign w:val="superscript"/>
              </w:rPr>
              <w:t>(3)</w:t>
            </w:r>
          </w:p>
        </w:tc>
        <w:tc>
          <w:tcPr>
            <w:tcW w:w="1660" w:type="dxa"/>
            <w:vAlign w:val="bottom"/>
            <w:gridSpan w:val="2"/>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Palisades Premier Conference Center</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July 2024</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719</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Seventh Avenue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June 2024</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26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0"/>
                <w:szCs w:val="20"/>
                <w:color w:val="auto"/>
                <w:vertAlign w:val="superscript"/>
              </w:rPr>
              <w:t>(4)</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June 2023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885</w:t>
            </w:r>
          </w:p>
        </w:tc>
        <w:tc>
          <w:tcPr>
            <w:tcW w:w="26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Third Avenue - Office Condominium</w:t>
            </w: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2022</w:t>
            </w: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Fee / Leasehold Interest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0"/>
        </w:trPr>
        <w:tc>
          <w:tcPr>
            <w:tcW w:w="2960" w:type="dxa"/>
            <w:vAlign w:val="bottom"/>
            <w:gridSpan w:val="3"/>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Units </w:t>
            </w:r>
            <w:r>
              <w:rPr>
                <w:rFonts w:ascii="Times New Roman" w:cs="Times New Roman" w:eastAsia="Times New Roman" w:hAnsi="Times New Roman"/>
                <w:sz w:val="20"/>
                <w:szCs w:val="20"/>
                <w:color w:val="auto"/>
                <w:vertAlign w:val="superscript"/>
              </w:rPr>
              <w:t>(5)</w:t>
            </w:r>
          </w:p>
        </w:tc>
        <w:tc>
          <w:tcPr>
            <w:tcW w:w="1660" w:type="dxa"/>
            <w:vAlign w:val="bottom"/>
            <w:gridSpan w:val="2"/>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609</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Fifth Avenue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June 2022</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12"/>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1591-1597 Broadway</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May 2022</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8"/>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1080 Amsterdam Avenue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April 2022</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Leasehold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707</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Eleventh Avenue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February 2022</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price represents the gross sales price for a property or the gross asset valuation for interests in a property.</w:t>
      </w:r>
    </w:p>
    <w:p>
      <w:pPr>
        <w:spacing w:after="0" w:line="12" w:lineRule="exact"/>
        <w:rPr>
          <w:rFonts w:ascii="Times New Roman" w:cs="Times New Roman" w:eastAsia="Times New Roman" w:hAnsi="Times New Roman"/>
          <w:sz w:val="14"/>
          <w:szCs w:val="14"/>
          <w:color w:val="auto"/>
        </w:rPr>
      </w:pPr>
    </w:p>
    <w:p>
      <w:pPr>
        <w:ind w:left="400" w:hanging="395"/>
        <w:spacing w:after="0" w:line="251" w:lineRule="auto"/>
        <w:tabs>
          <w:tab w:leader="none" w:pos="3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(losses) gains on sale are net of $5.1 million, $11.3 million, and $11.2 million of employee compensation accrued in connection with the realization of the investment dispositions during the years ended December 31, 2024, 2023, and 2022, respectively. Additionally, amounts do not include adjustments for expenses recorded in subsequent periods.</w:t>
      </w: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condominium units at 760 Madison are under contract and expected to close once completed in the first quarter of 2025.</w:t>
      </w:r>
    </w:p>
    <w:p>
      <w:pPr>
        <w:spacing w:after="0" w:line="9" w:lineRule="exact"/>
        <w:rPr>
          <w:rFonts w:ascii="Times New Roman" w:cs="Times New Roman" w:eastAsia="Times New Roman" w:hAnsi="Times New Roman"/>
          <w:sz w:val="14"/>
          <w:szCs w:val="14"/>
          <w:color w:val="auto"/>
        </w:rPr>
      </w:pPr>
    </w:p>
    <w:p>
      <w:pPr>
        <w:jc w:val="both"/>
        <w:ind w:left="400" w:hanging="395"/>
        <w:spacing w:after="0" w:line="249" w:lineRule="auto"/>
        <w:tabs>
          <w:tab w:leader="none" w:pos="3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Company sold a 49.9% interest, which resulted in the Company no longer retaining a controlling interest in the entity, as defined in ASC 810, and deconsolidation of the 50.1% interest we retained. We recorded our retained investment at fair value which resulted in the recognition of a fair value adjustment of ($17.0 million) that is reflected in the Company's consolidated statements of operations within Purchase price and other fair value adjustments. See Note 6, "Investments in Unconsolidated Joint Venture" and Note 16, " Fair Value Measurements."</w:t>
      </w: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2022, the Company sold 414,317 square feet of office leasehold condominium units at the property. The Company retained the remaining 218,796 square feet of the building.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Debt and Preferred Equity Investments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summary of the activity in our debt and preferred equity investments for the years ended December 31, 2024 and 2023 (in thousands):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36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Balance at beginning of year </w:t>
            </w:r>
            <w:r>
              <w:rPr>
                <w:rFonts w:ascii="Times New Roman" w:cs="Times New Roman" w:eastAsia="Times New Roman" w:hAnsi="Times New Roman"/>
                <w:sz w:val="20"/>
                <w:szCs w:val="20"/>
                <w:color w:val="auto"/>
                <w:vertAlign w:val="superscript"/>
              </w:rPr>
              <w:t>(1)</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346,745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623,280</w:t>
            </w:r>
          </w:p>
        </w:tc>
      </w:tr>
      <w:tr>
        <w:trPr>
          <w:trHeight w:val="210"/>
        </w:trPr>
        <w:tc>
          <w:tcPr>
            <w:tcW w:w="736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Debt investment originations/fundings/accretion </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12,890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72,160</w:t>
            </w:r>
          </w:p>
        </w:tc>
      </w:tr>
      <w:tr>
        <w:trPr>
          <w:trHeight w:val="210"/>
        </w:trPr>
        <w:tc>
          <w:tcPr>
            <w:tcW w:w="73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Preferred equity investment originations/accretion </w:t>
            </w:r>
            <w:r>
              <w:rPr>
                <w:rFonts w:ascii="Times New Roman" w:cs="Times New Roman" w:eastAsia="Times New Roman" w:hAnsi="Times New Roman"/>
                <w:sz w:val="20"/>
                <w:szCs w:val="20"/>
                <w:color w:val="auto"/>
                <w:vertAlign w:val="superscript"/>
              </w:rPr>
              <w:t>(2) (3)</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8,142</w:t>
            </w: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Redemptions/sales/syndications/equity ownership/amortization</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(349,947)</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loan loss reserves</w:t>
            </w: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04"/>
        </w:trPr>
        <w:tc>
          <w:tcPr>
            <w:tcW w:w="73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Balance at end of period </w:t>
            </w:r>
            <w:r>
              <w:rPr>
                <w:rFonts w:ascii="Times New Roman" w:cs="Times New Roman" w:eastAsia="Times New Roman" w:hAnsi="Times New Roman"/>
                <w:sz w:val="20"/>
                <w:szCs w:val="20"/>
                <w:color w:val="auto"/>
                <w:vertAlign w:val="superscript"/>
              </w:rPr>
              <w:t>(1) (4)</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346,745</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fees, discounts, and premiums.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Accretion includes amortization of fees and discounts and paid-in-kind investment income.</w:t>
      </w:r>
    </w:p>
    <w:p>
      <w:pPr>
        <w:spacing w:after="0" w:line="9" w:lineRule="exact"/>
        <w:rPr>
          <w:rFonts w:ascii="Times New Roman" w:cs="Times New Roman" w:eastAsia="Times New Roman" w:hAnsi="Times New Roman"/>
          <w:sz w:val="14"/>
          <w:szCs w:val="14"/>
          <w:color w:val="auto"/>
        </w:rPr>
      </w:pPr>
    </w:p>
    <w:p>
      <w:pPr>
        <w:ind w:left="400" w:hanging="395"/>
        <w:spacing w:after="0" w:line="254" w:lineRule="auto"/>
        <w:tabs>
          <w:tab w:leader="none" w:pos="3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$214.7 million preferred equity investment that is included in Investment in unconsolidated joint ventures in our consolidated balance sheet. See Note 6, "Investments in Unconsolidated Joint Ventures."</w:t>
      </w:r>
    </w:p>
    <w:p>
      <w:pPr>
        <w:ind w:left="400" w:hanging="395"/>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624205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summary of our debt and preferred equity investments as of December 31, 2024 (dollars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Floating Rate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Total Carrying</w:t>
            </w:r>
          </w:p>
        </w:tc>
        <w:tc>
          <w:tcPr>
            <w:tcW w:w="240" w:type="dxa"/>
            <w:vAlign w:val="bottom"/>
          </w:tcPr>
          <w:p>
            <w:pPr>
              <w:spacing w:after="0"/>
              <w:rPr>
                <w:sz w:val="2"/>
                <w:szCs w:val="2"/>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2"/>
                <w:szCs w:val="12"/>
                <w:color w:val="auto"/>
              </w:rPr>
            </w:pPr>
          </w:p>
        </w:tc>
        <w:tc>
          <w:tcPr>
            <w:tcW w:w="760" w:type="dxa"/>
            <w:vAlign w:val="bottom"/>
          </w:tcPr>
          <w:p>
            <w:pPr>
              <w:jc w:val="right"/>
              <w:ind w:right="90"/>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Face Value</w:t>
            </w:r>
          </w:p>
        </w:tc>
        <w:tc>
          <w:tcPr>
            <w:tcW w:w="100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40" w:type="dxa"/>
            <w:vAlign w:val="bottom"/>
          </w:tcPr>
          <w:p>
            <w:pPr>
              <w:spacing w:after="0"/>
              <w:rPr>
                <w:sz w:val="12"/>
                <w:szCs w:val="12"/>
                <w:color w:val="auto"/>
              </w:rPr>
            </w:pPr>
          </w:p>
        </w:tc>
        <w:tc>
          <w:tcPr>
            <w:tcW w:w="760" w:type="dxa"/>
            <w:vAlign w:val="bottom"/>
          </w:tcPr>
          <w:p>
            <w:pPr>
              <w:jc w:val="right"/>
              <w:ind w:right="90"/>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Face Value</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Maturity</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5"/>
        </w:trPr>
        <w:tc>
          <w:tcPr>
            <w:tcW w:w="2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Mezzanine Debt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117,006</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117,160</w:t>
            </w:r>
          </w:p>
        </w:tc>
        <w:tc>
          <w:tcPr>
            <w:tcW w:w="900" w:type="dxa"/>
            <w:vAlign w:val="bottom"/>
            <w:tcBorders>
              <w:top w:val="single" w:sz="8" w:color="auto"/>
            </w:tcBorders>
            <w:shd w:val="clear" w:color="auto" w:fill="CCEEFF"/>
          </w:tcPr>
          <w:p>
            <w:pPr>
              <w:jc w:val="center"/>
              <w:spacing w:after="0" w:line="128" w:lineRule="exact"/>
              <w:rPr>
                <w:sz w:val="20"/>
                <w:szCs w:val="20"/>
                <w:color w:val="auto"/>
              </w:rPr>
            </w:pPr>
            <w:r>
              <w:rPr>
                <w:rFonts w:ascii="Times New Roman" w:cs="Times New Roman" w:eastAsia="Times New Roman" w:hAnsi="Times New Roman"/>
                <w:sz w:val="14"/>
                <w:szCs w:val="14"/>
                <w:color w:val="auto"/>
                <w:w w:val="97"/>
              </w:rPr>
              <w:t>S + 5.06 -</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90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8.00 - 8.40%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167,006 </w:t>
            </w:r>
            <w:r>
              <w:rPr>
                <w:rFonts w:ascii="Times New Roman" w:cs="Times New Roman" w:eastAsia="Times New Roman" w:hAnsi="Times New Roman"/>
                <w:sz w:val="20"/>
                <w:szCs w:val="20"/>
                <w:color w:val="auto"/>
                <w:vertAlign w:val="superscript"/>
              </w:rPr>
              <w:t>(3)</w:t>
            </w:r>
          </w:p>
        </w:tc>
        <w:tc>
          <w:tcPr>
            <w:tcW w:w="24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812,021</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2025 - 2029</w:t>
            </w:r>
          </w:p>
        </w:tc>
        <w:tc>
          <w:tcPr>
            <w:tcW w:w="0" w:type="dxa"/>
            <w:vAlign w:val="bottom"/>
          </w:tcPr>
          <w:p>
            <w:pPr>
              <w:spacing w:after="0"/>
              <w:rPr>
                <w:sz w:val="1"/>
                <w:szCs w:val="1"/>
                <w:color w:val="auto"/>
              </w:rPr>
            </w:pPr>
          </w:p>
        </w:tc>
      </w:tr>
      <w:tr>
        <w:trPr>
          <w:trHeight w:val="193"/>
        </w:trPr>
        <w:tc>
          <w:tcPr>
            <w:tcW w:w="200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11.75%</w:t>
            </w: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Preferred Equity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136,720</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136,720</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136,720</w:t>
            </w:r>
          </w:p>
        </w:tc>
        <w:tc>
          <w:tcPr>
            <w:tcW w:w="240" w:type="dxa"/>
            <w:vAlign w:val="bottom"/>
          </w:tcPr>
          <w:p>
            <w:pPr>
              <w:spacing w:after="0"/>
              <w:rPr>
                <w:sz w:val="17"/>
                <w:szCs w:val="17"/>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15"/>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117,006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117,160</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186,720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186,720</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303,726</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1,062,021</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interest rates are presented with the stated spread over Term SOFR ("S").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available extension options to the extent they have not been exercised as of the date of this filing.</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9"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$214.7 million preferred equity investment that is included in Investment in unconsolidated joint ventures in our consolidated balance sheet. See Note 6, "Investments in Unconsolidated Joint Ventures."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is a roll forward of our total allowance for loan losses for the years ended December 31, 2024, 2023 and 2022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4"/>
        </w:trPr>
        <w:tc>
          <w:tcPr>
            <w:tcW w:w="5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08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r>
      <w:tr>
        <w:trPr>
          <w:trHeight w:val="20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period provision for loan loss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8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(1)</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line="286" w:lineRule="auto"/>
        <w:tabs>
          <w:tab w:leader="none" w:pos="3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all financing receivables on non-accrual had an allowance for loan loss except for one debt investment with a carrying value of $53.5 million, which is included in the Company's alternative strategy portfolio.</w:t>
      </w:r>
    </w:p>
    <w:p>
      <w:pPr>
        <w:spacing w:after="0" w:line="6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As of December 31, 2024, one investment, which is fully reserved, was not performing in accordance with its respective terms. As of December 31, 2023, two investments with a carrying value, net of reserves, of $49.8 million were not performing in accordance with their respective terms. This is further discussed in the Debt Investments and Preferred Equity Investments tables below.</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 other financing receivables were 90 days past due as of December 31, 2024 and December 31, 2023.</w:t>
      </w:r>
    </w:p>
    <w:p>
      <w:pPr>
        <w:spacing w:after="0" w:line="35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 sets forth the carrying value of our debt and preferred equity investment portfolio by risk rating as of December 31, 2024 and 2023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156,720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210,333</w:t>
            </w:r>
          </w:p>
        </w:tc>
      </w:tr>
      <w:tr>
        <w:trPr>
          <w:trHeight w:val="315"/>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 Watch List Assets - Higher potential for loss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147,006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136,412</w:t>
            </w:r>
          </w:p>
        </w:tc>
      </w:tr>
      <w:tr>
        <w:trPr>
          <w:trHeight w:val="209"/>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346,745</w:t>
            </w:r>
          </w:p>
        </w:tc>
      </w:tr>
      <w:tr>
        <w:trPr>
          <w:trHeight w:val="20"/>
        </w:trPr>
        <w:tc>
          <w:tcPr>
            <w:tcW w:w="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carrying value of our debt and preferred equity investment portfolio by year of origination and risk rating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60"/>
              <w:spacing w:after="0" w:line="214"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80"/>
              <w:spacing w:after="0" w:line="214"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0"/>
              <w:spacing w:after="0" w:line="214" w:lineRule="exact"/>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8"/>
              <w:spacing w:after="0" w:line="214" w:lineRule="exact"/>
              <w:rPr>
                <w:sz w:val="20"/>
                <w:szCs w:val="20"/>
                <w:color w:val="auto"/>
              </w:rPr>
            </w:pPr>
            <w:r>
              <w:rPr>
                <w:rFonts w:ascii="Times New Roman" w:cs="Times New Roman" w:eastAsia="Times New Roman" w:hAnsi="Times New Roman"/>
                <w:sz w:val="24"/>
                <w:szCs w:val="24"/>
                <w:b w:val="1"/>
                <w:bCs w:val="1"/>
                <w:color w:val="auto"/>
                <w:vertAlign w:val="subscript"/>
              </w:rPr>
              <w:t>Prior</w:t>
            </w:r>
            <w:r>
              <w:rPr>
                <w:rFonts w:ascii="Times New Roman" w:cs="Times New Roman" w:eastAsia="Times New Roman" w:hAnsi="Times New Roman"/>
                <w:sz w:val="9"/>
                <w:szCs w:val="9"/>
                <w:b w:val="1"/>
                <w:bCs w:val="1"/>
                <w:color w:val="auto"/>
              </w:rPr>
              <w:t>(1)(2)</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08"/>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156,720</w:t>
            </w:r>
          </w:p>
        </w:tc>
        <w:tc>
          <w:tcPr>
            <w:tcW w:w="6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156,720</w:t>
            </w:r>
          </w:p>
        </w:tc>
        <w:tc>
          <w:tcPr>
            <w:tcW w:w="0" w:type="dxa"/>
            <w:vAlign w:val="bottom"/>
          </w:tcPr>
          <w:p>
            <w:pPr>
              <w:spacing w:after="0"/>
              <w:rPr>
                <w:sz w:val="1"/>
                <w:szCs w:val="1"/>
                <w:color w:val="auto"/>
              </w:rPr>
            </w:pPr>
          </w:p>
        </w:tc>
      </w:tr>
      <w:tr>
        <w:trPr>
          <w:trHeight w:val="137"/>
        </w:trPr>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Watch List Assets - Higher potential for loss</w:t>
            </w:r>
          </w:p>
        </w:tc>
        <w:tc>
          <w:tcPr>
            <w:tcW w:w="28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1"/>
                <w:szCs w:val="11"/>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147,006</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0"/>
                <w:szCs w:val="10"/>
                <w:color w:val="auto"/>
              </w:rPr>
              <w:t>(3)</w:t>
            </w:r>
          </w:p>
        </w:tc>
        <w:tc>
          <w:tcPr>
            <w:tcW w:w="2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147,006</w:t>
            </w:r>
          </w:p>
        </w:tc>
        <w:tc>
          <w:tcPr>
            <w:tcW w:w="0" w:type="dxa"/>
            <w:vAlign w:val="bottom"/>
          </w:tcPr>
          <w:p>
            <w:pPr>
              <w:spacing w:after="0"/>
              <w:rPr>
                <w:sz w:val="1"/>
                <w:szCs w:val="1"/>
                <w:color w:val="auto"/>
              </w:rPr>
            </w:pPr>
          </w:p>
        </w:tc>
      </w:tr>
      <w:tr>
        <w:trPr>
          <w:trHeight w:val="175"/>
        </w:trPr>
        <w:tc>
          <w:tcPr>
            <w:tcW w:w="120" w:type="dxa"/>
            <w:vAlign w:val="bottom"/>
            <w:vMerge w:val="continue"/>
          </w:tcPr>
          <w:p>
            <w:pPr>
              <w:spacing w:after="0"/>
              <w:rPr>
                <w:sz w:val="15"/>
                <w:szCs w:val="15"/>
                <w:color w:val="auto"/>
              </w:rPr>
            </w:pPr>
          </w:p>
        </w:tc>
        <w:tc>
          <w:tcPr>
            <w:tcW w:w="3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303,726</w:t>
            </w:r>
          </w:p>
        </w:tc>
        <w:tc>
          <w:tcPr>
            <w:tcW w:w="3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in which the investment was originated or acquired by us or in which a material modification occurred.</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we recognized a $6.9 million provision for loan loss related to an investment originated prior to 2021.</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624205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have determined that we have one portfolio segment of financing receivables as of December 31, 2024 and 2023 comprised of commercial real estate which is primarily recorded in debt and preferred equity investments.</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Included in Other assets is an additional amount of financing receivables representing loans to joint venture partners totaling $23.7 million and $8.8 million as of December 31, 2024 and 2023, respectively. The Company recorded no provisions for loan losses related to these financing receivables for the years ended December 31, 2024 and 2023, respectively. All of these loans have a risk rating of 2 and were performing in accordance with their respective terms.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Investments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we held the following debt investments with an aggregate weighted average current yield of 6.02%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w w:val="97"/>
              </w:rPr>
              <w:t>Future Funding</w:t>
            </w:r>
          </w:p>
        </w:tc>
        <w:tc>
          <w:tcPr>
            <w:tcW w:w="140" w:type="dxa"/>
            <w:vAlign w:val="bottom"/>
          </w:tcPr>
          <w:p>
            <w:pPr>
              <w:spacing w:after="0"/>
              <w:rPr>
                <w:sz w:val="13"/>
                <w:szCs w:val="13"/>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Senior Financing</w:t>
            </w:r>
          </w:p>
        </w:tc>
        <w:tc>
          <w:tcPr>
            <w:tcW w:w="16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3"/>
                <w:szCs w:val="13"/>
                <w:color w:val="auto"/>
              </w:rPr>
            </w:pPr>
          </w:p>
        </w:tc>
        <w:tc>
          <w:tcPr>
            <w:tcW w:w="1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3"/>
                <w:szCs w:val="13"/>
                <w:color w:val="auto"/>
              </w:rPr>
            </w:pPr>
          </w:p>
        </w:tc>
        <w:tc>
          <w:tcPr>
            <w:tcW w:w="1380" w:type="dxa"/>
            <w:vAlign w:val="bottom"/>
          </w:tcPr>
          <w:p>
            <w:pPr>
              <w:jc w:val="right"/>
              <w:ind w:right="301"/>
              <w:spacing w:after="0" w:line="155"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Obligations</w:t>
            </w: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61"/>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Date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0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Investments: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(3) (4) (5)</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105,000</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2025</w:t>
            </w: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(6)</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2025</w:t>
            </w:r>
          </w:p>
        </w:tc>
        <w:tc>
          <w:tcPr>
            <w:tcW w:w="0" w:type="dxa"/>
            <w:vAlign w:val="bottom"/>
          </w:tcPr>
          <w:p>
            <w:pPr>
              <w:spacing w:after="0"/>
              <w:rPr>
                <w:sz w:val="1"/>
                <w:szCs w:val="1"/>
                <w:color w:val="auto"/>
              </w:rPr>
            </w:pPr>
          </w:p>
        </w:tc>
      </w:tr>
      <w:tr>
        <w:trPr>
          <w:trHeight w:val="20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2029</w:t>
            </w:r>
          </w:p>
        </w:tc>
        <w:tc>
          <w:tcPr>
            <w:tcW w:w="0" w:type="dxa"/>
            <w:vAlign w:val="bottom"/>
          </w:tcPr>
          <w:p>
            <w:pPr>
              <w:spacing w:after="0"/>
              <w:rPr>
                <w:sz w:val="1"/>
                <w:szCs w:val="1"/>
                <w:color w:val="auto"/>
              </w:rPr>
            </w:pPr>
          </w:p>
        </w:tc>
      </w:tr>
      <w:tr>
        <w:trPr>
          <w:trHeight w:val="204"/>
        </w:trPr>
        <w:tc>
          <w:tcPr>
            <w:tcW w:w="26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285,000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63,366</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Investments: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2025</w:t>
            </w: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(5) (7)</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2025</w:t>
            </w: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2026</w:t>
            </w:r>
          </w:p>
        </w:tc>
        <w:tc>
          <w:tcPr>
            <w:tcW w:w="0" w:type="dxa"/>
            <w:vAlign w:val="bottom"/>
          </w:tcPr>
          <w:p>
            <w:pPr>
              <w:spacing w:after="0"/>
              <w:rPr>
                <w:sz w:val="1"/>
                <w:szCs w:val="1"/>
                <w:color w:val="auto"/>
              </w:rPr>
            </w:pPr>
          </w:p>
        </w:tc>
      </w:tr>
      <w:tr>
        <w:trPr>
          <w:trHeight w:val="20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62,333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2024</w:t>
            </w:r>
          </w:p>
        </w:tc>
        <w:tc>
          <w:tcPr>
            <w:tcW w:w="0" w:type="dxa"/>
            <w:vAlign w:val="bottom"/>
          </w:tcPr>
          <w:p>
            <w:pPr>
              <w:spacing w:after="0"/>
              <w:rPr>
                <w:sz w:val="1"/>
                <w:szCs w:val="1"/>
                <w:color w:val="auto"/>
              </w:rPr>
            </w:pPr>
          </w:p>
        </w:tc>
      </w:tr>
      <w:tr>
        <w:trPr>
          <w:trHeight w:val="204"/>
        </w:trPr>
        <w:tc>
          <w:tcPr>
            <w:tcW w:w="26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floating rate</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527,021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117,160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168,899</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loan loss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812,021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167,006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218,745</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discounts, premiums, original issue discounts and deferred origination fees.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maturity, excluding any extension options to the extent they have not been exercised as of the date of this filing.</w:t>
      </w:r>
    </w:p>
    <w:p>
      <w:pPr>
        <w:spacing w:after="0" w:line="5" w:lineRule="exact"/>
        <w:rPr>
          <w:rFonts w:ascii="Times New Roman" w:cs="Times New Roman" w:eastAsia="Times New Roman" w:hAnsi="Times New Roman"/>
          <w:sz w:val="14"/>
          <w:szCs w:val="14"/>
          <w:color w:val="auto"/>
        </w:rPr>
      </w:pPr>
    </w:p>
    <w:p>
      <w:pPr>
        <w:ind w:left="400" w:hanging="395"/>
        <w:spacing w:after="0" w:line="254" w:lineRule="auto"/>
        <w:tabs>
          <w:tab w:leader="none" w:pos="3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a $12.0 million participation that was sold and did not meet the conditions for sale accounting, which is included in Other assets and Other liabilities on the consolidated balance sheets.</w:t>
      </w:r>
    </w:p>
    <w:p>
      <w:pPr>
        <w:jc w:val="both"/>
        <w:ind w:left="400" w:hanging="395"/>
        <w:spacing w:after="0" w:line="247" w:lineRule="auto"/>
        <w:tabs>
          <w:tab w:leader="none" w:pos="3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went into default and was put on non-accrual in June 2020 and remains on non-accrual as of December 31, 2024. No investment income has been recognized subsequent to it being put on non-accrual. In the first quarter of 2023, the Company fully reserved the balance of the investment. Additionally, we determined the borrower entity to be a VIE in which we are not the primary beneficiary.</w:t>
      </w:r>
    </w:p>
    <w:p>
      <w:pPr>
        <w:spacing w:after="0" w:line="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borrower with respect to the loan.</w:t>
      </w:r>
    </w:p>
    <w:p>
      <w:pPr>
        <w:spacing w:after="0" w:line="9"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was put on non-accrual in January 2023 and remains on non-accrual as of December 31, 2024. No investment income has been recognized since it was put on non-accrual. In December 2024, the maturity date of the loan was extended to December 2025. Additionally, we determined the borrower entity to be a VIE in which we are not the primary beneficiary.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Equity Investments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and 2023, we held the following preferred equity investments with an aggregate weighted average current yield of 6.55% as of December 31, 2024 (dollars in thousands), excluding a $214.7 million preferred equity investment that is included in Investment in unconsolidated joint ventures in our consolidated balance sheet: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Senior</w:t>
            </w:r>
          </w:p>
        </w:tc>
        <w:tc>
          <w:tcPr>
            <w:tcW w:w="16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3"/>
                <w:szCs w:val="13"/>
                <w:color w:val="auto"/>
              </w:rPr>
            </w:pPr>
          </w:p>
        </w:tc>
        <w:tc>
          <w:tcPr>
            <w:tcW w:w="1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480" w:type="dxa"/>
            <w:vAlign w:val="bottom"/>
          </w:tcPr>
          <w:p>
            <w:pPr>
              <w:jc w:val="center"/>
              <w:ind w:left="41"/>
              <w:spacing w:after="0" w:line="155" w:lineRule="exact"/>
              <w:rPr>
                <w:sz w:val="20"/>
                <w:szCs w:val="20"/>
                <w:color w:val="auto"/>
              </w:rPr>
            </w:pPr>
            <w:r>
              <w:rPr>
                <w:rFonts w:ascii="Times New Roman" w:cs="Times New Roman" w:eastAsia="Times New Roman" w:hAnsi="Times New Roman"/>
                <w:sz w:val="16"/>
                <w:szCs w:val="16"/>
                <w:b w:val="1"/>
                <w:bCs w:val="1"/>
                <w:color w:val="auto"/>
                <w:w w:val="98"/>
              </w:rPr>
              <w:t>Mandatory</w:t>
            </w: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480" w:type="dxa"/>
            <w:vAlign w:val="bottom"/>
          </w:tcPr>
          <w:p>
            <w:pPr>
              <w:jc w:val="center"/>
              <w:ind w:left="21"/>
              <w:spacing w:after="0" w:line="209" w:lineRule="exact"/>
              <w:rPr>
                <w:sz w:val="20"/>
                <w:szCs w:val="20"/>
                <w:color w:val="auto"/>
              </w:rPr>
            </w:pPr>
            <w:r>
              <w:rPr>
                <w:rFonts w:ascii="Times New Roman" w:cs="Times New Roman" w:eastAsia="Times New Roman" w:hAnsi="Times New Roman"/>
                <w:sz w:val="16"/>
                <w:szCs w:val="16"/>
                <w:b w:val="1"/>
                <w:bCs w:val="1"/>
                <w:color w:val="auto"/>
                <w:w w:val="95"/>
              </w:rPr>
              <w:t xml:space="preserve">Redemption </w:t>
            </w:r>
            <w:r>
              <w:rPr>
                <w:rFonts w:ascii="Times New Roman" w:cs="Times New Roman" w:eastAsia="Times New Roman" w:hAnsi="Times New Roman"/>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0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Equity</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ind w:right="12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128,000</w:t>
            </w:r>
          </w:p>
        </w:tc>
        <w:tc>
          <w:tcPr>
            <w:tcW w:w="14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8"/>
              </w:rPr>
              <w:t>February 2027</w:t>
            </w:r>
          </w:p>
        </w:tc>
        <w:tc>
          <w:tcPr>
            <w:tcW w:w="0" w:type="dxa"/>
            <w:vAlign w:val="bottom"/>
          </w:tcPr>
          <w:p>
            <w:pPr>
              <w:spacing w:after="0"/>
              <w:rPr>
                <w:sz w:val="1"/>
                <w:szCs w:val="1"/>
                <w:color w:val="auto"/>
              </w:rPr>
            </w:pPr>
          </w:p>
        </w:tc>
      </w:tr>
      <w:tr>
        <w:trPr>
          <w:trHeight w:val="20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tcPr>
          <w:p>
            <w:pPr>
              <w:jc w:val="right"/>
              <w:ind w:right="12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136,720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128,000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deferred origination fees.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redemption, excluding any unexercised extension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633095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Investments in Unconsolidated Joint Ventures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have investments in several real estate joint ventures with various third-party partners. As of December 31, 2024, the book value of these investments was $2.7 billion, net of investments with negative book values totaling $150.5 million for which we have an implicit commitment to fund future capital needs.</w:t>
      </w:r>
    </w:p>
    <w:p>
      <w:pPr>
        <w:spacing w:after="0" w:line="4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As of December 31, 2024, 800 Third Avenue and our preferred equity investment in 625 Madison Avenue are VIEs in which we are not the primary beneficiary. As of December 31, 2023, 800 Third Avenue and 625 Madison Avenue were VIEs in which we are not the primary beneficiary. Our net equity investment in these VIEs was $263.8 million as of December 31, 2024, and $437.9 million as of December 31, 2023. Our maximum loss is limited to the amount of our equity investment in these VIEs. See the "Principles of Consolidation" section of Note 2, "Significant Accounting Policies." All other investments below are voting interest entities. As we have the ability to exercise significant influence over, but do not control, the joint ventures listed below, we account for them under the equity method of accounting.</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provides general information on each of our joint ventures as of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780" w:type="dxa"/>
            <w:vAlign w:val="bottom"/>
            <w:vMerge w:val="restart"/>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7"/>
              </w:rPr>
              <w:t>Economic</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157"/>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160" w:type="dxa"/>
            <w:vAlign w:val="bottom"/>
            <w:vMerge w:val="restart"/>
          </w:tcPr>
          <w:p>
            <w:pPr>
              <w:ind w:left="330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1780" w:type="dxa"/>
            <w:vAlign w:val="bottom"/>
            <w:vMerge w:val="continue"/>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Approximate</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auto"/>
            </w:tcBorders>
            <w:gridSpan w:val="2"/>
            <w:vMerge w:val="continue"/>
          </w:tcPr>
          <w:p>
            <w:pPr>
              <w:spacing w:after="0"/>
              <w:rPr>
                <w:sz w:val="18"/>
                <w:szCs w:val="18"/>
                <w:color w:val="auto"/>
              </w:rPr>
            </w:pPr>
          </w:p>
        </w:tc>
        <w:tc>
          <w:tcPr>
            <w:tcW w:w="616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tcPr>
          <w:p>
            <w:pPr>
              <w:jc w:val="center"/>
              <w:ind w:left="581"/>
              <w:spacing w:after="0" w:line="209" w:lineRule="exact"/>
              <w:rPr>
                <w:sz w:val="20"/>
                <w:szCs w:val="20"/>
                <w:color w:val="auto"/>
              </w:rPr>
            </w:pPr>
            <w:r>
              <w:rPr>
                <w:rFonts w:ascii="Times New Roman" w:cs="Times New Roman" w:eastAsia="Times New Roman" w:hAnsi="Times New Roman"/>
                <w:sz w:val="16"/>
                <w:szCs w:val="16"/>
                <w:b w:val="1"/>
                <w:bCs w:val="1"/>
                <w:color w:val="auto"/>
                <w:w w:val="93"/>
              </w:rPr>
              <w:t xml:space="preserve">Interest </w:t>
            </w:r>
            <w:r>
              <w:rPr>
                <w:rFonts w:ascii="Times New Roman" w:cs="Times New Roman" w:eastAsia="Times New Roman" w:hAnsi="Times New Roman"/>
                <w:sz w:val="20"/>
                <w:szCs w:val="20"/>
                <w:b w:val="1"/>
                <w:bCs w:val="1"/>
                <w:color w:val="auto"/>
                <w:w w:val="93"/>
                <w:vertAlign w:val="superscript"/>
              </w:rPr>
              <w:t>(1)</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Square Feet</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800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 Investors</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60.52%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526,000</w:t>
            </w: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919</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New York State Teacher's Retirement System</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51.00%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1,454,000</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11 West 34th Street </w:t>
            </w:r>
            <w:r>
              <w:rPr>
                <w:rFonts w:ascii="Times New Roman" w:cs="Times New Roman" w:eastAsia="Times New Roman" w:hAnsi="Times New Roman"/>
                <w:sz w:val="20"/>
                <w:szCs w:val="20"/>
                <w:color w:val="auto"/>
                <w:vertAlign w:val="superscript"/>
              </w:rPr>
              <w:t>(2)</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 Investor / Wharton Properties</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30.00%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Vornado Realty Trust</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50.00%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1,219,158</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1552-1560 Broadway </w:t>
            </w:r>
            <w:r>
              <w:rPr>
                <w:rFonts w:ascii="Times New Roman" w:cs="Times New Roman" w:eastAsia="Times New Roman" w:hAnsi="Times New Roman"/>
                <w:sz w:val="20"/>
                <w:szCs w:val="20"/>
                <w:color w:val="auto"/>
                <w:vertAlign w:val="superscript"/>
              </w:rPr>
              <w:t>(2) (3)</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Wharton Properties</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50.00%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57,718</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650</w:t>
            </w:r>
          </w:p>
        </w:tc>
        <w:tc>
          <w:tcPr>
            <w:tcW w:w="170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Fifth Avenue </w:t>
            </w:r>
            <w:r>
              <w:rPr>
                <w:rFonts w:ascii="Times New Roman" w:cs="Times New Roman" w:eastAsia="Times New Roman" w:hAnsi="Times New Roman"/>
                <w:sz w:val="20"/>
                <w:szCs w:val="20"/>
                <w:color w:val="auto"/>
                <w:vertAlign w:val="superscript"/>
              </w:rPr>
              <w:t>(2) (4)</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Wharton Properties</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50.00%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69,214</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PGIM Real Estate</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60.00%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2,314,000</w:t>
            </w:r>
          </w:p>
        </w:tc>
        <w:tc>
          <w:tcPr>
            <w:tcW w:w="0" w:type="dxa"/>
            <w:vAlign w:val="bottom"/>
          </w:tcPr>
          <w:p>
            <w:pPr>
              <w:spacing w:after="0"/>
              <w:rPr>
                <w:sz w:val="1"/>
                <w:szCs w:val="1"/>
                <w:color w:val="auto"/>
              </w:rPr>
            </w:pPr>
          </w:p>
        </w:tc>
      </w:tr>
      <w:tr>
        <w:trPr>
          <w:trHeight w:val="210"/>
        </w:trPr>
        <w:tc>
          <w:tcPr>
            <w:tcW w:w="19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One Vanderbilt Avenue </w:t>
            </w:r>
            <w:r>
              <w:rPr>
                <w:rFonts w:ascii="Times New Roman" w:cs="Times New Roman" w:eastAsia="Times New Roman" w:hAnsi="Times New Roman"/>
                <w:sz w:val="20"/>
                <w:szCs w:val="20"/>
                <w:color w:val="auto"/>
                <w:vertAlign w:val="superscript"/>
              </w:rPr>
              <w:t>(5)</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National Pension Service of Korea / Hines Interest LP / Mori Building Co., Ltd</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60.01%</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1,657,198</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Worldwide Plaza </w:t>
            </w:r>
            <w:r>
              <w:rPr>
                <w:rFonts w:ascii="Times New Roman" w:cs="Times New Roman" w:eastAsia="Times New Roman" w:hAnsi="Times New Roman"/>
                <w:sz w:val="20"/>
                <w:szCs w:val="20"/>
                <w:color w:val="auto"/>
                <w:vertAlign w:val="superscript"/>
              </w:rPr>
              <w:t>(2) (6)</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RXR Realty / New York REIT</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24.95%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2,048,725</w:t>
            </w:r>
          </w:p>
        </w:tc>
        <w:tc>
          <w:tcPr>
            <w:tcW w:w="0" w:type="dxa"/>
            <w:vAlign w:val="bottom"/>
          </w:tcPr>
          <w:p>
            <w:pPr>
              <w:spacing w:after="0"/>
              <w:rPr>
                <w:sz w:val="1"/>
                <w:szCs w:val="1"/>
                <w:color w:val="auto"/>
              </w:rPr>
            </w:pPr>
          </w:p>
        </w:tc>
      </w:tr>
      <w:tr>
        <w:trPr>
          <w:trHeight w:val="20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Allianz Real Estate of America</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56.87%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2 Herald Square </w:t>
            </w:r>
            <w:r>
              <w:rPr>
                <w:rFonts w:ascii="Times New Roman" w:cs="Times New Roman" w:eastAsia="Times New Roman" w:hAnsi="Times New Roman"/>
                <w:sz w:val="20"/>
                <w:szCs w:val="20"/>
                <w:color w:val="auto"/>
                <w:vertAlign w:val="superscript"/>
              </w:rPr>
              <w:t>(2) (7) (8)</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Israeli Institutional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95.00%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369,000</w:t>
            </w:r>
          </w:p>
        </w:tc>
        <w:tc>
          <w:tcPr>
            <w:tcW w:w="0" w:type="dxa"/>
            <w:vAlign w:val="bottom"/>
          </w:tcPr>
          <w:p>
            <w:pPr>
              <w:spacing w:after="0"/>
              <w:rPr>
                <w:sz w:val="1"/>
                <w:szCs w:val="1"/>
                <w:color w:val="auto"/>
              </w:rPr>
            </w:pPr>
          </w:p>
        </w:tc>
      </w:tr>
      <w:tr>
        <w:trPr>
          <w:trHeight w:val="210"/>
        </w:trPr>
        <w:tc>
          <w:tcPr>
            <w:tcW w:w="19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115 Spring Street </w:t>
            </w:r>
            <w:r>
              <w:rPr>
                <w:rFonts w:ascii="Times New Roman" w:cs="Times New Roman" w:eastAsia="Times New Roman" w:hAnsi="Times New Roman"/>
                <w:sz w:val="20"/>
                <w:szCs w:val="20"/>
                <w:color w:val="auto"/>
                <w:vertAlign w:val="superscript"/>
              </w:rPr>
              <w:t>(2) (9)</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Private Investor</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51.00%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0"/>
                <w:szCs w:val="20"/>
                <w:color w:val="auto"/>
                <w:vertAlign w:val="superscript"/>
              </w:rPr>
              <w:t>(10)</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221,884</w:t>
            </w:r>
          </w:p>
        </w:tc>
        <w:tc>
          <w:tcPr>
            <w:tcW w:w="0" w:type="dxa"/>
            <w:vAlign w:val="bottom"/>
          </w:tcPr>
          <w:p>
            <w:pPr>
              <w:spacing w:after="0"/>
              <w:rPr>
                <w:sz w:val="1"/>
                <w:szCs w:val="1"/>
                <w:color w:val="auto"/>
              </w:rPr>
            </w:pPr>
          </w:p>
        </w:tc>
      </w:tr>
      <w:tr>
        <w:trPr>
          <w:trHeight w:val="210"/>
        </w:trPr>
        <w:tc>
          <w:tcPr>
            <w:tcW w:w="19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85 Fifth Avenue </w:t>
            </w:r>
            <w:r>
              <w:rPr>
                <w:rFonts w:ascii="Times New Roman" w:cs="Times New Roman" w:eastAsia="Times New Roman" w:hAnsi="Times New Roman"/>
                <w:sz w:val="20"/>
                <w:szCs w:val="20"/>
                <w:color w:val="auto"/>
                <w:vertAlign w:val="superscript"/>
              </w:rPr>
              <w:t>(11)</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Wells Fargo</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36.27%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One Madison Avenue </w:t>
            </w:r>
            <w:r>
              <w:rPr>
                <w:rFonts w:ascii="Times New Roman" w:cs="Times New Roman" w:eastAsia="Times New Roman" w:hAnsi="Times New Roman"/>
                <w:sz w:val="20"/>
                <w:szCs w:val="20"/>
                <w:color w:val="auto"/>
                <w:vertAlign w:val="superscript"/>
              </w:rPr>
              <w:t>(12)</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National Pension Service of Korea / Hines Interest LP / International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25.50%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1,048,700</w:t>
            </w: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220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East 42nd Street</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51.00%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1,135,000</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450</w:t>
            </w:r>
          </w:p>
        </w:tc>
        <w:tc>
          <w:tcPr>
            <w:tcW w:w="17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0"/>
                <w:szCs w:val="20"/>
                <w:color w:val="auto"/>
                <w:vertAlign w:val="superscript"/>
              </w:rPr>
              <w:t>(13)</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Korean Institutional Investor / Israeli Institutional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25.10%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337,000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170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0"/>
                <w:szCs w:val="20"/>
                <w:color w:val="auto"/>
                <w:vertAlign w:val="superscript"/>
              </w:rPr>
              <w:t>(14)</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 Affiliate of Mori Trust Co., Ltd</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50.10%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625</w:t>
            </w:r>
          </w:p>
        </w:tc>
        <w:tc>
          <w:tcPr>
            <w:tcW w:w="170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0"/>
                <w:szCs w:val="20"/>
                <w:color w:val="auto"/>
                <w:vertAlign w:val="superscript"/>
              </w:rPr>
              <w:t>(15)</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90.93%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 the Company's interests in the joint venture as of December 31, 2024. Changes in economic interests within the current year are disclosed in the notes below.</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5" w:lineRule="exact"/>
        <w:rPr>
          <w:rFonts w:ascii="Times New Roman" w:cs="Times New Roman" w:eastAsia="Times New Roman" w:hAnsi="Times New Roman"/>
          <w:sz w:val="14"/>
          <w:szCs w:val="14"/>
          <w:color w:val="auto"/>
        </w:rPr>
      </w:pPr>
    </w:p>
    <w:p>
      <w:pPr>
        <w:jc w:val="both"/>
        <w:ind w:left="400" w:hanging="395"/>
        <w:spacing w:after="0" w:line="254" w:lineRule="auto"/>
        <w:tabs>
          <w:tab w:leader="none" w:pos="3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and certain other spaces at 1560 Broadway, which is adjacent to 1552 Broadway. In December 2023, following an assessment of the investment for recoverability, the Company recorded a charge of $8.1 million, which is included in Depreciable real estate reserves and impairments in the consolidated statements of operations.</w:t>
      </w:r>
    </w:p>
    <w:p>
      <w:pPr>
        <w:ind w:left="400" w:hanging="395"/>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at 650 Fifth Avenue.</w:t>
      </w:r>
    </w:p>
    <w:p>
      <w:pPr>
        <w:ind w:left="400" w:hanging="395"/>
        <w:spacing w:after="0" w:line="251" w:lineRule="auto"/>
        <w:tabs>
          <w:tab w:leader="none" w:pos="3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2024, the Company sold an additional 11% interest in the joint venture. The Company retained a 60.01% ownership interest in the investment and recognized a $187.6 million gain in Equity in net gain (loss) on sale of interest in unconsolidated joint venture/real estate.</w:t>
      </w:r>
    </w:p>
    <w:p>
      <w:pPr>
        <w:ind w:left="400" w:hanging="395"/>
        <w:spacing w:after="0" w:line="254" w:lineRule="auto"/>
        <w:tabs>
          <w:tab w:leader="none" w:pos="3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investment for recoverability, the Company recorded a charge of $72.6 million, which is included in Equity in net loss from unconsolidated joint ventures in the consolidated statements of operations.</w:t>
      </w:r>
    </w:p>
    <w:p>
      <w:pPr>
        <w:jc w:val="both"/>
        <w:ind w:left="400" w:hanging="395"/>
        <w:spacing w:after="0" w:line="249" w:lineRule="auto"/>
        <w:tabs>
          <w:tab w:leader="none" w:pos="3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2023, following an assessment of the property and the investment for recoverability, the Company recorded a charge of $101.7 million, which is included in Depreciable real estate reserves and impairments in the consolidated statements of operations. In January 2024, the Company closed on the acquisition of interests in the joint venture that owns the leasehold interest for no consideration, which increases the Company's interest in the joint venture to 95.0%. In addition, in February 2024, the joint venture settled the previously existing $182.5 million mortgage on the property for a net payment of $7.0 million.</w:t>
      </w:r>
    </w:p>
    <w:p>
      <w:pPr>
        <w:ind w:left="400" w:hanging="395"/>
        <w:spacing w:after="0" w:line="268" w:lineRule="auto"/>
        <w:tabs>
          <w:tab w:leader="none" w:pos="3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investment for recoverability, the Company recorded a charge of $20.4 million, which is included in Equity in net loss from unconsolidated joint ventures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69" w:lineRule="exact"/>
        <w:rPr>
          <w:sz w:val="20"/>
          <w:szCs w:val="20"/>
          <w:color w:val="auto"/>
        </w:rPr>
      </w:pPr>
    </w:p>
    <w:p>
      <w:pPr>
        <w:ind w:left="400" w:hanging="395"/>
        <w:spacing w:after="0" w:line="263" w:lineRule="auto"/>
        <w:tabs>
          <w:tab w:leader="none" w:pos="3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property for recoverability, the Company recognized a charge of $11.7 million, which is included in Equity in net loss from unconsolidated joint ventures in the consolidated statements of operations.</w:t>
      </w:r>
    </w:p>
    <w:p>
      <w:pPr>
        <w:ind w:left="400" w:hanging="395"/>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the Company formed a joint venture, which then entered into a long-term sublease with the Company.</w:t>
      </w:r>
    </w:p>
    <w:p>
      <w:pPr>
        <w:ind w:left="400" w:hanging="395"/>
        <w:spacing w:after="0" w:line="244" w:lineRule="auto"/>
        <w:tabs>
          <w:tab w:leader="none" w:pos="39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property and investment for recoverability, the Company recorded a charge of $12.0 million, which is included in Equity in net loss from unconsolidated joint ventures in the consolidated statements of operations.</w:t>
      </w:r>
    </w:p>
    <w:p>
      <w:pPr>
        <w:jc w:val="both"/>
        <w:ind w:left="400" w:hanging="395"/>
        <w:spacing w:after="0" w:line="239" w:lineRule="auto"/>
        <w:tabs>
          <w:tab w:leader="none" w:pos="3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admitted an additional partner to the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 at December 31, 2024 and 2023.</w:t>
      </w:r>
    </w:p>
    <w:p>
      <w:pPr>
        <w:jc w:val="both"/>
        <w:ind w:left="400" w:hanging="395"/>
        <w:spacing w:after="0" w:line="241" w:lineRule="auto"/>
        <w:tabs>
          <w:tab w:leader="none" w:pos="3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25.1% economic interest reflected in this table excludes a 25.0% economic interest held by a third party. The third-party's economic interest is held in a joint venture that we consolidate as a 50.1% ownership interest. The third-party's 25.0% economic interest is recognized in Noncontrolling interests in other partnerships on our consolidated balance sheet. A separate third-party owns the remaining 49.9% economic interest in the property.</w:t>
      </w:r>
    </w:p>
    <w:p>
      <w:pPr>
        <w:jc w:val="both"/>
        <w:ind w:left="400" w:hanging="395"/>
        <w:spacing w:after="0" w:line="236" w:lineRule="auto"/>
        <w:tabs>
          <w:tab w:leader="none" w:pos="3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Company sold a 49.9% interest, which resulted in the Company no longer retaining a controlling interest in the entity, as defined in ASC 810, and deconsolidation of the 50.1% interest we retained. We recorded our investment at fair value which resulted in the recognition of a fair value adjustment of ($17.0 million) during the year ended December 31, 2023. The fair value of our investment was determined by the terms of the joint venture agreement.</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56" w:lineRule="auto"/>
        <w:tabs>
          <w:tab w:leader="none" w:pos="3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2023, following a UCC foreclosure, the Company converted its previous mezzanine debt investments in the fee interest to a 90.43% ownership interest. See Note 5, "Debt and Preferred Equity Investments." In December 2023, together with its joint venture partner, the Company entered into a contract to sell the fee ownership in the property. In connection with this contract, the Company recorded a charge of $23.1 million, which is included in Depreciable real estate reserves and impairments in the consolidated statements of operations. In connection with the sale, which closed in May 2024, the Company, together with its joint venture partner, originated a $235.4 million preferred equity investment in the property with a mandatory redemption date of December 2026. The Company's share, net of unamortized discounts, is $214.7 million with an aggregate weighted average current yield of 8.86% as of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 of Joint Venture Interests or Properties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investments in unconsolidated joint ventures sold during the years ended December 31, 2024, 2023, and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Ownership Interest</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Gross Asset Valuation</w:t>
            </w:r>
          </w:p>
        </w:tc>
        <w:tc>
          <w:tcPr>
            <w:tcW w:w="180" w:type="dxa"/>
            <w:vAlign w:val="bottom"/>
          </w:tcPr>
          <w:p>
            <w:pPr>
              <w:spacing w:after="0"/>
              <w:rPr>
                <w:sz w:val="16"/>
                <w:szCs w:val="16"/>
                <w:color w:val="auto"/>
              </w:rPr>
            </w:pPr>
          </w:p>
        </w:tc>
        <w:tc>
          <w:tcPr>
            <w:tcW w:w="144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Gain (Loss)</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40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600" w:type="dxa"/>
            <w:vAlign w:val="bottom"/>
            <w:gridSpan w:val="2"/>
            <w:vMerge w:val="continue"/>
          </w:tcPr>
          <w:p>
            <w:pPr>
              <w:spacing w:after="0"/>
              <w:rPr>
                <w:sz w:val="13"/>
                <w:szCs w:val="13"/>
                <w:color w:val="auto"/>
              </w:rPr>
            </w:pPr>
          </w:p>
        </w:tc>
        <w:tc>
          <w:tcPr>
            <w:tcW w:w="1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Disposition Date</w:t>
            </w:r>
          </w:p>
        </w:tc>
        <w:tc>
          <w:tcPr>
            <w:tcW w:w="17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center"/>
              <w:ind w:right="101"/>
              <w:spacing w:after="0" w:line="158" w:lineRule="exact"/>
              <w:rPr>
                <w:sz w:val="20"/>
                <w:szCs w:val="20"/>
                <w:color w:val="auto"/>
              </w:rPr>
            </w:pPr>
            <w:r>
              <w:rPr>
                <w:rFonts w:ascii="Times New Roman" w:cs="Times New Roman" w:eastAsia="Times New Roman" w:hAnsi="Times New Roman"/>
                <w:sz w:val="16"/>
                <w:szCs w:val="16"/>
                <w:b w:val="1"/>
                <w:bCs w:val="1"/>
                <w:color w:val="auto"/>
              </w:rPr>
              <w:t>on Sale</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20" w:type="dxa"/>
            <w:vAlign w:val="bottom"/>
            <w:gridSpan w:val="2"/>
            <w:vMerge w:val="continue"/>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Sold</w:t>
            </w:r>
          </w:p>
        </w:tc>
        <w:tc>
          <w:tcPr>
            <w:tcW w:w="1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8"/>
                <w:szCs w:val="18"/>
                <w:color w:val="auto"/>
              </w:rPr>
            </w:pPr>
          </w:p>
        </w:tc>
        <w:tc>
          <w:tcPr>
            <w:tcW w:w="1440" w:type="dxa"/>
            <w:vAlign w:val="bottom"/>
          </w:tcPr>
          <w:p>
            <w:pPr>
              <w:jc w:val="center"/>
              <w:ind w:right="101"/>
              <w:spacing w:after="0" w:line="209" w:lineRule="exact"/>
              <w:rPr>
                <w:sz w:val="20"/>
                <w:szCs w:val="20"/>
                <w:color w:val="auto"/>
              </w:rPr>
            </w:pPr>
            <w:r>
              <w:rPr>
                <w:rFonts w:ascii="Times New Roman" w:cs="Times New Roman" w:eastAsia="Times New Roman" w:hAnsi="Times New Roman"/>
                <w:sz w:val="16"/>
                <w:szCs w:val="16"/>
                <w:b w:val="1"/>
                <w:bCs w:val="1"/>
                <w:color w:val="auto"/>
                <w:w w:val="91"/>
              </w:rPr>
              <w:t xml:space="preserve">(in millions) </w:t>
            </w:r>
            <w:r>
              <w:rPr>
                <w:rFonts w:ascii="Times New Roman" w:cs="Times New Roman" w:eastAsia="Times New Roman" w:hAnsi="Times New Roman"/>
                <w:sz w:val="20"/>
                <w:szCs w:val="20"/>
                <w:b w:val="1"/>
                <w:bCs w:val="1"/>
                <w:color w:val="auto"/>
                <w:w w:val="91"/>
                <w:vertAlign w:val="superscript"/>
              </w:rPr>
              <w:t>(1) (2)</w:t>
            </w:r>
          </w:p>
        </w:tc>
        <w:tc>
          <w:tcPr>
            <w:tcW w:w="0" w:type="dxa"/>
            <w:vAlign w:val="bottom"/>
          </w:tcPr>
          <w:p>
            <w:pPr>
              <w:spacing w:after="0"/>
              <w:rPr>
                <w:sz w:val="1"/>
                <w:szCs w:val="1"/>
                <w:color w:val="auto"/>
              </w:rPr>
            </w:pPr>
          </w:p>
        </w:tc>
      </w:tr>
      <w:tr>
        <w:trPr>
          <w:trHeight w:val="203"/>
        </w:trPr>
        <w:tc>
          <w:tcPr>
            <w:tcW w:w="4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11.00%</w:t>
            </w:r>
          </w:p>
        </w:tc>
        <w:tc>
          <w:tcPr>
            <w:tcW w:w="1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November 2024</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625</w:t>
            </w:r>
          </w:p>
        </w:tc>
        <w:tc>
          <w:tcPr>
            <w:tcW w:w="402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0"/>
                <w:szCs w:val="20"/>
                <w:color w:val="auto"/>
                <w:vertAlign w:val="superscript"/>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90.43%</w:t>
            </w:r>
          </w:p>
        </w:tc>
        <w:tc>
          <w:tcPr>
            <w:tcW w:w="16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May 2024</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717</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Fifth Avenue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10.92%</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January 2024</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8"/>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21 East 66th Street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32.28%</w:t>
            </w:r>
          </w:p>
        </w:tc>
        <w:tc>
          <w:tcPr>
            <w:tcW w:w="16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December 2023</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121</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Greene Street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50.00%</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8"/>
              </w:rPr>
              <w:t>February 2023</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Stonehenge Portfolio</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4"/>
              </w:rPr>
              <w:t>Various</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April 2022</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0" w:hanging="395"/>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share of the gain or loss</w:t>
      </w:r>
    </w:p>
    <w:p>
      <w:pPr>
        <w:spacing w:after="0" w:line="21" w:lineRule="exact"/>
        <w:rPr>
          <w:rFonts w:ascii="Times New Roman" w:cs="Times New Roman" w:eastAsia="Times New Roman" w:hAnsi="Times New Roman"/>
          <w:sz w:val="14"/>
          <w:szCs w:val="14"/>
          <w:color w:val="auto"/>
        </w:rPr>
      </w:pPr>
    </w:p>
    <w:p>
      <w:pPr>
        <w:jc w:val="both"/>
        <w:ind w:left="400" w:hanging="395"/>
        <w:spacing w:after="0" w:line="247" w:lineRule="auto"/>
        <w:tabs>
          <w:tab w:leader="none" w:pos="3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December 31, 2023, the (losses) gains on sale are net of $16.8 million and $2.0 million, respectively, of employee compensation accrued in connection with the realization of the investment dispositions. There was no amount accrued for employee compensation in the year ended December 31, 2022. Additionally, amounts do not include adjustments for expenses recorded in subsequent periods.</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58" w:lineRule="auto"/>
        <w:tabs>
          <w:tab w:leader="none" w:pos="3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fee ownership interest, the Company, together with its joint venture partner, originated a $235.4 million preferred equity investment in the property with a mandatory redemption date of December 2026. The Company's share, net of unamortized discounts, is $214.7 million with an aggregate weighted average current yield of 8.86% as of December 31, 2024. Prior to the completion of the sale, the Company recorded a charge of $5.9 million for capital contributions required during the three months ended March 31, 2024 while the investment was under contract, which is included in Depreciable real estate reserves and impairments 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 Venture Mortgages and Other Loans Payable</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December 31, 2024 and 2023, respectively,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260" w:type="dxa"/>
            <w:vAlign w:val="bottom"/>
          </w:tcPr>
          <w:p>
            <w:pPr>
              <w:spacing w:after="0"/>
              <w:rPr>
                <w:sz w:val="16"/>
                <w:szCs w:val="16"/>
                <w:color w:val="auto"/>
              </w:rPr>
            </w:pPr>
          </w:p>
        </w:tc>
        <w:tc>
          <w:tcPr>
            <w:tcW w:w="200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Current Maturity</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340" w:type="dxa"/>
            <w:vAlign w:val="bottom"/>
          </w:tcPr>
          <w:p>
            <w:pPr>
              <w:spacing w:after="0"/>
              <w:rPr>
                <w:sz w:val="17"/>
                <w:szCs w:val="17"/>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200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1780" w:type="dxa"/>
            <w:vAlign w:val="bottom"/>
            <w:gridSpan w:val="3"/>
          </w:tcPr>
          <w:p>
            <w:pPr>
              <w:spacing w:after="0"/>
              <w:rPr>
                <w:sz w:val="2"/>
                <w:szCs w:val="2"/>
                <w:color w:val="auto"/>
              </w:rPr>
            </w:pPr>
          </w:p>
        </w:tc>
        <w:tc>
          <w:tcPr>
            <w:tcW w:w="13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1320" w:type="dxa"/>
            <w:vAlign w:val="bottom"/>
          </w:tcPr>
          <w:p>
            <w:pPr>
              <w:spacing w:after="0"/>
              <w:rPr>
                <w:sz w:val="2"/>
                <w:szCs w:val="2"/>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8"/>
                <w:szCs w:val="18"/>
                <w:b w:val="1"/>
                <w:bCs w:val="1"/>
                <w:color w:val="auto"/>
                <w:vertAlign w:val="superscript"/>
              </w:rPr>
              <w:t>(2)</w:t>
            </w:r>
          </w:p>
        </w:tc>
        <w:tc>
          <w:tcPr>
            <w:tcW w:w="340" w:type="dxa"/>
            <w:vAlign w:val="bottom"/>
          </w:tcPr>
          <w:p>
            <w:pPr>
              <w:spacing w:after="0"/>
              <w:rPr>
                <w:sz w:val="2"/>
                <w:szCs w:val="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20" w:type="dxa"/>
            <w:vAlign w:val="bottom"/>
            <w:gridSpan w:val="3"/>
            <w:vMerge w:val="continue"/>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SLG Share</w:t>
            </w:r>
          </w:p>
        </w:tc>
        <w:tc>
          <w:tcPr>
            <w:tcW w:w="26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SLG Share</w:t>
            </w:r>
          </w:p>
        </w:tc>
        <w:tc>
          <w:tcPr>
            <w:tcW w:w="0" w:type="dxa"/>
            <w:vAlign w:val="bottom"/>
          </w:tcPr>
          <w:p>
            <w:pPr>
              <w:spacing w:after="0"/>
              <w:rPr>
                <w:sz w:val="1"/>
                <w:szCs w:val="1"/>
                <w:color w:val="auto"/>
              </w:rPr>
            </w:pPr>
          </w:p>
        </w:tc>
      </w:tr>
      <w:tr>
        <w:trPr>
          <w:trHeight w:val="190"/>
        </w:trPr>
        <w:tc>
          <w:tcPr>
            <w:tcW w:w="1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Debt:</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650</w:t>
            </w:r>
          </w:p>
        </w:tc>
        <w:tc>
          <w:tcPr>
            <w:tcW w:w="154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line="197" w:lineRule="exact"/>
              <w:rPr>
                <w:sz w:val="20"/>
                <w:szCs w:val="20"/>
                <w:color w:val="auto"/>
              </w:rPr>
            </w:pPr>
            <w:r>
              <w:rPr>
                <w:rFonts w:ascii="Times New Roman" w:cs="Times New Roman" w:eastAsia="Times New Roman" w:hAnsi="Times New Roman"/>
                <w:sz w:val="14"/>
                <w:szCs w:val="14"/>
                <w:color w:val="auto"/>
              </w:rPr>
              <w:t xml:space="preserve">February 2025 </w:t>
            </w:r>
            <w:r>
              <w:rPr>
                <w:rFonts w:ascii="Times New Roman" w:cs="Times New Roman" w:eastAsia="Times New Roman" w:hAnsi="Times New Roman"/>
                <w:sz w:val="18"/>
                <w:szCs w:val="18"/>
                <w:color w:val="auto"/>
                <w:vertAlign w:val="superscript"/>
              </w:rPr>
              <w:t>(5)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July 2025</w:t>
            </w:r>
          </w:p>
        </w:tc>
        <w:tc>
          <w:tcPr>
            <w:tcW w:w="34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32,500</w:t>
            </w:r>
          </w:p>
        </w:tc>
        <w:tc>
          <w:tcPr>
            <w:tcW w:w="10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197"/>
        </w:trPr>
        <w:tc>
          <w:tcPr>
            <w:tcW w:w="1780" w:type="dxa"/>
            <w:vAlign w:val="bottom"/>
            <w:gridSpan w:val="3"/>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115 Spring Street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March 2025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March 2025</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33,431</w:t>
            </w:r>
          </w:p>
        </w:tc>
        <w:tc>
          <w:tcPr>
            <w:tcW w:w="0" w:type="dxa"/>
            <w:vAlign w:val="bottom"/>
          </w:tcPr>
          <w:p>
            <w:pPr>
              <w:spacing w:after="0"/>
              <w:rPr>
                <w:sz w:val="1"/>
                <w:szCs w:val="1"/>
                <w:color w:val="auto"/>
              </w:rPr>
            </w:pPr>
          </w:p>
        </w:tc>
      </w:tr>
      <w:tr>
        <w:trPr>
          <w:trHeight w:val="191"/>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450</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June 2025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June 2027</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284,835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71,494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68,120</w:t>
            </w: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 Madison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September 2025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2025</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15 Beekman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January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2028</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800</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February 2026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2026</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107,120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1515 Broadway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March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March 2028</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740,947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421,369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433,344</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919</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April 2026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2028</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280 Park Avenue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September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2028</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537,500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245</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June 2027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2027</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1,768,000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885,768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885,768</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One Madison Avenue </w:t>
            </w:r>
            <w:r>
              <w:rPr>
                <w:rFonts w:ascii="Times New Roman" w:cs="Times New Roman" w:eastAsia="Times New Roman" w:hAnsi="Times New Roman"/>
                <w:sz w:val="18"/>
                <w:szCs w:val="18"/>
                <w:color w:val="auto"/>
                <w:vertAlign w:val="superscript"/>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November 2027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November 2027</w:t>
            </w:r>
          </w:p>
        </w:tc>
        <w:tc>
          <w:tcPr>
            <w:tcW w:w="34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658,357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167,881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186,941</w:t>
            </w:r>
          </w:p>
        </w:tc>
        <w:tc>
          <w:tcPr>
            <w:tcW w:w="0" w:type="dxa"/>
            <w:vAlign w:val="bottom"/>
          </w:tcPr>
          <w:p>
            <w:pPr>
              <w:spacing w:after="0"/>
              <w:rPr>
                <w:sz w:val="1"/>
                <w:szCs w:val="1"/>
                <w:color w:val="auto"/>
              </w:rPr>
            </w:pPr>
          </w:p>
        </w:tc>
      </w:tr>
      <w:tr>
        <w:trPr>
          <w:trHeight w:val="197"/>
        </w:trPr>
        <w:tc>
          <w:tcPr>
            <w:tcW w:w="1780" w:type="dxa"/>
            <w:vAlign w:val="bottom"/>
            <w:gridSpan w:val="3"/>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Worldwide Plaza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November 2027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November 2027</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299,400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299,400</w:t>
            </w:r>
          </w:p>
        </w:tc>
        <w:tc>
          <w:tcPr>
            <w:tcW w:w="0" w:type="dxa"/>
            <w:vAlign w:val="bottom"/>
          </w:tcPr>
          <w:p>
            <w:pPr>
              <w:spacing w:after="0"/>
              <w:rPr>
                <w:sz w:val="1"/>
                <w:szCs w:val="1"/>
                <w:color w:val="auto"/>
              </w:rPr>
            </w:pPr>
          </w:p>
        </w:tc>
      </w:tr>
      <w:tr>
        <w:trPr>
          <w:trHeight w:val="191"/>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220</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East 42nd Street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December 2027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December 2027</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253,170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257,760</w:t>
            </w: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Vanderbilt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July 2031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July 2031</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1,800,300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2,130,300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5 Times Square </w:t>
            </w:r>
            <w:r>
              <w:rPr>
                <w:rFonts w:ascii="Times New Roman" w:cs="Times New Roman" w:eastAsia="Times New Roman" w:hAnsi="Times New Roman"/>
                <w:sz w:val="18"/>
                <w:szCs w:val="18"/>
                <w:color w:val="auto"/>
                <w:vertAlign w:val="superscript"/>
              </w:rPr>
              <w:t>(7)</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150,740</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625</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Madison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180,848</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 East 53rd Street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717</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Fifth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71,536</w:t>
            </w:r>
          </w:p>
        </w:tc>
        <w:tc>
          <w:tcPr>
            <w:tcW w:w="0" w:type="dxa"/>
            <w:vAlign w:val="bottom"/>
          </w:tcPr>
          <w:p>
            <w:pPr>
              <w:spacing w:after="0"/>
              <w:rPr>
                <w:sz w:val="1"/>
                <w:szCs w:val="1"/>
                <w:color w:val="auto"/>
              </w:rPr>
            </w:pPr>
          </w:p>
        </w:tc>
      </w:tr>
      <w:tr>
        <w:trPr>
          <w:trHeight w:val="184"/>
        </w:trPr>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fixed rate debt</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11,551,101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5,728,933</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12,000,559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6,053,808</w:t>
            </w:r>
          </w:p>
        </w:tc>
        <w:tc>
          <w:tcPr>
            <w:tcW w:w="0" w:type="dxa"/>
            <w:vAlign w:val="bottom"/>
          </w:tcPr>
          <w:p>
            <w:pPr>
              <w:spacing w:after="0"/>
              <w:rPr>
                <w:sz w:val="1"/>
                <w:szCs w:val="1"/>
                <w:color w:val="auto"/>
              </w:rPr>
            </w:pPr>
          </w:p>
        </w:tc>
      </w:tr>
      <w:tr>
        <w:trPr>
          <w:trHeight w:val="216"/>
        </w:trPr>
        <w:tc>
          <w:tcPr>
            <w:tcW w:w="1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11 West 34th Street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(8)</w:t>
            </w:r>
          </w:p>
        </w:tc>
        <w:tc>
          <w:tcPr>
            <w:tcW w:w="12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1552 Broadway </w:t>
            </w:r>
            <w:r>
              <w:rPr>
                <w:rFonts w:ascii="Times New Roman" w:cs="Times New Roman" w:eastAsia="Times New Roman" w:hAnsi="Times New Roman"/>
                <w:sz w:val="18"/>
                <w:szCs w:val="18"/>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line="197"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(9)</w:t>
            </w:r>
          </w:p>
        </w:tc>
        <w:tc>
          <w:tcPr>
            <w:tcW w:w="1260" w:type="dxa"/>
            <w:vAlign w:val="bottom"/>
            <w:gridSpan w:val="2"/>
          </w:tcPr>
          <w:p>
            <w:pPr>
              <w:jc w:val="right"/>
              <w:ind w:right="100"/>
              <w:spacing w:after="0" w:line="197"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(9)</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193,132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96,566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96,567</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650</w:t>
            </w:r>
          </w:p>
        </w:tc>
        <w:tc>
          <w:tcPr>
            <w:tcW w:w="15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line="197" w:lineRule="exact"/>
              <w:rPr>
                <w:sz w:val="20"/>
                <w:szCs w:val="20"/>
                <w:color w:val="auto"/>
              </w:rPr>
            </w:pPr>
            <w:r>
              <w:rPr>
                <w:rFonts w:ascii="Times New Roman" w:cs="Times New Roman" w:eastAsia="Times New Roman" w:hAnsi="Times New Roman"/>
                <w:sz w:val="14"/>
                <w:szCs w:val="14"/>
                <w:color w:val="auto"/>
              </w:rPr>
              <w:t xml:space="preserve">February 2025 </w:t>
            </w:r>
            <w:r>
              <w:rPr>
                <w:rFonts w:ascii="Times New Roman" w:cs="Times New Roman" w:eastAsia="Times New Roman" w:hAnsi="Times New Roman"/>
                <w:sz w:val="18"/>
                <w:szCs w:val="18"/>
                <w:color w:val="auto"/>
                <w:vertAlign w:val="superscript"/>
              </w:rPr>
              <w:t>(5)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July 2025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One Madison Avenue </w:t>
            </w:r>
            <w:r>
              <w:rPr>
                <w:rFonts w:ascii="Times New Roman" w:cs="Times New Roman" w:eastAsia="Times New Roman" w:hAnsi="Times New Roman"/>
                <w:sz w:val="18"/>
                <w:szCs w:val="18"/>
                <w:color w:val="auto"/>
                <w:vertAlign w:val="superscript"/>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November 2027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November 2027</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354,757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90,463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100</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179,640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5 Times Square </w:t>
            </w:r>
            <w:r>
              <w:rPr>
                <w:rFonts w:ascii="Times New Roman" w:cs="Times New Roman" w:eastAsia="Times New Roman" w:hAnsi="Times New Roman"/>
                <w:sz w:val="18"/>
                <w:szCs w:val="18"/>
                <w:color w:val="auto"/>
                <w:vertAlign w:val="superscript"/>
              </w:rPr>
              <w:t>(7)</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192,458</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280</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 Herald Square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93,075</w:t>
            </w: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 Beekman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24,827</w:t>
            </w:r>
          </w:p>
        </w:tc>
        <w:tc>
          <w:tcPr>
            <w:tcW w:w="0" w:type="dxa"/>
            <w:vAlign w:val="bottom"/>
          </w:tcPr>
          <w:p>
            <w:pPr>
              <w:spacing w:after="0"/>
              <w:rPr>
                <w:sz w:val="1"/>
                <w:szCs w:val="1"/>
                <w:color w:val="auto"/>
              </w:rPr>
            </w:pPr>
          </w:p>
        </w:tc>
      </w:tr>
      <w:tr>
        <w:trPr>
          <w:trHeight w:val="184"/>
        </w:trPr>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floating rate debt</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780,889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298,929</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2,902,780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1,298,467</w:t>
            </w:r>
          </w:p>
        </w:tc>
        <w:tc>
          <w:tcPr>
            <w:tcW w:w="0" w:type="dxa"/>
            <w:vAlign w:val="bottom"/>
          </w:tcPr>
          <w:p>
            <w:pPr>
              <w:spacing w:after="0"/>
              <w:rPr>
                <w:sz w:val="1"/>
                <w:szCs w:val="1"/>
                <w:color w:val="auto"/>
              </w:rPr>
            </w:pPr>
          </w:p>
        </w:tc>
      </w:tr>
      <w:tr>
        <w:trPr>
          <w:trHeight w:val="203"/>
        </w:trPr>
        <w:tc>
          <w:tcPr>
            <w:tcW w:w="3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joint venture mortgages and other loans payable</w:t>
            </w: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12,331,990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6,027,862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14,903,339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7,352,275</w:t>
            </w:r>
          </w:p>
        </w:tc>
        <w:tc>
          <w:tcPr>
            <w:tcW w:w="0" w:type="dxa"/>
            <w:vAlign w:val="bottom"/>
          </w:tcPr>
          <w:p>
            <w:pPr>
              <w:spacing w:after="0"/>
              <w:rPr>
                <w:sz w:val="1"/>
                <w:szCs w:val="1"/>
                <w:color w:val="auto"/>
              </w:rPr>
            </w:pPr>
          </w:p>
        </w:tc>
      </w:tr>
      <w:tr>
        <w:trPr>
          <w:trHeight w:val="191"/>
        </w:trPr>
        <w:tc>
          <w:tcPr>
            <w:tcW w:w="1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(97,729)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(49,058)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(104,062)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(54,865)</w:t>
            </w:r>
          </w:p>
        </w:tc>
        <w:tc>
          <w:tcPr>
            <w:tcW w:w="0" w:type="dxa"/>
            <w:vAlign w:val="bottom"/>
          </w:tcPr>
          <w:p>
            <w:pPr>
              <w:spacing w:after="0"/>
              <w:rPr>
                <w:sz w:val="1"/>
                <w:szCs w:val="1"/>
                <w:color w:val="auto"/>
              </w:rPr>
            </w:pPr>
          </w:p>
        </w:tc>
      </w:tr>
      <w:tr>
        <w:trPr>
          <w:trHeight w:val="221"/>
        </w:trPr>
        <w:tc>
          <w:tcPr>
            <w:tcW w:w="44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joint venture mortgages and other loans payable, net</w:t>
            </w: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12,234,261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5,978,804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14,799,277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7,297,410</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line="263" w:lineRule="auto"/>
        <w:tabs>
          <w:tab w:leader="none" w:pos="3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represents the Company's interests in the joint venture as of December 31, 2024. Changes in ownership or economic interests, if any, within the current year are disclosed in the notes to the investment in unconsolidated joint ventures table above.</w:t>
      </w:r>
    </w:p>
    <w:p>
      <w:pPr>
        <w:ind w:left="400" w:hanging="395"/>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9" w:lineRule="exact"/>
        <w:rPr>
          <w:rFonts w:ascii="Times New Roman" w:cs="Times New Roman" w:eastAsia="Times New Roman" w:hAnsi="Times New Roman"/>
          <w:sz w:val="14"/>
          <w:szCs w:val="14"/>
          <w:color w:val="auto"/>
        </w:rPr>
      </w:pPr>
    </w:p>
    <w:p>
      <w:pPr>
        <w:ind w:left="400" w:hanging="395"/>
        <w:spacing w:after="0" w:line="247" w:lineRule="auto"/>
        <w:tabs>
          <w:tab w:leader="none" w:pos="3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as of December 31, 2024, taking into account interest rate hedges at the joint venture. Corporate interest rate hedges are not taken into consideration. Floating rate debt is presented with the stated spread over Term SOFR ("S").</w:t>
      </w:r>
    </w:p>
    <w:p>
      <w:pPr>
        <w:ind w:left="400" w:hanging="395"/>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the maturity date of the loan was extended to July 2025.</w:t>
      </w:r>
    </w:p>
    <w:p>
      <w:pPr>
        <w:spacing w:after="0" w:line="9" w:lineRule="exact"/>
        <w:rPr>
          <w:rFonts w:ascii="Times New Roman" w:cs="Times New Roman" w:eastAsia="Times New Roman" w:hAnsi="Times New Roman"/>
          <w:sz w:val="14"/>
          <w:szCs w:val="14"/>
          <w:color w:val="auto"/>
        </w:rPr>
      </w:pPr>
    </w:p>
    <w:p>
      <w:pPr>
        <w:ind w:left="400" w:hanging="395"/>
        <w:spacing w:after="0" w:line="247" w:lineRule="auto"/>
        <w:tabs>
          <w:tab w:leader="none" w:pos="3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 a $1.25 billion construction facility, which was fully extended to November 2027. Advances under the loan are subject to costs incurred. In conjunction with the loan, the Company provided partial guarantees for interest and principal payments, the amounts of which are based on certain construction milestones and operating metrics.</w:t>
      </w:r>
    </w:p>
    <w:p>
      <w:pPr>
        <w:ind w:left="400" w:hanging="395"/>
        <w:spacing w:after="0" w:line="262" w:lineRule="auto"/>
        <w:tabs>
          <w:tab w:leader="none" w:pos="3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fourth quarter of 2024, the Company recorded a $146.4 million charge, which is included in Equity in net loss from unconsolidated joint ventures. The Company no longer has an ownership interest in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551180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69" w:lineRule="exact"/>
        <w:rPr>
          <w:sz w:val="20"/>
          <w:szCs w:val="20"/>
          <w:color w:val="auto"/>
        </w:rPr>
      </w:pPr>
    </w:p>
    <w:p>
      <w:pPr>
        <w:ind w:left="400" w:hanging="395"/>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joint venture partner is in discussions with the lender on resolution of the past maturity.</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lender on resolution of the past maturity.</w:t>
      </w:r>
    </w:p>
    <w:p>
      <w:pPr>
        <w:spacing w:after="0" w:line="238"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are entitled to receive fees for providing management, leasing, construction supervision and asset management services to certain of our joint ventures. We earned $21.9 million, $21.1 million and $24.0 million from these services, net of our ownership share of the joint ventures, for the years ended December 31, 2024, 2023, and 2022, respectively. In addition, we have the ability to earn incentive fees based on the ultimate financial performance of certain of the joint venture properties.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combined balance sheets for the unconsolidated joint ventures, as of December 31, 2024 and 2023,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2"/>
        </w:trPr>
        <w:tc>
          <w:tcPr>
            <w:tcW w:w="7340" w:type="dxa"/>
            <w:vAlign w:val="bottom"/>
            <w:tcBorders>
              <w:top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Assets </w:t>
            </w:r>
            <w:r>
              <w:rPr>
                <w:rFonts w:ascii="Times New Roman" w:cs="Times New Roman" w:eastAsia="Times New Roman" w:hAnsi="Times New Roman"/>
                <w:sz w:val="20"/>
                <w:szCs w:val="20"/>
                <w:b w:val="1"/>
                <w:bCs w:val="1"/>
                <w:i w:val="1"/>
                <w:iCs w:val="1"/>
                <w:color w:val="auto"/>
                <w:vertAlign w:val="superscript"/>
              </w:rPr>
              <w:t>(1)</w:t>
            </w: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property,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15,327,542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17,561,406</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restricted cash</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656,038</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related party receivables, and deferred rents receivable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621,748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673,532</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 net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919,658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905,934</w:t>
            </w: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1,739,549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2,584,765</w:t>
            </w:r>
          </w:p>
        </w:tc>
      </w:tr>
      <w:tr>
        <w:trPr>
          <w:trHeight w:val="204"/>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19,494,435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22,381,675</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6"/>
        </w:trPr>
        <w:tc>
          <w:tcPr>
            <w:tcW w:w="7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i w:val="1"/>
                <w:iCs w:val="1"/>
                <w:color w:val="auto"/>
              </w:rPr>
              <w:t xml:space="preserve">Liabilities and equity </w:t>
            </w:r>
            <w:r>
              <w:rPr>
                <w:rFonts w:ascii="Times New Roman" w:cs="Times New Roman" w:eastAsia="Times New Roman" w:hAnsi="Times New Roman"/>
                <w:sz w:val="20"/>
                <w:szCs w:val="20"/>
                <w:b w:val="1"/>
                <w:bCs w:val="1"/>
                <w:i w:val="1"/>
                <w:iCs w:val="1"/>
                <w:color w:val="auto"/>
                <w:vertAlign w:val="superscript"/>
              </w:rPr>
              <w:t>(1)</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12,234,261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14,799,277</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956,217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1,108,180</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1,008,085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990,276</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447,705</w:t>
            </w:r>
          </w:p>
        </w:tc>
      </w:tr>
      <w:tr>
        <w:trPr>
          <w:trHeight w:val="20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4,776,290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5,036,237</w:t>
            </w:r>
          </w:p>
        </w:tc>
      </w:tr>
      <w:tr>
        <w:trPr>
          <w:trHeight w:val="229"/>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19,494,435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22,381,675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73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Company's investments in unconsolidated joint ventures</w:t>
            </w: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2,690,138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2,983,313</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line="286" w:lineRule="auto"/>
        <w:tabs>
          <w:tab w:leader="none" w:pos="3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$480.8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66"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combined statements of operations for the unconsolidated joint ventures, from acquisition date through the years ended December 31, 2024, 2023, and 2022 are as follows (unaudited,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1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04"/>
        </w:trPr>
        <w:tc>
          <w:tcPr>
            <w:tcW w:w="6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7"/>
                <w:szCs w:val="17"/>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1,484,459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1,525,044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1,339,364</w:t>
            </w:r>
          </w:p>
        </w:tc>
        <w:tc>
          <w:tcPr>
            <w:tcW w:w="320" w:type="dxa"/>
            <w:vAlign w:val="bottom"/>
          </w:tcPr>
          <w:p>
            <w:pPr>
              <w:spacing w:after="0"/>
              <w:rPr>
                <w:sz w:val="17"/>
                <w:szCs w:val="17"/>
                <w:color w:val="auto"/>
              </w:rPr>
            </w:pPr>
          </w:p>
        </w:tc>
      </w:tr>
      <w:tr>
        <w:trPr>
          <w:trHeight w:val="202"/>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259,558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253,630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240,002</w:t>
            </w:r>
          </w:p>
        </w:tc>
        <w:tc>
          <w:tcPr>
            <w:tcW w:w="320" w:type="dxa"/>
            <w:vAlign w:val="bottom"/>
          </w:tcPr>
          <w:p>
            <w:pPr>
              <w:spacing w:after="0"/>
              <w:rPr>
                <w:sz w:val="17"/>
                <w:szCs w:val="17"/>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297,520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287,462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252,806</w:t>
            </w:r>
          </w:p>
        </w:tc>
        <w:tc>
          <w:tcPr>
            <w:tcW w:w="320" w:type="dxa"/>
            <w:vAlign w:val="bottom"/>
          </w:tcPr>
          <w:p>
            <w:pPr>
              <w:spacing w:after="0"/>
              <w:rPr>
                <w:sz w:val="18"/>
                <w:szCs w:val="18"/>
                <w:color w:val="auto"/>
              </w:rPr>
            </w:pP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29,048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26,152</w:t>
            </w:r>
          </w:p>
        </w:tc>
        <w:tc>
          <w:tcPr>
            <w:tcW w:w="320" w:type="dxa"/>
            <w:vAlign w:val="bottom"/>
          </w:tcPr>
          <w:p>
            <w:pPr>
              <w:spacing w:after="0"/>
              <w:rPr>
                <w:sz w:val="18"/>
                <w:szCs w:val="18"/>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573,148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574,032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431,865</w:t>
            </w:r>
          </w:p>
        </w:tc>
        <w:tc>
          <w:tcPr>
            <w:tcW w:w="320" w:type="dxa"/>
            <w:vAlign w:val="bottom"/>
          </w:tcPr>
          <w:p>
            <w:pPr>
              <w:spacing w:after="0"/>
              <w:rPr>
                <w:sz w:val="18"/>
                <w:szCs w:val="18"/>
                <w:color w:val="auto"/>
              </w:rPr>
            </w:pP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27,754</w:t>
            </w:r>
          </w:p>
        </w:tc>
        <w:tc>
          <w:tcPr>
            <w:tcW w:w="320" w:type="dxa"/>
            <w:vAlign w:val="bottom"/>
          </w:tcPr>
          <w:p>
            <w:pPr>
              <w:spacing w:after="0"/>
              <w:rPr>
                <w:sz w:val="18"/>
                <w:szCs w:val="18"/>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538,390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516,466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465,100</w:t>
            </w:r>
          </w:p>
        </w:tc>
        <w:tc>
          <w:tcPr>
            <w:tcW w:w="320" w:type="dxa"/>
            <w:vAlign w:val="bottom"/>
          </w:tcPr>
          <w:p>
            <w:pPr>
              <w:spacing w:after="0"/>
              <w:rPr>
                <w:sz w:val="18"/>
                <w:szCs w:val="18"/>
                <w:color w:val="auto"/>
              </w:rPr>
            </w:pPr>
          </w:p>
        </w:tc>
      </w:tr>
      <w:tr>
        <w:trPr>
          <w:trHeight w:val="202"/>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1,723,112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1,688,795</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1,443,679</w:t>
            </w:r>
          </w:p>
        </w:tc>
        <w:tc>
          <w:tcPr>
            <w:tcW w:w="320" w:type="dxa"/>
            <w:vAlign w:val="bottom"/>
          </w:tcPr>
          <w:p>
            <w:pPr>
              <w:spacing w:after="0"/>
              <w:rPr>
                <w:sz w:val="17"/>
                <w:szCs w:val="17"/>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233,704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320" w:type="dxa"/>
            <w:vAlign w:val="bottom"/>
          </w:tcPr>
          <w:p>
            <w:pPr>
              <w:spacing w:after="0"/>
              <w:rPr>
                <w:sz w:val="18"/>
                <w:szCs w:val="18"/>
                <w:color w:val="auto"/>
              </w:rPr>
            </w:pP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(181,798)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r>
      <w:tr>
        <w:trPr>
          <w:trHeight w:val="229"/>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before gain (loss) on sale</w:t>
            </w: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(186,747)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(163,751)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(104,782)</w:t>
            </w:r>
          </w:p>
        </w:tc>
        <w:tc>
          <w:tcPr>
            <w:tcW w:w="320" w:type="dxa"/>
            <w:vAlign w:val="bottom"/>
          </w:tcPr>
          <w:p>
            <w:pPr>
              <w:spacing w:after="0"/>
              <w:rPr>
                <w:sz w:val="19"/>
                <w:szCs w:val="19"/>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3"/>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2"/>
        </w:trPr>
        <w:tc>
          <w:tcPr>
            <w:tcW w:w="62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Company's equity in net loss from unconsolidated joint ventures</w:t>
            </w:r>
          </w:p>
        </w:tc>
        <w:tc>
          <w:tcPr>
            <w:tcW w:w="340" w:type="dxa"/>
            <w:vAlign w:val="bottom"/>
          </w:tcPr>
          <w:p>
            <w:pPr>
              <w:jc w:val="right"/>
              <w:ind w:right="161"/>
              <w:spacing w:after="0" w:line="18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(179,695)</w:t>
            </w:r>
          </w:p>
        </w:tc>
        <w:tc>
          <w:tcPr>
            <w:tcW w:w="460" w:type="dxa"/>
            <w:vAlign w:val="bottom"/>
            <w:gridSpan w:val="3"/>
          </w:tcPr>
          <w:p>
            <w:pPr>
              <w:jc w:val="right"/>
              <w:ind w:right="161"/>
              <w:spacing w:after="0" w:line="182"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(76,509)</w:t>
            </w:r>
          </w:p>
        </w:tc>
        <w:tc>
          <w:tcPr>
            <w:tcW w:w="100" w:type="dxa"/>
            <w:vAlign w:val="bottom"/>
          </w:tcPr>
          <w:p>
            <w:pPr>
              <w:spacing w:after="0"/>
              <w:rPr>
                <w:sz w:val="15"/>
                <w:szCs w:val="15"/>
                <w:color w:val="auto"/>
              </w:rPr>
            </w:pPr>
          </w:p>
        </w:tc>
        <w:tc>
          <w:tcPr>
            <w:tcW w:w="340" w:type="dxa"/>
            <w:vAlign w:val="bottom"/>
          </w:tcPr>
          <w:p>
            <w:pPr>
              <w:jc w:val="right"/>
              <w:ind w:right="16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(57,958)</w:t>
            </w:r>
          </w:p>
        </w:tc>
        <w:tc>
          <w:tcPr>
            <w:tcW w:w="320" w:type="dxa"/>
            <w:vAlign w:val="bottom"/>
          </w:tcPr>
          <w:p>
            <w:pPr>
              <w:spacing w:after="0"/>
              <w:rPr>
                <w:sz w:val="15"/>
                <w:szCs w:val="15"/>
                <w:color w:val="auto"/>
              </w:rPr>
            </w:pP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087"/>
        </w:trPr>
        <w:tc>
          <w:tcPr>
            <w:tcW w:w="6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Deferred Costs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Deferred costs as of December 31, 2024 and 2023 consisted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426,055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399,224</w:t>
            </w:r>
          </w:p>
        </w:tc>
      </w:tr>
      <w:tr>
        <w:trPr>
          <w:trHeight w:val="209"/>
        </w:trPr>
        <w:tc>
          <w:tcPr>
            <w:tcW w:w="7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(308,923)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(287,761)</w:t>
            </w:r>
          </w:p>
        </w:tc>
      </w:tr>
      <w:tr>
        <w:trPr>
          <w:trHeight w:val="22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117,132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Mortgages and Other Loans Payable</w:t>
      </w:r>
    </w:p>
    <w:p>
      <w:pPr>
        <w:spacing w:after="0" w:line="12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mortgages and other loans payable collateralized by the respective properties and assignment of leases or debt investments as of December 31, 2024 and 2023, respectively, were as follows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Current Maturity</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Final Maturity Date</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8"/>
                <w:szCs w:val="18"/>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c>
          <w:tcPr>
            <w:tcW w:w="15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3700" w:type="dxa"/>
            <w:vAlign w:val="bottom"/>
            <w:gridSpan w:val="3"/>
            <w:vMerge w:val="continue"/>
          </w:tcPr>
          <w:p>
            <w:pPr>
              <w:spacing w:after="0"/>
              <w:rPr>
                <w:sz w:val="13"/>
                <w:szCs w:val="13"/>
                <w:color w:val="auto"/>
              </w:rPr>
            </w:pPr>
          </w:p>
        </w:tc>
        <w:tc>
          <w:tcPr>
            <w:tcW w:w="1480" w:type="dxa"/>
            <w:vAlign w:val="bottom"/>
          </w:tcPr>
          <w:p>
            <w:pPr>
              <w:jc w:val="right"/>
              <w:ind w:right="521"/>
              <w:spacing w:after="0" w:line="158" w:lineRule="exact"/>
              <w:rPr>
                <w:sz w:val="20"/>
                <w:szCs w:val="20"/>
                <w:color w:val="auto"/>
              </w:rPr>
            </w:pPr>
            <w:r>
              <w:rPr>
                <w:rFonts w:ascii="Times New Roman" w:cs="Times New Roman" w:eastAsia="Times New Roman" w:hAnsi="Times New Roman"/>
                <w:sz w:val="16"/>
                <w:szCs w:val="16"/>
                <w:b w:val="1"/>
                <w:bCs w:val="1"/>
                <w:color w:val="auto"/>
              </w:rPr>
              <w:t>Date</w:t>
            </w:r>
          </w:p>
        </w:tc>
        <w:tc>
          <w:tcPr>
            <w:tcW w:w="144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3"/>
                <w:szCs w:val="13"/>
                <w:color w:val="auto"/>
              </w:rPr>
            </w:pPr>
          </w:p>
        </w:tc>
        <w:tc>
          <w:tcPr>
            <w:tcW w:w="104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(2)</w:t>
            </w:r>
          </w:p>
        </w:tc>
        <w:tc>
          <w:tcPr>
            <w:tcW w:w="14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Debt:</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 East 53rd Street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380" w:type="dxa"/>
            <w:vAlign w:val="bottom"/>
          </w:tcPr>
          <w:p>
            <w:pPr>
              <w:spacing w:after="0"/>
              <w:rPr>
                <w:sz w:val="18"/>
                <w:szCs w:val="18"/>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Church Street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0" w:type="dxa"/>
            <w:vAlign w:val="bottom"/>
          </w:tcPr>
          <w:p>
            <w:pPr>
              <w:spacing w:after="0"/>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7 Dey / 185 Broadway</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2025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2026</w:t>
            </w:r>
          </w:p>
        </w:tc>
        <w:tc>
          <w:tcPr>
            <w:tcW w:w="380" w:type="dxa"/>
            <w:vAlign w:val="bottom"/>
          </w:tcPr>
          <w:p>
            <w:pPr>
              <w:spacing w:after="0"/>
              <w:rPr>
                <w:sz w:val="18"/>
                <w:szCs w:val="18"/>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0" w:type="dxa"/>
            <w:vAlign w:val="bottom"/>
          </w:tcPr>
          <w:p>
            <w:pPr>
              <w:spacing w:after="0"/>
              <w:rPr>
                <w:sz w:val="1"/>
                <w:szCs w:val="1"/>
                <w:color w:val="auto"/>
              </w:rPr>
            </w:pPr>
          </w:p>
        </w:tc>
      </w:tr>
      <w:tr>
        <w:trPr>
          <w:trHeight w:val="211"/>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Landmark Square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2027</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485</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2027</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380" w:type="dxa"/>
            <w:vAlign w:val="bottom"/>
          </w:tcPr>
          <w:p>
            <w:pPr>
              <w:spacing w:after="0"/>
              <w:rPr>
                <w:sz w:val="18"/>
                <w:szCs w:val="18"/>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2040</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October 2040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272,326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277,238</w:t>
            </w: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Total fixed rate debt</w:t>
            </w:r>
          </w:p>
        </w:tc>
        <w:tc>
          <w:tcPr>
            <w:tcW w:w="14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1,587,474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1,387,386</w:t>
            </w:r>
          </w:p>
        </w:tc>
        <w:tc>
          <w:tcPr>
            <w:tcW w:w="0" w:type="dxa"/>
            <w:vAlign w:val="bottom"/>
          </w:tcPr>
          <w:p>
            <w:pPr>
              <w:spacing w:after="0"/>
              <w:rPr>
                <w:sz w:val="1"/>
                <w:szCs w:val="1"/>
                <w:color w:val="auto"/>
              </w:rPr>
            </w:pPr>
          </w:p>
        </w:tc>
      </w:tr>
      <w:tr>
        <w:trPr>
          <w:trHeight w:val="191"/>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Debt:</w:t>
            </w:r>
          </w:p>
        </w:tc>
        <w:tc>
          <w:tcPr>
            <w:tcW w:w="1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CMBS Repurchase Facility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2025</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Park Avenue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2027</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t>
            </w: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690</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Madison Avenue</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719</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Seventh Avenue</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Total floating rate debt</w:t>
            </w:r>
          </w:p>
        </w:tc>
        <w:tc>
          <w:tcPr>
            <w:tcW w:w="14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363,550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0" w:type="dxa"/>
            <w:vAlign w:val="bottom"/>
          </w:tcPr>
          <w:p>
            <w:pPr>
              <w:spacing w:after="0"/>
              <w:rPr>
                <w:sz w:val="1"/>
                <w:szCs w:val="1"/>
                <w:color w:val="auto"/>
              </w:rPr>
            </w:pPr>
          </w:p>
        </w:tc>
      </w:tr>
      <w:tr>
        <w:trPr>
          <w:trHeight w:val="204"/>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1,951,024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1,497,386</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Deferred financing costs, net of amortization</w:t>
            </w:r>
          </w:p>
        </w:tc>
        <w:tc>
          <w:tcPr>
            <w:tcW w:w="14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 net</w:t>
            </w:r>
          </w:p>
        </w:tc>
        <w:tc>
          <w:tcPr>
            <w:tcW w:w="14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1,944,635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21"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December 31, 2024, taking into account interest rate hedges in effect during the period. Floating rate debt is presented with the stated spread over Term SOFR ("S"), unless otherwise specified.</w:t>
      </w:r>
    </w:p>
    <w:p>
      <w:pPr>
        <w:spacing w:after="0" w:line="7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2024 and 2023, the gross book value of the properties collateralizing the mortgages and other loans payable was approximately $2.2 billion and $1.9 billion,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CMBS Securities Repurchase Facility</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December 2024, the Company entered into a repurchase facility for CMBS securities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December 31, 2024, there have been no margin calls on the CMBS Repurchase Facility. At December 31, 2024, the facility had an outstanding balance of $3.6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611505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ind w:right="9260" w:firstLine="5"/>
        <w:spacing w:after="0" w:line="387" w:lineRule="auto"/>
        <w:tabs>
          <w:tab w:leader="none" w:pos="17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Corporate Indebtedness 2021 Credit Facility</w:t>
      </w:r>
    </w:p>
    <w:p>
      <w:pPr>
        <w:spacing w:after="0" w:line="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In December 2021, we entered into an amended and restated credit facility, referred to as the 2021 credit facility, that was previously amended by the Company in November 2017, and was originally entered into by the Company in November 2012. As of December 31, 2024, the 2021 credit facility consisted of a $1.25 billion revolving credit facility, a $1.05 billion term loan (or "Term Loan A"), and a $200.0 million term loan (or "Term Loan B") with maturity dates of May 15, 2026, May 15, 2027, and November 21, 2024, respectively. In November 2024, Term Loan B was paid down to $100 million and the maturity date was extended to November 19, 2025, with two additional six-month as-of-right extension options.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70"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As of December 31, 2024,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68"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the applicable spread over adjusted Term SOFR plus 10 basis points for the 2021 credit facility was 140 basis points for the revolving credit facility, 160 basis points for Term Loan A, and 180 basis points for Term Loan B. We are required to pay quarterly in arrears a 12.5 to 30 basis point facility fee on the total commitments under the revolving credit facility based on the credit rating assigned to the senior unsecured long-term indebtedness of the Company. As of December 31, 2024, the facility fee was 30 basis points.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we had $7.5 million of outstanding letters of credit, $320.0 million drawn under the revolving credit facility and $1.15 billion of outstanding term loans, with total undrawn capacity of $922.5 million under the 2021 credit facility. As of December 31, 2024 and December 31, 2023, the revolving credit facility had a carrying value of $316.2 million and $554.8 million, respectively, net of deferred financing costs. As of December 31, 2024 and December 31, 2023, the term loans had a carrying value of $1.1 billion and $1.2 billion, respectively, net of deferred financing costs.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and the Operating Partnership are borrowers jointly and severally obligated under the 2021 credit facility.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2021 credit facility includes certain restrictions and covenants (see Restrictive Covenants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sets forth our senior unsecured notes and other related disclosures as of December 31, 2024 and 2023, respectively, by scheduled maturity date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44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Unpaid Principal</w:t>
            </w: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221"/>
              <w:spacing w:after="0" w:line="155" w:lineRule="exact"/>
              <w:rPr>
                <w:sz w:val="20"/>
                <w:szCs w:val="20"/>
                <w:color w:val="auto"/>
              </w:rPr>
            </w:pPr>
            <w:r>
              <w:rPr>
                <w:rFonts w:ascii="Times New Roman" w:cs="Times New Roman" w:eastAsia="Times New Roman" w:hAnsi="Times New Roman"/>
                <w:sz w:val="16"/>
                <w:szCs w:val="16"/>
                <w:b w:val="1"/>
                <w:bCs w:val="1"/>
                <w:color w:val="auto"/>
                <w:w w:val="97"/>
              </w:rPr>
              <w:t>Accreted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41"/>
              <w:spacing w:after="0" w:line="155" w:lineRule="exact"/>
              <w:rPr>
                <w:sz w:val="20"/>
                <w:szCs w:val="20"/>
                <w:color w:val="auto"/>
              </w:rPr>
            </w:pPr>
            <w:r>
              <w:rPr>
                <w:rFonts w:ascii="Times New Roman" w:cs="Times New Roman" w:eastAsia="Times New Roman" w:hAnsi="Times New Roman"/>
                <w:sz w:val="16"/>
                <w:szCs w:val="16"/>
                <w:b w:val="1"/>
                <w:bCs w:val="1"/>
                <w:color w:val="auto"/>
                <w:w w:val="97"/>
              </w:rPr>
              <w:t>Accreted</w:t>
            </w:r>
          </w:p>
        </w:tc>
        <w:tc>
          <w:tcPr>
            <w:tcW w:w="100" w:type="dxa"/>
            <w:vAlign w:val="bottom"/>
          </w:tcPr>
          <w:p>
            <w:pPr>
              <w:spacing w:after="0"/>
              <w:rPr>
                <w:sz w:val="13"/>
                <w:szCs w:val="13"/>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Interest Rate </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7"/>
              </w:rPr>
              <w:t>Initial Term</w:t>
            </w:r>
          </w:p>
        </w:tc>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0"/>
        </w:trPr>
        <w:tc>
          <w:tcPr>
            <w:tcW w:w="2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3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120" w:type="dxa"/>
            <w:vAlign w:val="bottom"/>
          </w:tcPr>
          <w:p>
            <w:pPr>
              <w:spacing w:after="0"/>
              <w:rPr>
                <w:sz w:val="18"/>
                <w:szCs w:val="18"/>
                <w:color w:val="auto"/>
              </w:rPr>
            </w:pPr>
          </w:p>
        </w:tc>
        <w:tc>
          <w:tcPr>
            <w:tcW w:w="144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1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December 17, 2015 </w:t>
            </w:r>
            <w:r>
              <w:rPr>
                <w:rFonts w:ascii="Times New Roman" w:cs="Times New Roman" w:eastAsia="Times New Roman" w:hAnsi="Times New Roman"/>
                <w:sz w:val="20"/>
                <w:szCs w:val="20"/>
                <w:color w:val="auto"/>
                <w:vertAlign w:val="superscript"/>
              </w:rPr>
              <w:t>(2)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8"/>
              </w:rPr>
              <w:t>December 2025</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99,897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00" w:hanging="395"/>
        <w:spacing w:after="0"/>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December 31, 2024.</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the Company and the Operating Partnership as co-obligors in a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563880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Restrictive Covenants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December 31, 2024 and 2023, we were in compliance with all such covenants.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Junior Subordinated Deferrable Interest Debentures</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June 2005, the Company and the Operating Partnership issued $100.0 million in unsecured trust preferred securities through a newly formed trust, SL Green Capital Trust I, or the Trust, which is a wholly 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Maturities</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Combined aggregate principal maturities of mortgages and other loans payable, the 2021 credit facility, trust preferred securities, senior unsecured notes and our share of joint venture debt as of December 31, 2024, including as-of-right extension options but excluding other extension options,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Trust</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Senior</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Company's</w:t>
            </w:r>
          </w:p>
        </w:tc>
        <w:tc>
          <w:tcPr>
            <w:tcW w:w="0" w:type="dxa"/>
            <w:vAlign w:val="bottom"/>
          </w:tcPr>
          <w:p>
            <w:pPr>
              <w:spacing w:after="0"/>
              <w:rPr>
                <w:sz w:val="1"/>
                <w:szCs w:val="1"/>
                <w:color w:val="auto"/>
              </w:rPr>
            </w:pPr>
          </w:p>
        </w:tc>
      </w:tr>
      <w:tr>
        <w:trPr>
          <w:trHeight w:val="143"/>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Unsecured Term</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5"/>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 of Joint</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Credit</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24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96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4"/>
                <w:szCs w:val="14"/>
                <w:b w:val="1"/>
                <w:bCs w:val="1"/>
                <w:color w:val="auto"/>
                <w:w w:val="97"/>
              </w:rPr>
              <w:t>Venture</w:t>
            </w: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0" w:type="dxa"/>
            <w:vAlign w:val="bottom"/>
          </w:tcPr>
          <w:p>
            <w:pPr>
              <w:spacing w:after="0"/>
              <w:rPr>
                <w:sz w:val="1"/>
                <w:szCs w:val="1"/>
                <w:color w:val="auto"/>
              </w:rPr>
            </w:pPr>
          </w:p>
        </w:tc>
      </w:tr>
      <w:tr>
        <w:trPr>
          <w:trHeight w:val="208"/>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1,198,400</w:t>
            </w: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936,639</w:t>
            </w: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1,710,229</w:t>
            </w: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8"/>
                <w:szCs w:val="18"/>
                <w:color w:val="auto"/>
              </w:rPr>
            </w:pP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382,294</w:t>
            </w: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8"/>
                <w:szCs w:val="18"/>
                <w:color w:val="auto"/>
              </w:rPr>
            </w:pP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1,800,300</w:t>
            </w:r>
          </w:p>
        </w:tc>
        <w:tc>
          <w:tcPr>
            <w:tcW w:w="0" w:type="dxa"/>
            <w:vAlign w:val="bottom"/>
          </w:tcPr>
          <w:p>
            <w:pPr>
              <w:spacing w:after="0"/>
              <w:rPr>
                <w:sz w:val="1"/>
                <w:szCs w:val="1"/>
                <w:color w:val="auto"/>
              </w:rPr>
            </w:pPr>
          </w:p>
        </w:tc>
      </w:tr>
      <w:tr>
        <w:trPr>
          <w:trHeight w:val="230"/>
        </w:trPr>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6,027,862</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Consolidated interest expense, excluding capitalized interest, was comprised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4"/>
        </w:trPr>
        <w:tc>
          <w:tcPr>
            <w:tcW w:w="7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before capitalized interest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196,334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166,493</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financing leases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(82,444)</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discount on assumed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20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147,220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89,473</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074"/>
        </w:trPr>
        <w:tc>
          <w:tcPr>
            <w:tcW w:w="7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ind w:right="8600" w:firstLine="5"/>
        <w:spacing w:after="0" w:line="387" w:lineRule="auto"/>
        <w:tabs>
          <w:tab w:leader="none" w:pos="262"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One Vanderbilt Avenue Investment</w:t>
      </w:r>
    </w:p>
    <w:p>
      <w:pPr>
        <w:spacing w:after="0" w:line="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December 2016, we entered into agreements with entities owned and controlled by our Chairman, Chief Executive Officer ("CEO") and Interim President,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third-party appraisal that we obtained.</w:t>
      </w:r>
    </w:p>
    <w:p>
      <w:pPr>
        <w:spacing w:after="0" w:line="77"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based on the project's sale price, if applicable, or fair market value as determined by an independent third-party appraiser. In 2022, stabilization of the property (excluding SUMMIT One Vanderbilt) was achieved. Therefore, Messrs. Holiday and Mathias exercised their rights to tender 50% of their interests in the property (excluding SUMMIT One Vanderbilt) in July 2022. In 2023, stabilization of SUMMIT One Vanderbilt was achieved.</w:t>
      </w:r>
    </w:p>
    <w:p>
      <w:pPr>
        <w:spacing w:after="0" w:line="70"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2024, Messrs. Holiday's and Mathias's remaining interests in the One Vanderbilt project are included in Preferred units and redeemable equity in the mezzanine equity section of the Company's consolidated financial statements.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One Vanderbilt Avenue Leases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November 2018, we entered into a lease agreement with the One Vanderbilt Avenue joint venture covering certain floors at the property. In March 2021, the lease commenced and we relocated our corporate headquarters to the leased space. For the years ended December 31, 2024, 2023, and 2022 we recorded $3.0 million, $3.0 million, and $3.0 million, respectively, of rent expense under the lease.</w:t>
      </w:r>
    </w:p>
    <w:p>
      <w:pPr>
        <w:spacing w:after="0" w:line="57"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Additionally, in June 2021, we, through a consolidated subsidiary, entered into a lease agreement with the One Vanderbilt Avenue joint venture for SUMMIT One Vanderbilt, which commenced operations in October 2021. For the year ended December 31, 2024, we recorded $41.4 million of rent expense under the lease, including percentage rent, of which $27.7 million was recognized as income as a component of Equity in net loss from unconsolidated joint ventures in our consolidated statements of operations. For the year ended December 31, 2023, we recorded $38.9 million of rent expense under the lease, including percentage rent, of which $26.2 million was recognized as income as a component of Equity in net loss from unconsolidated joint ventures in our consolidated statements of operations. For the year ended December 31, 2022, we recorded $33.0 million of rent expense under the lease, including percentage rent, of which $22.8 million was recognized as income as a component of Equity in net loss from unconsolidated joint ventures in our consolidated statements of operations. See Note 20, "Commitments and Contingencies."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719 Seventh Avenue</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April 2024, the Company entered into an arrangement to sell the property at 719 Seventh Avenue for $30.5 million to a special purpose entity ("SPE"), of which our former President and current director, Andrew Mathias, is a partner. No amounts from the transaction will be payable to Mr. Mathias. Mr. Mathias is initially expected to own up to 40% of the equity of the SPE, representing an investment by Mr. Mathias of up to approximately $7.0 million in the acquisition of the property. The transaction closed during the second quarter of 2024. See Note 4, "Properties Held for Sale and Property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606425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760 Madison Avenue Condominium Unit</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July 2024, the Company entered into an agreement to sell one of the condominium units located at 760 Madison Avenue to an entity owned by a trust of which the beneficiaries are the family members of our Chairman, CEO and Interim President, Marc Holliday, for $8.4 million. The transaction is expected to close in the first quarter of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receive fees for providing management, leasing, construction supervision, and asset management services to certain of our joint ventures as further described in Note 6, "Investments in Unconsolidated Joint Ventures." Amounts due from joint ventures, inclusive of our ownership share of the joint ventures, and related parties as of December 31, 2024 and 2023 consisted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joint ventures</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19,199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w:t>
            </w:r>
          </w:p>
        </w:tc>
      </w:tr>
      <w:tr>
        <w:trPr>
          <w:trHeight w:val="20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2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26,865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Noncontrolling Interests on the Company's Consolidated Financial Statements</w:t>
      </w:r>
    </w:p>
    <w:p>
      <w:pPr>
        <w:spacing w:after="0" w:line="121"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Units of Limited Partnership Interest in the Operating Partnership</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and 2023, the noncontrolling interest unit holders owned 5.97%, or 4,509,953 units, and 5.75%, or 3,949,448 units, of the Operating Partnership, respectively. As of December 31, 2024, 4,509,953 shares of our common stock were reserved for issuance upon the redemption of units of limited partnership interest of the Operating Partnership.</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Noncontrolling interests in the Operating Partnership is recorded at the greater of its cost basis or fair market value based on the closing stock price of our common stock at the end of the reporting period.</w:t>
      </w:r>
    </w:p>
    <w:p>
      <w:pPr>
        <w:spacing w:after="0" w:line="4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Below is a summary of the activity relating to the noncontrolling interests in the Operating Partnership for the years ended December 31, 2024 and 2023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238,051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269,993</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(14,779)</w:t>
            </w: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units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25,365</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and conversion of common units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(18,589)</w:t>
            </w: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(37,465)</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 allocation</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w:t>
            </w:r>
          </w:p>
        </w:tc>
      </w:tr>
      <w:tr>
        <w:trPr>
          <w:trHeight w:val="20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288,941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238,051</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087"/>
        </w:trPr>
        <w:tc>
          <w:tcPr>
            <w:tcW w:w="7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Units of Limited Partnership Interest in the Operating Partnership</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summary of the preferred units of limited partnership interest in the Operating Partnership as of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Conversion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400" w:type="dxa"/>
            <w:vAlign w:val="bottom"/>
            <w:gridSpan w:val="2"/>
            <w:vMerge w:val="continue"/>
          </w:tcPr>
          <w:p>
            <w:pPr>
              <w:spacing w:after="0"/>
              <w:rPr>
                <w:sz w:val="13"/>
                <w:szCs w:val="13"/>
                <w:color w:val="auto"/>
              </w:rPr>
            </w:pPr>
          </w:p>
        </w:tc>
        <w:tc>
          <w:tcPr>
            <w:tcW w:w="12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40" w:type="dxa"/>
            <w:vAlign w:val="bottom"/>
            <w:gridSpan w:val="2"/>
            <w:vMerge w:val="continue"/>
          </w:tcPr>
          <w:p>
            <w:pPr>
              <w:spacing w:after="0"/>
              <w:rPr>
                <w:sz w:val="13"/>
                <w:szCs w:val="13"/>
                <w:color w:val="auto"/>
              </w:rPr>
            </w:pPr>
          </w:p>
        </w:tc>
        <w:tc>
          <w:tcPr>
            <w:tcW w:w="12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Dividend Per</w:t>
            </w:r>
          </w:p>
        </w:tc>
        <w:tc>
          <w:tcPr>
            <w:tcW w:w="124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Preference Per</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Price Per</w:t>
            </w:r>
          </w:p>
        </w:tc>
        <w:tc>
          <w:tcPr>
            <w:tcW w:w="13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0" w:type="dxa"/>
            <w:vAlign w:val="bottom"/>
          </w:tcPr>
          <w:p>
            <w:pPr>
              <w:spacing w:after="0"/>
              <w:rPr>
                <w:sz w:val="1"/>
                <w:szCs w:val="1"/>
                <w:color w:val="auto"/>
              </w:rPr>
            </w:pPr>
          </w:p>
        </w:tc>
      </w:tr>
      <w:tr>
        <w:trPr>
          <w:trHeight w:val="210"/>
        </w:trPr>
        <w:tc>
          <w:tcPr>
            <w:tcW w:w="1100" w:type="dxa"/>
            <w:vAlign w:val="bottom"/>
            <w:gridSpan w:val="2"/>
            <w:vMerge w:val="continue"/>
          </w:tcPr>
          <w:p>
            <w:pPr>
              <w:spacing w:after="0"/>
              <w:rPr>
                <w:sz w:val="18"/>
                <w:szCs w:val="18"/>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Distribution Rate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Units Issued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line="209"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(1)</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line="209"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(2)</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line="209"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(3)</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Series A </w:t>
            </w:r>
            <w:r>
              <w:rPr>
                <w:rFonts w:ascii="Times New Roman" w:cs="Times New Roman" w:eastAsia="Times New Roman" w:hAnsi="Times New Roman"/>
                <w:sz w:val="20"/>
                <w:szCs w:val="20"/>
                <w:color w:val="auto"/>
                <w:vertAlign w:val="superscript"/>
              </w:rPr>
              <w:t>(4)</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6.00 %</w:t>
            </w: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0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F</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7.00 %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2007</w:t>
            </w:r>
          </w:p>
        </w:tc>
        <w:tc>
          <w:tcPr>
            <w:tcW w:w="0" w:type="dxa"/>
            <w:vAlign w:val="bottom"/>
          </w:tcPr>
          <w:p>
            <w:pPr>
              <w:spacing w:after="0"/>
              <w:rPr>
                <w:sz w:val="1"/>
                <w:szCs w:val="1"/>
                <w:color w:val="auto"/>
              </w:rPr>
            </w:pPr>
          </w:p>
        </w:tc>
      </w:tr>
      <w:tr>
        <w:trPr>
          <w:trHeight w:val="212"/>
        </w:trPr>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K</w:t>
            </w:r>
          </w:p>
        </w:tc>
        <w:tc>
          <w:tcPr>
            <w:tcW w:w="13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3.50 %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563,954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2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L</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10"/>
        </w:trPr>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R</w:t>
            </w:r>
          </w:p>
        </w:tc>
        <w:tc>
          <w:tcPr>
            <w:tcW w:w="13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3.50 %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0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S</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2"/>
        </w:trPr>
        <w:tc>
          <w:tcPr>
            <w:tcW w:w="110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Series V </w:t>
            </w:r>
            <w:r>
              <w:rPr>
                <w:rFonts w:ascii="Times New Roman" w:cs="Times New Roman" w:eastAsia="Times New Roman" w:hAnsi="Times New Roman"/>
                <w:sz w:val="20"/>
                <w:szCs w:val="20"/>
                <w:color w:val="auto"/>
                <w:vertAlign w:val="superscript"/>
              </w:rPr>
              <w:t>(5)</w:t>
            </w:r>
          </w:p>
        </w:tc>
        <w:tc>
          <w:tcPr>
            <w:tcW w:w="13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5.00 %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2019</w:t>
            </w:r>
          </w:p>
        </w:tc>
        <w:tc>
          <w:tcPr>
            <w:tcW w:w="0" w:type="dxa"/>
            <w:vAlign w:val="bottom"/>
          </w:tcPr>
          <w:p>
            <w:pPr>
              <w:spacing w:after="0"/>
              <w:rPr>
                <w:sz w:val="1"/>
                <w:szCs w:val="1"/>
                <w:color w:val="auto"/>
              </w:rPr>
            </w:pPr>
          </w:p>
        </w:tc>
      </w:tr>
      <w:tr>
        <w:trPr>
          <w:trHeight w:val="27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Series W </w:t>
            </w:r>
            <w:r>
              <w:rPr>
                <w:rFonts w:ascii="Times New Roman" w:cs="Times New Roman" w:eastAsia="Times New Roman" w:hAnsi="Times New Roman"/>
                <w:sz w:val="20"/>
                <w:szCs w:val="20"/>
                <w:color w:val="auto"/>
                <w:vertAlign w:val="superscript"/>
              </w:rPr>
              <w:t>(6)</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6"/>
              </w:rPr>
              <w:t>(6)</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0" w:hanging="395"/>
        <w:spacing w:after="0"/>
        <w:tabs>
          <w:tab w:leader="none" w:pos="4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are cumulative, subject to certain provisions.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are redeemable at any time at par for cash at the option of the unit holder unless otherwise specified.</w:t>
      </w:r>
    </w:p>
    <w:p>
      <w:pPr>
        <w:spacing w:after="0" w:line="5" w:lineRule="exact"/>
        <w:rPr>
          <w:rFonts w:ascii="Times New Roman" w:cs="Times New Roman" w:eastAsia="Times New Roman" w:hAnsi="Times New Roman"/>
          <w:sz w:val="14"/>
          <w:szCs w:val="14"/>
          <w:color w:val="auto"/>
        </w:rPr>
      </w:pPr>
    </w:p>
    <w:p>
      <w:pPr>
        <w:ind w:left="400" w:hanging="395"/>
        <w:spacing w:after="0" w:line="254" w:lineRule="auto"/>
        <w:tabs>
          <w:tab w:leader="none" w:pos="3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ind w:left="400" w:hanging="395"/>
        <w:spacing w:after="0"/>
        <w:tabs>
          <w:tab w:leader="none" w:pos="4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through a consolidated subsidiary. The units are redeemable at any time after December 13, 2024 at par for cash at the option of the unit holder.</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V Preferred Units are redeemable at any time after January 1, 2025 at par for cash at the option of the unit holder.</w:t>
      </w:r>
    </w:p>
    <w:p>
      <w:pPr>
        <w:jc w:val="both"/>
        <w:ind w:left="400" w:hanging="395"/>
        <w:spacing w:after="0" w:line="256" w:lineRule="auto"/>
        <w:tabs>
          <w:tab w:leader="none" w:pos="3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219" w:lineRule="exact"/>
        <w:rPr>
          <w:sz w:val="20"/>
          <w:szCs w:val="20"/>
          <w:color w:val="auto"/>
        </w:rPr>
      </w:pPr>
    </w:p>
    <w:p>
      <w:pPr>
        <w:ind w:firstLine="393"/>
        <w:spacing w:after="0" w:line="268" w:lineRule="auto"/>
        <w:rPr>
          <w:sz w:val="20"/>
          <w:szCs w:val="20"/>
          <w:color w:val="auto"/>
        </w:rPr>
      </w:pPr>
      <w:r>
        <w:rPr>
          <w:rFonts w:ascii="Times New Roman" w:cs="Times New Roman" w:eastAsia="Times New Roman" w:hAnsi="Times New Roman"/>
          <w:sz w:val="17"/>
          <w:szCs w:val="17"/>
          <w:color w:val="auto"/>
        </w:rPr>
        <w:t>Below is a summary of the activity relating to the preferred units in the Operating Partnership for the years ended December 31, 2024 and 2023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166,501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177,943</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units</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units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 on preferred units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w:t>
            </w:r>
          </w:p>
        </w:tc>
      </w:tr>
      <w:tr>
        <w:trPr>
          <w:trHeight w:val="20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164,210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166,501</w:t>
            </w:r>
          </w:p>
        </w:tc>
      </w:tr>
    </w:tbl>
    <w:p>
      <w:pPr>
        <w:spacing w:after="0" w:line="163" w:lineRule="exact"/>
        <w:rPr>
          <w:sz w:val="20"/>
          <w:szCs w:val="20"/>
          <w:color w:val="auto"/>
        </w:rPr>
      </w:pPr>
    </w:p>
    <w:p>
      <w:pPr>
        <w:ind w:right="8160" w:firstLine="5"/>
        <w:spacing w:after="0" w:line="387" w:lineRule="auto"/>
        <w:tabs>
          <w:tab w:leader="none" w:pos="262"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of the Company Common Stock</w:t>
      </w:r>
    </w:p>
    <w:p>
      <w:pPr>
        <w:spacing w:after="0" w:line="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December 31, 2024, 71,096,743 shares of common stock and no shares of excess stock were issued and outstanding.</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November 2024, the Company completed an offering of 5,063,291 shares of its common stock, par value $0.01 per share, at a price of $79.00 per share. The Company received net proceeds of approximately $386.3 million, after deducting offering expenses. The net proceeds from these offerings were contributed to the Operating Partnership in exchange for 5,063,291 common units of limited partnership interest and were used to repay debt, fund new investments and for other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606425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Board of Directors approved a $3.5 billion share repurchase program under which we can buy shares of our common stock.</w:t>
      </w:r>
    </w:p>
    <w:p>
      <w:pPr>
        <w:spacing w:after="0" w:line="106"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As of December 31, 2024, 36,107,719 shares have been repurchased under the program, excluding the redemption of OP units. We did not repurchase any shares under the program during the year ended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Perpetual Preferred Stock</w:t>
      </w:r>
    </w:p>
    <w:p>
      <w:pPr>
        <w:spacing w:after="0" w:line="12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Reinvestment and Stock Purchase Plan ("DRSPP")</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February 2024,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SL Green common stock issued, and proceeds received from dividend reinvestments and/or stock purchases under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DRSPP for the years ended December 31, 2024, 2023, and 2022, respectively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728,352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w:t>
            </w:r>
          </w:p>
        </w:tc>
      </w:tr>
      <w:tr>
        <w:trPr>
          <w:trHeight w:val="206"/>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52,308</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SL Green's earnings per share for the years ended December 31, 2024, 2023, and 2022 are computed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SL Green common stockholders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7,060</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(579,509)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(93,024)</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09"/>
        </w:trPr>
        <w:tc>
          <w:tcPr>
            <w:tcW w:w="6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undistributed earnings allocated to participating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Net income (loss) attributable to SL Green common stockholders (numerator for basic earnings per share)</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(95,243)</w:t>
            </w:r>
          </w:p>
        </w:tc>
        <w:tc>
          <w:tcPr>
            <w:tcW w:w="0" w:type="dxa"/>
            <w:vAlign w:val="bottom"/>
          </w:tcPr>
          <w:p>
            <w:pPr>
              <w:spacing w:after="0"/>
              <w:rPr>
                <w:sz w:val="1"/>
                <w:szCs w:val="1"/>
                <w:color w:val="auto"/>
              </w:rPr>
            </w:pPr>
          </w:p>
        </w:tc>
      </w:tr>
      <w:tr>
        <w:trPr>
          <w:trHeight w:val="157"/>
        </w:trPr>
        <w:tc>
          <w:tcPr>
            <w:tcW w:w="6940" w:type="dxa"/>
            <w:vAlign w:val="bottom"/>
          </w:tcPr>
          <w:p>
            <w:pPr>
              <w:ind w:left="380"/>
              <w:spacing w:after="0" w:line="158" w:lineRule="exact"/>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w:t>
            </w:r>
          </w:p>
        </w:tc>
        <w:tc>
          <w:tcPr>
            <w:tcW w:w="32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3"/>
                <w:szCs w:val="13"/>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w:t>
            </w: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back: undistributed earnings allocated to participating securities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back: effect of dilutive securities (redemption of units to common shares)</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0" w:type="dxa"/>
            <w:vAlign w:val="bottom"/>
          </w:tcPr>
          <w:p>
            <w:pPr>
              <w:spacing w:after="0"/>
              <w:rPr>
                <w:sz w:val="1"/>
                <w:szCs w:val="1"/>
                <w:color w:val="auto"/>
              </w:rPr>
            </w:pPr>
          </w:p>
        </w:tc>
      </w:tr>
      <w:tr>
        <w:trPr>
          <w:trHeight w:val="229"/>
        </w:trPr>
        <w:tc>
          <w:tcPr>
            <w:tcW w:w="6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SL Green common stockholders (numerator for diluted earnings per share)</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4"/>
        </w:trPr>
        <w:tc>
          <w:tcPr>
            <w:tcW w:w="6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324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Shares: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65,062</w:t>
            </w: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63,917</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Partnership units redeemable for common shares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r>
      <w:tr>
        <w:trPr>
          <w:trHeight w:val="211"/>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w:t>
            </w:r>
          </w:p>
        </w:tc>
        <w:tc>
          <w:tcPr>
            <w:tcW w:w="1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stock outstanding</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65,688</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67,929</w:t>
            </w:r>
          </w:p>
        </w:tc>
      </w:tr>
      <w:tr>
        <w:trPr>
          <w:trHeight w:val="20"/>
        </w:trPr>
        <w:tc>
          <w:tcPr>
            <w:tcW w:w="6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has excluded 4,717,759 common stock equivalents from the calculation of diluted shares outstanding for the year ended December 31, 2024. The Company has excluded 1,273,417 and 1,682,236 of common stock equivalents from the calculation of diluted shares outstanding for the years ended December 31, 2023 and 2022,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Partners' Capital of the Operating Partnership</w:t>
      </w:r>
    </w:p>
    <w:p>
      <w:pPr>
        <w:spacing w:after="0" w:line="12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is the sole managing general partner of the Operating Partnership and as of December 31, 2024 owned 71,096,743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income (loss) allocated to the preferred unitholders and common unitholders reflects their pro rata share of net income (loss) and distributions.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Partner Units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2024, limited partners other than SL Green owned 5.97%, or 4,509,953 common units, of the Operating Partnership.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Units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591185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Unit</w:t>
      </w:r>
    </w:p>
    <w:p>
      <w:pPr>
        <w:spacing w:after="0" w:line="121" w:lineRule="exact"/>
        <w:rPr>
          <w:sz w:val="20"/>
          <w:szCs w:val="20"/>
          <w:color w:val="auto"/>
        </w:rPr>
      </w:pPr>
    </w:p>
    <w:p>
      <w:pPr>
        <w:jc w:val="both"/>
        <w:ind w:firstLine="433"/>
        <w:spacing w:after="0" w:line="268" w:lineRule="auto"/>
        <w:rPr>
          <w:sz w:val="20"/>
          <w:szCs w:val="20"/>
          <w:color w:val="auto"/>
        </w:rPr>
      </w:pPr>
      <w:r>
        <w:rPr>
          <w:rFonts w:ascii="Times New Roman" w:cs="Times New Roman" w:eastAsia="Times New Roman" w:hAnsi="Times New Roman"/>
          <w:sz w:val="17"/>
          <w:szCs w:val="17"/>
          <w:color w:val="auto"/>
        </w:rPr>
        <w:t>The Operating Partnership's earnings per unit for the years ended December 31, 2024, 2023, and 2022 respectively are computed as follows (in thousands):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 (numerator for diluted earnings per unit)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7,557</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(616,974)</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(98,818)</w:t>
            </w:r>
          </w:p>
        </w:tc>
        <w:tc>
          <w:tcPr>
            <w:tcW w:w="0" w:type="dxa"/>
            <w:vAlign w:val="bottom"/>
          </w:tcPr>
          <w:p>
            <w:pPr>
              <w:spacing w:after="0"/>
              <w:rPr>
                <w:sz w:val="1"/>
                <w:szCs w:val="1"/>
                <w:color w:val="auto"/>
              </w:rPr>
            </w:pPr>
          </w:p>
        </w:tc>
      </w:tr>
      <w:tr>
        <w:trPr>
          <w:trHeight w:val="211"/>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02"/>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 (numerator for basic earnings per unit)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(619,629)</w:t>
            </w:r>
          </w:p>
        </w:tc>
        <w:tc>
          <w:tcPr>
            <w:tcW w:w="120" w:type="dxa"/>
            <w:vAlign w:val="bottom"/>
          </w:tcPr>
          <w:p>
            <w:pPr>
              <w:spacing w:after="0"/>
              <w:rPr>
                <w:sz w:val="17"/>
                <w:szCs w:val="17"/>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(101,037)</w:t>
            </w:r>
          </w:p>
        </w:tc>
        <w:tc>
          <w:tcPr>
            <w:tcW w:w="0" w:type="dxa"/>
            <w:vAlign w:val="bottom"/>
          </w:tcPr>
          <w:p>
            <w:pPr>
              <w:spacing w:after="0"/>
              <w:rPr>
                <w:sz w:val="1"/>
                <w:szCs w:val="1"/>
                <w:color w:val="auto"/>
              </w:rPr>
            </w:pPr>
          </w:p>
        </w:tc>
      </w:tr>
      <w:tr>
        <w:trPr>
          <w:trHeight w:val="158"/>
        </w:trPr>
        <w:tc>
          <w:tcPr>
            <w:tcW w:w="6900" w:type="dxa"/>
            <w:vAlign w:val="bottom"/>
            <w:shd w:val="clear" w:color="auto" w:fill="CCEEFF"/>
          </w:tcPr>
          <w:p>
            <w:pPr>
              <w:ind w:left="360"/>
              <w:spacing w:after="0" w:line="158" w:lineRule="exact"/>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w:t>
            </w: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SLGOP common unitholders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2,918</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(619,629)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(101,037)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units: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r>
        <w:trPr>
          <w:trHeight w:val="21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Contingently issuable units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outstanding</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69,605</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Operating Partnership has excluded 800,881 common unit equivalents from the diluted units outstanding for the years ended December 31, 2024. The Operating Partnership has excluded 1,273,417 and 1,682,236 common unit equivalents from the diluted units outstanding for the years ended December 31, 2023 and 2022,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Share-based Compensation</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The Fifth Amended and Restated 2005 Stock Option and Incentive Plan, or the 2005 Plan, was approved by the Company's Board of Directors in April 2022 and its stockholders in June 2022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32,210,000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2.59 Fungible Units per share subject to such awards, (2) stock options, stock appreciation rights and other awards that do not deliver full value and expire five years from the date of grant counting as 0.84 fungible units per share subject to such awards, and (3) all other awards (e.g., 10-year stock options) counting as 1.0 fungible units per share subject to such awards. Awards granted under the 2005 Plan prior to the approval of the fifth amendment and restatement in June 2022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32,210,000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1, 2032, which is the tenth anniversary of the date that the 2005 Plan was most recently approved by the Company's stockholders. As of December 31, 2024, 1.5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 and Class O LTIP Units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spacing w:after="0" w:line="6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December 2024, our Chairman, CEO and Interim President, Marc Holliday, received a grant of 217,917 Class O LTIP Units, in connection with his new employment agreement, that are subject to both time-based vesting conditions and performance-based vesting conditions. The performance-based vesting conditions are satisfied if the average share price of the Company's common stock equals or exceeds $100.00 as of any trailing twenty trading day period between the grant date and the fifth anniversary thereafter. Subject to achievement of the performance hurdle and continued employment, the Class O LTIP Units vest ratably on December 31, 2025, December 31, 2026, and December 31, 2027.</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each stock option or LTIP Unit granted is estimated on the date of grant using the Black-Scholes option pricing model based on historical information with the following weighted average assumptions for grants during the year ended December 31, 2024 (there were no options granted during the years ended December 31, 2023 and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7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5.5 %</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7"/>
                <w:szCs w:val="17"/>
                <w:color w:val="auto"/>
              </w:rPr>
            </w:pPr>
          </w:p>
        </w:tc>
      </w:tr>
      <w:tr>
        <w:trPr>
          <w:trHeight w:val="20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17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7.5 years</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8"/>
                <w:szCs w:val="18"/>
                <w:color w:val="auto"/>
              </w:rPr>
            </w:pP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7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4.45 %</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8"/>
                <w:szCs w:val="18"/>
                <w:color w:val="auto"/>
              </w:rPr>
            </w:pPr>
          </w:p>
        </w:tc>
      </w:tr>
      <w:tr>
        <w:trPr>
          <w:trHeight w:val="20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7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45.0 %</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8"/>
                <w:szCs w:val="18"/>
                <w:color w:val="auto"/>
              </w:rPr>
            </w:pPr>
          </w:p>
        </w:tc>
      </w:tr>
      <w:tr>
        <w:trPr>
          <w:trHeight w:val="1096"/>
        </w:trPr>
        <w:tc>
          <w:tcPr>
            <w:tcW w:w="68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 summary of the status of the Company's stock options as of December 31, 2024, 2023, and 2022 and changes during the years ended December 31, 2024, 2023, and 2022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1"/>
              <w:spacing w:after="0" w:line="15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60" w:type="dxa"/>
            <w:vAlign w:val="bottom"/>
          </w:tcPr>
          <w:p>
            <w:pPr>
              <w:spacing w:after="0"/>
              <w:rPr>
                <w:sz w:val="13"/>
                <w:szCs w:val="13"/>
                <w:color w:val="auto"/>
              </w:rPr>
            </w:pPr>
          </w:p>
        </w:tc>
        <w:tc>
          <w:tcPr>
            <w:tcW w:w="90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60" w:type="dxa"/>
            <w:vAlign w:val="bottom"/>
          </w:tcPr>
          <w:p>
            <w:pPr>
              <w:spacing w:after="0"/>
              <w:rPr>
                <w:sz w:val="18"/>
                <w:szCs w:val="18"/>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313,480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394,089</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217,917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68.07</w:t>
            </w: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Lapsed or canceled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333,897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81.63</w:t>
            </w: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313,480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end of year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remaining weighted average contractual life of the options outstanding was 6.9 years and the remaining average contractual life of the options exercisable was 2.0 years.</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During the years ended December 31, 2024, 2023, and 2022, we recognized no compensation expense related to options. As of December 31, 2024, there was $4.5 million unrecognized compensation cost related to unvested stock options.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Shares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Shares may be granted to certain employees, including our executives, and vesting occurs upon the completion of a service period or our meeting established financial performance criteria. Vesting occurs at rates ranging from 15% to 35% once performance criteria are reached.</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 summary of the Company's restricted stock as of December 31, 2024, 2023, and 2022 and changes during the years ended December 31, 2024, 2023, and 2022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40" w:type="dxa"/>
            <w:vAlign w:val="bottom"/>
            <w:tcBorders>
              <w:bottom w:val="single" w:sz="8" w:color="auto"/>
            </w:tcBorders>
          </w:tcPr>
          <w:p>
            <w:pPr>
              <w:spacing w:after="0"/>
              <w:rPr>
                <w:sz w:val="18"/>
                <w:szCs w:val="18"/>
                <w:color w:val="auto"/>
              </w:rPr>
            </w:pPr>
          </w:p>
        </w:tc>
      </w:tr>
      <w:tr>
        <w:trPr>
          <w:trHeight w:val="204"/>
        </w:trPr>
        <w:tc>
          <w:tcPr>
            <w:tcW w:w="65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4,089,174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3,758,174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3,459,363</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371,285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314,995</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Canceled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(10,750)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(16,184)</w:t>
            </w:r>
          </w:p>
        </w:tc>
      </w:tr>
      <w:tr>
        <w:trPr>
          <w:trHeight w:val="204"/>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4,449,709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4,089,174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3,758,174</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during the year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143,453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118,255</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 recorded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10,939,602</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7,766,055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10,133,905</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restricted stock granted during the year</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24,676,422</w:t>
            </w:r>
          </w:p>
        </w:tc>
        <w:tc>
          <w:tcPr>
            <w:tcW w:w="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15,789,540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16,804,931</w:t>
            </w:r>
          </w:p>
        </w:tc>
      </w:tr>
    </w:tbl>
    <w:p>
      <w:pPr>
        <w:spacing w:after="0" w:line="17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fair value of restricted stock that vested during the years ended December 31, 2024, 2023, and 2022 was $7.4 million, $10.2 million and $9.7 million, respectively. As of December 31, 2024, there was $33.3 million of total unrecognized compensation cost related to restricted stock, which is expected to be recognized over a weighted average period of 2.3 years.</w:t>
      </w:r>
    </w:p>
    <w:p>
      <w:pPr>
        <w:spacing w:after="0" w:line="57"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granted LTIP Units, which include bonus, time-based and performance-based awards, with a fair value of $34.1 million and $38.1 million during the years ended December 31, 2024 and 2023, respectively. The grant date fair value of the LTIP Unit awards was calculated in accordance with ASC 718. A third-party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December 31, 2024, there was $31.0 million of total unrecognized compensation expense related to the time-based and performance-based awards, which is expected to be recognized over a weighted average period of 1.7 years.</w:t>
      </w:r>
    </w:p>
    <w:p>
      <w:pPr>
        <w:spacing w:after="0" w:line="69"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During the years ended December 31, 2024, 2023, and 2022, we recorded compensation expense related to bonus, time-based and performance-based awards of $30.5 million, $50.4 million, and $43.5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591185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For the years ended December 31, 2024, 2023, and 2022, $1.7 million, $1.4 million, and $1.8 million, respectively, was capitalized to assets associated with compensation expense related to our long-term compensation plans, restricted stock and stock options.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Compensation Plan for Directors</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28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2024, 15,945 phantom stock units and 25,590 shares of common stock were issued to our Board of Directors. We recorded compensation expense of $2.8 million during the year ended December 31, 2024 related to the Deferred Compensation Plan. As of December 31, 2024, there were 125,654 phantom stock units outstanding pursuant to our Non-Employee Director's Deferral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December 31, 2024, 245,445 shares of our common stock had been issued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614045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Accumulated Other Comprehensive Income</w:t>
      </w:r>
    </w:p>
    <w:p>
      <w:pPr>
        <w:spacing w:after="0" w:line="121" w:lineRule="exact"/>
        <w:rPr>
          <w:sz w:val="20"/>
          <w:szCs w:val="20"/>
          <w:color w:val="auto"/>
        </w:rPr>
      </w:pPr>
    </w:p>
    <w:p>
      <w:pPr>
        <w:ind w:firstLine="393"/>
        <w:spacing w:after="0" w:line="268" w:lineRule="auto"/>
        <w:rPr>
          <w:sz w:val="20"/>
          <w:szCs w:val="20"/>
          <w:color w:val="auto"/>
        </w:rPr>
      </w:pPr>
      <w:r>
        <w:rPr>
          <w:rFonts w:ascii="Times New Roman" w:cs="Times New Roman" w:eastAsia="Times New Roman" w:hAnsi="Times New Roman"/>
          <w:sz w:val="17"/>
          <w:szCs w:val="17"/>
          <w:color w:val="auto"/>
        </w:rPr>
        <w:t>The following tables set forth the changes in accumulated other comprehensive income by component as of December 31, 2024, 2023 and 2022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Net unrealized gain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SL Green's share of joint</w:t>
            </w:r>
          </w:p>
        </w:tc>
        <w:tc>
          <w:tcPr>
            <w:tcW w:w="14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Net unrealized (loss)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venture net unrealized</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(loss) on derivative</w:t>
            </w:r>
          </w:p>
        </w:tc>
        <w:tc>
          <w:tcPr>
            <w:tcW w:w="16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(loss) gain on derivative</w:t>
            </w: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 on marketable</w:t>
            </w:r>
          </w:p>
        </w:tc>
        <w:tc>
          <w:tcPr>
            <w:tcW w:w="360" w:type="dxa"/>
            <w:vAlign w:val="bottom"/>
          </w:tcPr>
          <w:p>
            <w:pPr>
              <w:spacing w:after="0"/>
              <w:rPr>
                <w:sz w:val="12"/>
                <w:szCs w:val="12"/>
                <w:color w:val="auto"/>
              </w:rPr>
            </w:pPr>
          </w:p>
        </w:tc>
        <w:tc>
          <w:tcPr>
            <w:tcW w:w="116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 xml:space="preserve">instruments </w:t>
            </w:r>
            <w:r>
              <w:rPr>
                <w:rFonts w:ascii="Times New Roman" w:cs="Times New Roman" w:eastAsia="Times New Roman" w:hAnsi="Times New Roman"/>
                <w:sz w:val="9"/>
                <w:szCs w:val="9"/>
                <w:b w:val="1"/>
                <w:bCs w:val="1"/>
                <w:color w:val="auto"/>
                <w:w w:val="99"/>
              </w:rPr>
              <w:t>(</w:t>
            </w:r>
            <w:r>
              <w:rPr>
                <w:rFonts w:ascii="Times New Roman" w:cs="Times New Roman" w:eastAsia="Times New Roman" w:hAnsi="Times New Roman"/>
                <w:sz w:val="7"/>
                <w:szCs w:val="7"/>
                <w:b w:val="1"/>
                <w:bCs w:val="1"/>
                <w:color w:val="auto"/>
                <w:w w:val="99"/>
              </w:rPr>
              <w:t>1</w:t>
            </w:r>
            <w:r>
              <w:rPr>
                <w:rFonts w:ascii="Times New Roman" w:cs="Times New Roman" w:eastAsia="Times New Roman" w:hAnsi="Times New Roman"/>
                <w:sz w:val="9"/>
                <w:szCs w:val="9"/>
                <w:b w:val="1"/>
                <w:bCs w:val="1"/>
                <w:color w:val="auto"/>
                <w:w w:val="99"/>
              </w:rPr>
              <w:t>)</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7" w:lineRule="exact"/>
              <w:rPr>
                <w:sz w:val="20"/>
                <w:szCs w:val="20"/>
                <w:color w:val="auto"/>
              </w:rPr>
            </w:pPr>
            <w:r>
              <w:rPr>
                <w:rFonts w:ascii="Times New Roman" w:cs="Times New Roman" w:eastAsia="Times New Roman" w:hAnsi="Times New Roman"/>
                <w:sz w:val="14"/>
                <w:szCs w:val="14"/>
                <w:b w:val="1"/>
                <w:bCs w:val="1"/>
                <w:color w:val="auto"/>
                <w:w w:val="99"/>
              </w:rPr>
              <w:t xml:space="preserve">instruments </w:t>
            </w:r>
            <w:r>
              <w:rPr>
                <w:rFonts w:ascii="Times New Roman" w:cs="Times New Roman" w:eastAsia="Times New Roman" w:hAnsi="Times New Roman"/>
                <w:sz w:val="18"/>
                <w:szCs w:val="18"/>
                <w:b w:val="1"/>
                <w:bCs w:val="1"/>
                <w:color w:val="auto"/>
                <w:w w:val="99"/>
                <w:vertAlign w:val="superscript"/>
              </w:rPr>
              <w:t>(</w:t>
            </w:r>
            <w:r>
              <w:rPr>
                <w:rFonts w:ascii="Times New Roman" w:cs="Times New Roman" w:eastAsia="Times New Roman" w:hAnsi="Times New Roman"/>
                <w:sz w:val="7"/>
                <w:szCs w:val="7"/>
                <w:b w:val="1"/>
                <w:bCs w:val="1"/>
                <w:color w:val="auto"/>
                <w:w w:val="99"/>
              </w:rPr>
              <w:t>2</w:t>
            </w:r>
            <w:r>
              <w:rPr>
                <w:rFonts w:ascii="Times New Roman" w:cs="Times New Roman" w:eastAsia="Times New Roman" w:hAnsi="Times New Roman"/>
                <w:sz w:val="18"/>
                <w:szCs w:val="18"/>
                <w:b w:val="1"/>
                <w:bCs w:val="1"/>
                <w:color w:val="auto"/>
                <w:w w:val="99"/>
                <w:vertAlign w:val="superscript"/>
              </w:rPr>
              <w:t>)</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(46,758)</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100,346</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0" w:type="dxa"/>
            <w:vAlign w:val="bottom"/>
          </w:tcPr>
          <w:p>
            <w:pPr>
              <w:spacing w:after="0"/>
              <w:rPr>
                <w:sz w:val="1"/>
                <w:szCs w:val="1"/>
                <w:color w:val="auto"/>
              </w:rPr>
            </w:pPr>
          </w:p>
        </w:tc>
      </w:tr>
      <w:tr>
        <w:trPr>
          <w:trHeight w:val="20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47,800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49,604</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22,670</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(54,797)</w:t>
            </w:r>
          </w:p>
        </w:tc>
        <w:tc>
          <w:tcPr>
            <w:tcW w:w="0" w:type="dxa"/>
            <w:vAlign w:val="bottom"/>
          </w:tcPr>
          <w:p>
            <w:pPr>
              <w:spacing w:after="0"/>
              <w:rPr>
                <w:sz w:val="1"/>
                <w:szCs w:val="1"/>
                <w:color w:val="auto"/>
              </w:rPr>
            </w:pPr>
          </w:p>
        </w:tc>
      </w:tr>
      <w:tr>
        <w:trPr>
          <w:trHeight w:val="20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29,330</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400" w:hanging="395"/>
        <w:spacing w:after="0" w:line="253" w:lineRule="auto"/>
        <w:tabs>
          <w:tab w:leader="none" w:pos="3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income is included in interest expense in the respective consolidated statements of operations. As of December 31, 2024 and 2023, the deferred net gains from these terminated hedges, which is included in accumulated other comprehensive income relating to net unrealized gain (loss) on derivative instruments, was ($0.2 million) and ($0.4 million), respectively.</w:t>
      </w:r>
    </w:p>
    <w:p>
      <w:pPr>
        <w:spacing w:after="0" w:line="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income is included in equity in net loss from unconsolidated joint ventures in the respective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Measurements</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7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tables set forth the assets and liabilities that we measure at fair value on a recurring and non-recurring basis by their levels in the fair value hierarchy as of December 31,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591185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4"/>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118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1"/>
        </w:trPr>
        <w:tc>
          <w:tcPr>
            <w:tcW w:w="500" w:type="dxa"/>
            <w:vAlign w:val="bottom"/>
            <w:tcBorders>
              <w:top w:val="single" w:sz="8" w:color="CCEEFF"/>
              <w:left w:val="single" w:sz="8" w:color="CCEEFF"/>
              <w:bottom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44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17,323</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17,323</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9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584,134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584,134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2"/>
        </w:trPr>
        <w:tc>
          <w:tcPr>
            <w:tcW w:w="4980" w:type="dxa"/>
            <w:vAlign w:val="bottom"/>
            <w:tcBorders>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39"/>
        </w:trPr>
        <w:tc>
          <w:tcPr>
            <w:tcW w:w="500" w:type="dxa"/>
            <w:vAlign w:val="bottom"/>
            <w:tcBorders>
              <w:left w:val="single" w:sz="8" w:color="CCEEFF"/>
            </w:tcBorders>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20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6,469</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6,469</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9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567,487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567,487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6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Secured borrowing </w:t>
            </w:r>
            <w:r>
              <w:rPr>
                <w:rFonts w:ascii="Times New Roman" w:cs="Times New Roman" w:eastAsia="Times New Roman" w:hAnsi="Times New Roman"/>
                <w:sz w:val="20"/>
                <w:szCs w:val="20"/>
                <w:color w:val="auto"/>
                <w:vertAlign w:val="superscript"/>
              </w:rPr>
              <w:t>(1)</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251,096</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251,096</w:t>
            </w:r>
          </w:p>
        </w:tc>
      </w:tr>
    </w:tbl>
    <w:p>
      <w:pPr>
        <w:spacing w:after="0" w:line="103" w:lineRule="exact"/>
        <w:rPr>
          <w:sz w:val="20"/>
          <w:szCs w:val="20"/>
          <w:color w:val="auto"/>
        </w:rPr>
      </w:pPr>
    </w:p>
    <w:p>
      <w:pPr>
        <w:ind w:left="400" w:hanging="395"/>
        <w:spacing w:after="0" w:line="286" w:lineRule="auto"/>
        <w:tabs>
          <w:tab w:leader="none" w:pos="3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1"/>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44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9,591</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170"/>
        </w:trPr>
        <w:tc>
          <w:tcPr>
            <w:tcW w:w="20" w:type="dxa"/>
            <w:vAlign w:val="bottom"/>
          </w:tcPr>
          <w:p>
            <w:pPr>
              <w:spacing w:after="0"/>
              <w:rPr>
                <w:sz w:val="14"/>
                <w:szCs w:val="14"/>
                <w:color w:val="auto"/>
              </w:rPr>
            </w:pPr>
          </w:p>
        </w:tc>
        <w:tc>
          <w:tcPr>
            <w:tcW w:w="496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bl>
    <w:p>
      <w:pPr>
        <w:spacing w:after="0" w:line="1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December 2024, the Company amended the joint venture agreement with its partner in the 100 Park Avenue joint venture. As a result of the amended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positive fair value adjustment of $117.8 million, which is included in Purchase price and other fair value adjustments in the consolidated statements of operations. Prior to December 2024, the investment was accounted for under the equity method. This fair value was determined using a third-party valuation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w:t>
      </w:r>
    </w:p>
    <w:p>
      <w:pPr>
        <w:spacing w:after="0" w:line="68"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March 2024, the Company entered into an agreement to acquire its partner's 45.0% interest in the 10 East 53rd Street joint venture. As a result of the contract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negative fair value adjustment of ($55.7 million), which is included in Purchase price and other fair value adjustments in the consolidated statements of operations. Prior to March 2024, the investment was accounted for under the equity method. This fair value was determined using a third-party valuation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608330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8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June 2023, the Company sold a 49.9% interest in its 245 Park Avenue investment, which resulted in the Company no longer retaining a controlling interest in the entity, as defined in ASC 810, and deconsolidation of the 50.1% interest we retained. We recorded our investment at fair value which resulted in the recognition of a fair value adjustment of ($17.0 million) during the year ended December 31, 2023. The fair value of our investment was determined by the terms of the joint venture agreement.</w:t>
      </w:r>
    </w:p>
    <w:p>
      <w:pPr>
        <w:spacing w:after="0" w:line="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spacing w:after="0" w:line="6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5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senior obligations of consolidated securitization vehicles represent CMBS that are not owned by the Company. A majority of these securities are either traded in the marketplace or are similar to other securities that are traded in the marketplace. As the valuation of these amounts are based upon quoted prices for similar instruments in active markets, we generally utilize third party pricing service providers to determine the fair value. The Company evaluates and assesses the third party pricing by referring to recent trades of similar securities, ratings, subordination levels, current market data and credit issues. The Company maximizes the use of observable inputs over unobservable inputs and uses the value of the senior obligations of consolidated securitization vehicles as an indicator of the fair value of the real estate loans held by consolidated securitization vehicles. Depending on the significance of the fair value inputs used in determining the fair value, these securities are classified in either Level 2 or Level 3 of the fair value hierarchy. As such, these investments may move between Level 2 and Level 3 of the fair value hierarchy if the significant fair value inputs used to price the CMBS become or cease to be observable.</w:t>
      </w:r>
    </w:p>
    <w:p>
      <w:pPr>
        <w:spacing w:after="0" w:line="70"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our secured borrowing is determined by projecting future cash flows, which takes into consideration various factors including discount rate and exit capitalization rate, as well as related asset performance and local or macro real estate performance. The inputs used in determining the Company's secured borrowing are considered Level 3.</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68"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The following table provides the carrying value and fair value of these financial instruments as of December 31, 2024 and December 31, 2023 (in thousands):</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3460" w:type="dxa"/>
            <w:vAlign w:val="bottom"/>
            <w:gridSpan w:val="4"/>
          </w:tcPr>
          <w:p>
            <w:pPr>
              <w:jc w:val="right"/>
              <w:ind w:right="1107"/>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100"/>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100"/>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9"/>
        </w:trPr>
        <w:tc>
          <w:tcPr>
            <w:tcW w:w="37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jc w:val="right"/>
              <w:ind w:right="767"/>
              <w:spacing w:after="0"/>
              <w:rPr>
                <w:sz w:val="20"/>
                <w:szCs w:val="20"/>
                <w:color w:val="auto"/>
              </w:rPr>
            </w:pP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11"/>
                <w:szCs w:val="11"/>
                <w:color w:val="auto"/>
              </w:rPr>
            </w:pP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jc w:val="right"/>
              <w:ind w:right="747"/>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76"/>
        </w:trPr>
        <w:tc>
          <w:tcPr>
            <w:tcW w:w="37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Fixed rate debt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3,257,474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3,225,767</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3,237,386</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3,184,338</w:t>
            </w:r>
          </w:p>
        </w:tc>
        <w:tc>
          <w:tcPr>
            <w:tcW w:w="0" w:type="dxa"/>
            <w:vAlign w:val="bottom"/>
          </w:tcPr>
          <w:p>
            <w:pPr>
              <w:spacing w:after="0"/>
              <w:rPr>
                <w:sz w:val="1"/>
                <w:szCs w:val="1"/>
                <w:color w:val="auto"/>
              </w:rPr>
            </w:pPr>
          </w:p>
        </w:tc>
      </w:tr>
      <w:tr>
        <w:trPr>
          <w:trHeight w:val="211"/>
        </w:trPr>
        <w:tc>
          <w:tcPr>
            <w:tcW w:w="37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Variable rate debt </w:t>
            </w:r>
            <w:r>
              <w:rPr>
                <w:rFonts w:ascii="Times New Roman" w:cs="Times New Roman" w:eastAsia="Times New Roman" w:hAnsi="Times New Roman"/>
                <w:sz w:val="20"/>
                <w:szCs w:val="20"/>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363,550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355,364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268,787</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3,621,024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3,581,131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3,507,386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3,453,125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net deferred financing costs.</w:t>
      </w:r>
    </w:p>
    <w:p>
      <w:pPr>
        <w:spacing w:after="0" w:line="21"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debt and preferred equity investments had an estimated fair value of approximately $0.3 billion. As of December 31, 2023, debt and preferred equity investments had an estimated fair value of approximately $0.3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606425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Disclosures regarding fair value of financial instruments was based on pertinent information available to us as of December 31, 2024 and 2023. Such amounts have not been comprehensively revalued for purposes of these financial statements since that date and current estimates of fair value may differ significantly from the amounts presented herein.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Financial Instruments: Derivatives and Hedging</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In the normal course of business, we use a variety of commonly used derivative instruments, including, but not limited to, interest rate swaps, caps, collars and floors, to manage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spacing w:after="0" w:line="70"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notional value at inception and fair value of our consolidated derivative financial instruments as of December 31, 2024 based on Level 2 information. The notional value is an indication of the extent of our involvement in these instruments at that time, but does not represent exposure to credit, interest rate or market risks (dollars in thousands).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Notional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Strike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Expiration</w:t>
            </w: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40" w:type="dxa"/>
            <w:vAlign w:val="bottom"/>
          </w:tcPr>
          <w:p>
            <w:pPr>
              <w:spacing w:after="0"/>
              <w:rPr>
                <w:sz w:val="16"/>
                <w:szCs w:val="16"/>
                <w:color w:val="auto"/>
              </w:rPr>
            </w:pPr>
          </w:p>
        </w:tc>
        <w:tc>
          <w:tcPr>
            <w:tcW w:w="94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4"/>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2024</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2025</w:t>
            </w:r>
          </w:p>
        </w:tc>
        <w:tc>
          <w:tcPr>
            <w:tcW w:w="1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2025</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2025</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July 2025</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January 2026</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2026</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December 2026</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July 2023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May 2027</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May 2027</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2022</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2027</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2027</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2027</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2023</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2028</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204,963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May 2028</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25,391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2024, we recorded a gain of $5.5 million based on the changes in the fair value of forward-starting interest rate swaps, which is included in Purchase price and other fair value adjustments in the consolidated statements of operations. During the year ended December 31, 2023, we recorded a loss of $10.4 million based on the changes in the fair value of an interest rate cap we sold and a forward-starting interest rate swap. During the year ended December 31, 2022, we recorded a loss of $1.7 million based on the changes in the fair value of an interest rate cap we sold. During the year ended December 31, 2024, we recorded a gain of $0.1 million, on the changes in fair value, which is included in interest expenses in the consolidated statements of operations. During the years ended December 31, 2023 and 2022, we recorded losses of $0.2 million and $0.3 million, respectively, on the changes in the fair value, which is included in interest expense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608330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Certain agreements the Company has with each of its derivative counterparties contain a provision where if the Company defaults on any of its indebtedness, then the Company could also be declared in default on its derivative obligations. As of December 31, 2024, the fair value of derivatives in a net liability position, including accrued interest but excluding any adjustment for nonperformance risk related to these agreements was $6.7 million. As of December 31, 2024,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$6.8 million as of December 31, 2024.</w:t>
      </w:r>
    </w:p>
    <w:p>
      <w:pPr>
        <w:spacing w:after="0" w:line="6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Gains and losses on terminated hedges are included in accumulated other comprehensive income, and are recognized into earnings over the term of the related obligation. Over time, the realized and unrealized gains and losses held in accumulated other comprehensive income will be reclassified into earnings as an adjustment to interest expense in the same periods in which the hedged interest payments affect earnings. We estimate that ($18.4 million) of the current balance held in accumulated other comprehensive income will be reclassified into interest expense and ($1.7 million) of the portion related to our share of joint venture accumulated other comprehensive income will be reclassified into equity in net loss from unconsolidated joint ventures within the next 12 months.</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effects of our derivative financial instruments and our share of our joint ventures' derivative financial instruments that are designated and qualify as hedging instruments on the consolidated statements of operations for the years ended December 31, 2024, 2023, and 2022, respectively (in thousands):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6"/>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9"/>
              </w:rPr>
              <w:t>Amount of Gain (Loss)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 Reclassified</w:t>
            </w:r>
          </w:p>
        </w:tc>
        <w:tc>
          <w:tcPr>
            <w:tcW w:w="120" w:type="dxa"/>
            <w:vAlign w:val="bottom"/>
          </w:tcPr>
          <w:p>
            <w:pPr>
              <w:spacing w:after="0"/>
              <w:rPr>
                <w:sz w:val="13"/>
                <w:szCs w:val="13"/>
                <w:color w:val="auto"/>
              </w:rPr>
            </w:pPr>
          </w:p>
        </w:tc>
        <w:tc>
          <w:tcPr>
            <w:tcW w:w="3080" w:type="dxa"/>
            <w:vAlign w:val="bottom"/>
            <w:gridSpan w:val="7"/>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Amount of Gain (Loss) Reclassified from</w:t>
            </w: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7"/>
          </w:tcPr>
          <w:p>
            <w:pPr>
              <w:jc w:val="center"/>
              <w:ind w:right="44"/>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Accumulated Other Comprehensive Income into</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7"/>
          </w:tcPr>
          <w:p>
            <w:pPr>
              <w:jc w:val="center"/>
              <w:ind w:right="144"/>
              <w:spacing w:after="0" w:line="145" w:lineRule="exact"/>
              <w:rPr>
                <w:sz w:val="20"/>
                <w:szCs w:val="20"/>
                <w:color w:val="auto"/>
              </w:rPr>
            </w:pPr>
            <w:r>
              <w:rPr>
                <w:rFonts w:ascii="Times New Roman" w:cs="Times New Roman" w:eastAsia="Times New Roman" w:hAnsi="Times New Roman"/>
                <w:sz w:val="14"/>
                <w:szCs w:val="14"/>
                <w:b w:val="1"/>
                <w:bCs w:val="1"/>
                <w:color w:val="auto"/>
                <w:w w:val="99"/>
              </w:rPr>
              <w:t>Other Comprehensive Income (Loss)</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from Accumulated Other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Income into Income</w:t>
            </w: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gridSpan w:val="6"/>
            <w:vMerge w:val="restart"/>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4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340" w:type="dxa"/>
            <w:vAlign w:val="bottom"/>
            <w:gridSpan w:val="6"/>
            <w:vMerge w:val="restart"/>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gridSpan w:val="6"/>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gridSpan w:val="6"/>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3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8"/>
                <w:szCs w:val="18"/>
                <w:color w:val="auto"/>
              </w:rPr>
            </w:pPr>
          </w:p>
        </w:tc>
        <w:tc>
          <w:tcPr>
            <w:tcW w:w="7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Swaps/Caps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41,802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83,162</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37,398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0" w:type="dxa"/>
            <w:vAlign w:val="bottom"/>
          </w:tcPr>
          <w:p>
            <w:pPr>
              <w:spacing w:after="0"/>
              <w:rPr>
                <w:sz w:val="1"/>
                <w:szCs w:val="1"/>
                <w:color w:val="auto"/>
              </w:rPr>
            </w:pPr>
          </w:p>
        </w:tc>
      </w:tr>
      <w:tr>
        <w:trPr>
          <w:trHeight w:val="157"/>
        </w:trPr>
        <w:tc>
          <w:tcPr>
            <w:tcW w:w="23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Share of unconsolidated joint</w:t>
            </w:r>
          </w:p>
        </w:tc>
        <w:tc>
          <w:tcPr>
            <w:tcW w:w="220" w:type="dxa"/>
            <w:vAlign w:val="bottom"/>
          </w:tcPr>
          <w:p>
            <w:pPr>
              <w:spacing w:after="0"/>
              <w:rPr>
                <w:sz w:val="13"/>
                <w:szCs w:val="13"/>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6,870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24,783</w:t>
            </w:r>
          </w:p>
        </w:tc>
        <w:tc>
          <w:tcPr>
            <w:tcW w:w="100" w:type="dxa"/>
            <w:vAlign w:val="bottom"/>
          </w:tcPr>
          <w:p>
            <w:pPr>
              <w:spacing w:after="0"/>
              <w:rPr>
                <w:sz w:val="13"/>
                <w:szCs w:val="13"/>
                <w:color w:val="auto"/>
              </w:rPr>
            </w:pPr>
          </w:p>
        </w:tc>
        <w:tc>
          <w:tcPr>
            <w:tcW w:w="23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from</w:t>
            </w:r>
          </w:p>
        </w:tc>
        <w:tc>
          <w:tcPr>
            <w:tcW w:w="120" w:type="dxa"/>
            <w:vAlign w:val="bottom"/>
          </w:tcPr>
          <w:p>
            <w:pPr>
              <w:spacing w:after="0"/>
              <w:rPr>
                <w:sz w:val="13"/>
                <w:szCs w:val="13"/>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10,965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08"/>
        </w:trPr>
        <w:tc>
          <w:tcPr>
            <w:tcW w:w="2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ventures' derivative instruments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unconsolidated joint ventures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48,672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107,945</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48,363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notional value at inception and fair value of our joint ventures' derivative financial instruments as of December 31, 2024 based on Level 2 information. The notional value is an indication of the extent of our involvement in these instruments at that time, but does not represent exposure to credit, interest rate or market risks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Strike Rate</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Classification</w:t>
            </w:r>
          </w:p>
        </w:tc>
        <w:tc>
          <w:tcPr>
            <w:tcW w:w="240" w:type="dxa"/>
            <w:vAlign w:val="bottom"/>
          </w:tcPr>
          <w:p>
            <w:pPr>
              <w:spacing w:after="0"/>
              <w:rPr>
                <w:sz w:val="16"/>
                <w:szCs w:val="16"/>
                <w:color w:val="auto"/>
              </w:rPr>
            </w:pP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658,357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2024</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Asset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08"/>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08"/>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1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1.555 %</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2022</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r>
      <w:tr>
        <w:trPr>
          <w:trHeight w:val="208"/>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4.039 %</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Liability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4.058 %</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Liability</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0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537,500</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4.065 %</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5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3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Liability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29"/>
        </w:trPr>
        <w:tc>
          <w:tcPr>
            <w:tcW w:w="2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55"/>
        </w:trPr>
        <w:tc>
          <w:tcPr>
            <w:tcW w:w="2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Lease Income</w:t>
      </w:r>
    </w:p>
    <w:p>
      <w:pPr>
        <w:spacing w:after="0" w:line="121" w:lineRule="exact"/>
        <w:rPr>
          <w:sz w:val="20"/>
          <w:szCs w:val="20"/>
          <w:color w:val="auto"/>
        </w:rPr>
      </w:pPr>
    </w:p>
    <w:p>
      <w:pPr>
        <w:jc w:val="both"/>
        <w:ind w:right="100" w:firstLine="393"/>
        <w:spacing w:after="0" w:line="277" w:lineRule="auto"/>
        <w:rPr>
          <w:sz w:val="20"/>
          <w:szCs w:val="20"/>
          <w:color w:val="auto"/>
        </w:rPr>
      </w:pPr>
      <w:r>
        <w:rPr>
          <w:rFonts w:ascii="Times New Roman" w:cs="Times New Roman" w:eastAsia="Times New Roman" w:hAnsi="Times New Roman"/>
          <w:sz w:val="17"/>
          <w:szCs w:val="17"/>
          <w:color w:val="auto"/>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57" w:lineRule="exact"/>
        <w:rPr>
          <w:sz w:val="20"/>
          <w:szCs w:val="20"/>
          <w:color w:val="auto"/>
        </w:rPr>
      </w:pPr>
    </w:p>
    <w:p>
      <w:pPr>
        <w:jc w:val="both"/>
        <w:ind w:right="100" w:firstLine="393"/>
        <w:spacing w:after="0" w:line="268" w:lineRule="auto"/>
        <w:rPr>
          <w:sz w:val="20"/>
          <w:szCs w:val="20"/>
          <w:color w:val="auto"/>
        </w:rPr>
      </w:pPr>
      <w:r>
        <w:rPr>
          <w:rFonts w:ascii="Times New Roman" w:cs="Times New Roman" w:eastAsia="Times New Roman" w:hAnsi="Times New Roman"/>
          <w:sz w:val="17"/>
          <w:szCs w:val="17"/>
          <w:color w:val="auto"/>
        </w:rPr>
        <w:t>Future minimum rents to be received over the next five years and thereafter for operating leases in effect at December 31, 2024 are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544,452</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507,298</w:t>
            </w:r>
          </w:p>
        </w:tc>
      </w:tr>
      <w:tr>
        <w:trPr>
          <w:trHeight w:val="211"/>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454,095</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390,475</w:t>
            </w:r>
          </w:p>
        </w:tc>
      </w:tr>
      <w:tr>
        <w:trPr>
          <w:trHeight w:val="211"/>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355,565</w:t>
            </w:r>
          </w:p>
        </w:tc>
      </w:tr>
      <w:tr>
        <w:trPr>
          <w:trHeight w:val="20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1,402,994</w:t>
            </w:r>
          </w:p>
        </w:tc>
      </w:tr>
      <w:tr>
        <w:trPr>
          <w:trHeight w:val="228"/>
        </w:trPr>
        <w:tc>
          <w:tcPr>
            <w:tcW w:w="96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3,654,879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The components of lease income from operating leases in our consolidated statements of operations for the years ended December 31, 2024, 2023 and 2022 were as follows (in thousands):</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lease payments</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545,573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63,004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Total lease payments </w:t>
            </w:r>
            <w:r>
              <w:rPr>
                <w:rFonts w:ascii="Times New Roman" w:cs="Times New Roman" w:eastAsia="Times New Roman" w:hAnsi="Times New Roman"/>
                <w:sz w:val="9"/>
                <w:szCs w:val="9"/>
                <w:color w:val="auto"/>
              </w:rPr>
              <w:t>(1)</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608,577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acquired above and below-market leases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rental revenue</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605,999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$188.5 million and $196.5 million of sublease income for the years ended December 31, 2024 and 2023, respectively.</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summarizes our investment in sales-type leases as of December 31, 2024:</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5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Year of Current Expiration</w:t>
            </w:r>
          </w:p>
        </w:tc>
        <w:tc>
          <w:tcPr>
            <w:tcW w:w="2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 xml:space="preserve">Year of Final Expiration </w:t>
            </w:r>
            <w:r>
              <w:rPr>
                <w:rFonts w:ascii="Times New Roman" w:cs="Times New Roman" w:eastAsia="Times New Roman" w:hAnsi="Times New Roman"/>
                <w:sz w:val="20"/>
                <w:szCs w:val="20"/>
                <w:b w:val="1"/>
                <w:bCs w:val="1"/>
                <w:color w:val="auto"/>
                <w:w w:val="98"/>
                <w:vertAlign w:val="superscript"/>
              </w:rPr>
              <w:t>(1)</w:t>
            </w:r>
          </w:p>
        </w:tc>
      </w:tr>
      <w:tr>
        <w:trPr>
          <w:trHeight w:val="203"/>
        </w:trPr>
        <w:tc>
          <w:tcPr>
            <w:tcW w:w="40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0"/>
                <w:szCs w:val="20"/>
                <w:color w:val="auto"/>
                <w:vertAlign w:val="superscript"/>
              </w:rPr>
              <w:t>(2)</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r>
    </w:tbl>
    <w:p>
      <w:pPr>
        <w:spacing w:after="0" w:line="161" w:lineRule="exact"/>
        <w:rPr>
          <w:sz w:val="20"/>
          <w:szCs w:val="20"/>
          <w:color w:val="auto"/>
        </w:rPr>
      </w:pPr>
    </w:p>
    <w:p>
      <w:pPr>
        <w:ind w:left="400" w:hanging="395"/>
        <w:spacing w:after="0"/>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renewal options.</w:t>
      </w:r>
    </w:p>
    <w:p>
      <w:pPr>
        <w:spacing w:after="0" w:line="21" w:lineRule="exact"/>
        <w:rPr>
          <w:rFonts w:ascii="Times New Roman" w:cs="Times New Roman" w:eastAsia="Times New Roman" w:hAnsi="Times New Roman"/>
          <w:sz w:val="14"/>
          <w:szCs w:val="14"/>
          <w:color w:val="auto"/>
        </w:rPr>
      </w:pPr>
    </w:p>
    <w:p>
      <w:pPr>
        <w:ind w:left="400" w:right="100" w:hanging="395"/>
        <w:spacing w:after="0" w:line="268" w:lineRule="auto"/>
        <w:tabs>
          <w:tab w:leader="none" w:pos="3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2020, the Company formed a joint venture, which then entered into a long-term sublease with the Company for the building at 15 Beekman. See Note 6, "Investments in Unconsolidated Joint Ventures."</w:t>
      </w:r>
    </w:p>
    <w:p>
      <w:pPr>
        <w:spacing w:after="0" w:line="78"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Future minimum lease payments to be received over the next five years and thereafter for our sales-type leases with initial terms in excess of one year as of December 31, 2024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Sales-type leases</w:t>
            </w:r>
          </w:p>
        </w:tc>
      </w:tr>
      <w:tr>
        <w:trPr>
          <w:trHeight w:val="20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r>
      <w:tr>
        <w:trPr>
          <w:trHeight w:val="20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12"/>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r>
      <w:tr>
        <w:trPr>
          <w:trHeight w:val="20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r>
      <w:tr>
        <w:trPr>
          <w:trHeight w:val="212"/>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r>
      <w:tr>
        <w:trPr>
          <w:trHeight w:val="20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193,367</w:t>
            </w:r>
          </w:p>
        </w:tc>
      </w:tr>
      <w:tr>
        <w:trPr>
          <w:trHeight w:val="20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209,997</w:t>
            </w:r>
          </w:p>
        </w:tc>
      </w:tr>
      <w:tr>
        <w:trPr>
          <w:trHeight w:val="20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(103,044)</w:t>
            </w:r>
          </w:p>
        </w:tc>
      </w:tr>
      <w:tr>
        <w:trPr>
          <w:trHeight w:val="230"/>
        </w:trPr>
        <w:tc>
          <w:tcPr>
            <w:tcW w:w="9220" w:type="dxa"/>
            <w:vAlign w:val="bottom"/>
            <w:tcBorders>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Investment in sales-type leases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included in Other assets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640715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components of lease income from sales-type leases during the years ended December 31, 2024, 2023 and 2022 were as follows (in thousands):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0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0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0"/>
                <w:szCs w:val="20"/>
                <w:color w:val="auto"/>
                <w:vertAlign w:val="superscript"/>
              </w:rPr>
              <w:t>(1)</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r>
    </w:tbl>
    <w:p>
      <w:pPr>
        <w:spacing w:after="0" w:line="174" w:lineRule="exact"/>
        <w:rPr>
          <w:sz w:val="20"/>
          <w:szCs w:val="20"/>
          <w:color w:val="auto"/>
        </w:rPr>
      </w:pPr>
    </w:p>
    <w:p>
      <w:pPr>
        <w:ind w:left="400" w:hanging="395"/>
        <w:spacing w:after="0"/>
        <w:tabs>
          <w:tab w:leader="none" w:pos="4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Interest expense, net of interest income in our consolidated statements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Benefit Plans</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The building employees are covered by multi-employer defined benefit pension plans and post-retirement health and welfare plans. We participate in the Building Service 32BJ, or Union, Pension Plan and Health Plan. The Pension Plan is a multi-employer, non-contributory defined benefit pension plan that was established under the terms of collective bargaining agreements between the Service Employees International Union, Local 32BJ, the Realty Advisory Board on Labor Relations, Inc. and certain other employees. This Pension Plan is administered by a joint board of trustees consisting of union trustees and employer trustees and operates under employer identification number 13-1879376. The Pension Plan year runs from July 1 to June 30. Employers contribute to the Pension Plan at a fixed rate on behalf of each covered employee. Separate actuarial information regarding such pension plans is not made available to the contributing employers by the union administrators or trustees, since the plans do not maintain separate records for each reporting unit. However, on September 28, 2022, September 28, 2023 and September 12, 2024, the actuary certified that for the plan years beginning July 1, 2022, July 1, 2023 and July 1, 2024, the Pension Plan was in critical or endangered status under the Pension Protection Act of 2006. The Pension Plan trustees adopted a rehabilitation plan consistent with this requirement. No surcharges have been paid to the Pension Plan as of December 31, 2024. For the Pension Plan years ended June 30, 2024, 2023 and 2022, the plan received contributions from employers totaling $530.3 million, $317.9 million and $305.7 million, respectively. Our contributions to the Pension Plan represent less than 5.0% of total contributions to the plan.</w:t>
      </w:r>
    </w:p>
    <w:p>
      <w:pPr>
        <w:spacing w:after="0" w:line="72"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The Health Plan was established under the terms of collective bargaining agreements between the Union, the Realty Advisory Board on Labor Relations, Inc. and certain other employers. The Health Plan provides health and other benefits to eligible participants employed in the building service industry who are covered under collective bargaining agreements, or other written agreements, with the Union. The Health Plan is administered by a Board of Trustees with equal representation by the employers and the Union and operates under employer identification number 13-2928869. The Health Plan receives contributions in accordance with collective bargaining agreements or participation agreements. Generally, these agreements provide that the employers contribute to the Health Plan at a fixed rate on behalf of each covered employee. For the Health Plan years ended, June 30, 2024, 2023 and 2022, the plan received contributions from employers totaling $1.7 billion, $1.9 billion and $1.6 billion, respectively. Our contributions to the Health Plan represent less than 5.0% of total contributions to the plan.</w:t>
      </w:r>
    </w:p>
    <w:p>
      <w:pPr>
        <w:spacing w:after="0" w:line="284" w:lineRule="exact"/>
        <w:rPr>
          <w:sz w:val="20"/>
          <w:szCs w:val="20"/>
          <w:color w:val="auto"/>
        </w:rPr>
      </w:pPr>
    </w:p>
    <w:p>
      <w:pPr>
        <w:jc w:val="both"/>
        <w:ind w:firstLine="433"/>
        <w:spacing w:after="0" w:line="268" w:lineRule="auto"/>
        <w:rPr>
          <w:sz w:val="20"/>
          <w:szCs w:val="20"/>
          <w:color w:val="auto"/>
        </w:rPr>
      </w:pPr>
      <w:r>
        <w:rPr>
          <w:rFonts w:ascii="Times New Roman" w:cs="Times New Roman" w:eastAsia="Times New Roman" w:hAnsi="Times New Roman"/>
          <w:sz w:val="17"/>
          <w:szCs w:val="17"/>
          <w:color w:val="auto"/>
        </w:rPr>
        <w:t>Contributions we made to the multi-employer plans for the years ended December 31, 2024, 2023 and 2022 are included in the table below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7"/>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Benefit Plan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Plan</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1,952</w:t>
            </w:r>
          </w:p>
        </w:tc>
      </w:tr>
      <w:tr>
        <w:trPr>
          <w:trHeight w:val="209"/>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 Plan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6,386</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plans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807</w:t>
            </w:r>
          </w:p>
        </w:tc>
      </w:tr>
      <w:tr>
        <w:trPr>
          <w:trHeight w:val="204"/>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plan contributions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9,145</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401(K) Plan</w:t>
      </w:r>
    </w:p>
    <w:p>
      <w:pPr>
        <w:spacing w:after="0" w:line="121"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7"/>
          <w:szCs w:val="17"/>
          <w:color w:val="auto"/>
        </w:rPr>
        <w:t>In August 1997, we implemented a 401(K) Savings/Retirement Plan, or the 401(K) Plan, to cover eligible employees of ours, and any designated affiliate. The 401(K) Plan permits eligible employees to defer up to 15% of their annual compensation, subject to certain limitations imposed by the Code. The employees' elective deferrals are immediately vested and non-forfeitable upon contribution to the 401(K) Plan. During 2003, we amended our 401(K) Plan to provide for discretionary matching contributions only. For 2024, 2023 and 2022, a matching contribution equal to 100% of the first 4% of annual compensation was made. For the years ended December 31, 2024, 2023 and 2022, we made matching contributions of $2.3 million, $1.8 million, and $1.5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743585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ind w:right="8500" w:firstLine="5"/>
        <w:spacing w:after="0" w:line="387" w:lineRule="auto"/>
        <w:tabs>
          <w:tab w:leader="none" w:pos="262"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Legal Proceedings</w:t>
      </w:r>
    </w:p>
    <w:p>
      <w:pPr>
        <w:spacing w:after="0" w:line="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56"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have entered into employment agreements with certain executives, which expire between January 2026 and July 2028. The minimum cash-based compensation associated with these employment agreements, which is comprised only of base salary, totals $2.6 million for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7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Belmont had loss reserves of $3.5 million and $3.3 million as of December 31, 2024 and 2023, respectively. Ticonderoga had no loss reserves as of December 31, 2024 and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Arrangements</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are a tenant under leases for certain properties, including ground leases. These leases have expirations from 2033 to 2119, or 2043 to 2119 as fully extended. Certain leases offer extension options which we assess against relevant economic factors to determine whether we are reasonably certain of exercising or not exercising the option. Lease payments associated with renewal periods that we are reasonably certain will be exercised, if any, are included in the measurement of the corresponding lease liability and right of use asset.</w:t>
      </w:r>
    </w:p>
    <w:p>
      <w:pPr>
        <w:spacing w:after="0" w:line="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Certain of our leases are subject to rent resets, generally based on a percentage of the then fair market value, a fixed amount, or a percentage of the preceding rent at specified future dates. Rent resets will be recognized in the periods in which they are incurred. Additionally, certain of our leases are subject to percentage rent arrangements based on thresholds established in the lease agreement, such as percentage of sales at the property. Percentage rents will be recognized in the periods in which they are incurred.</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summarizes our current lease arrangements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Property </w:t>
            </w:r>
            <w:r>
              <w:rPr>
                <w:rFonts w:ascii="Times New Roman" w:cs="Times New Roman" w:eastAsia="Times New Roman" w:hAnsi="Times New Roman"/>
                <w:sz w:val="20"/>
                <w:szCs w:val="20"/>
                <w:b w:val="1"/>
                <w:bCs w:val="1"/>
                <w:color w:val="auto"/>
                <w:vertAlign w:val="superscript"/>
              </w:rPr>
              <w:t>(1)</w:t>
            </w:r>
          </w:p>
        </w:tc>
        <w:tc>
          <w:tcPr>
            <w:tcW w:w="39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Year of Current Expiration</w:t>
            </w:r>
          </w:p>
        </w:tc>
        <w:tc>
          <w:tcPr>
            <w:tcW w:w="2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 xml:space="preserve">Year of Final Expiration </w:t>
            </w:r>
            <w:r>
              <w:rPr>
                <w:rFonts w:ascii="Times New Roman" w:cs="Times New Roman" w:eastAsia="Times New Roman" w:hAnsi="Times New Roman"/>
                <w:sz w:val="20"/>
                <w:szCs w:val="20"/>
                <w:b w:val="1"/>
                <w:bCs w:val="1"/>
                <w:color w:val="auto"/>
                <w:w w:val="98"/>
                <w:vertAlign w:val="superscript"/>
              </w:rPr>
              <w:t>(2)</w:t>
            </w:r>
          </w:p>
        </w:tc>
      </w:tr>
      <w:tr>
        <w:trPr>
          <w:trHeight w:val="203"/>
        </w:trPr>
        <w:tc>
          <w:tcPr>
            <w:tcW w:w="52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711 Third Avenue </w:t>
            </w:r>
            <w:r>
              <w:rPr>
                <w:rFonts w:ascii="Times New Roman" w:cs="Times New Roman" w:eastAsia="Times New Roman" w:hAnsi="Times New Roman"/>
                <w:sz w:val="20"/>
                <w:szCs w:val="20"/>
                <w:color w:val="auto"/>
                <w:vertAlign w:val="superscript"/>
              </w:rPr>
              <w:t>(3)</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r>
      <w:tr>
        <w:trPr>
          <w:trHeight w:val="20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3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r>
      <w:tr>
        <w:trPr>
          <w:trHeight w:val="212"/>
        </w:trPr>
        <w:tc>
          <w:tcPr>
            <w:tcW w:w="52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SL Green Headquarters at One Vanderbilt Avenue </w:t>
            </w:r>
            <w:r>
              <w:rPr>
                <w:rFonts w:ascii="Times New Roman" w:cs="Times New Roman" w:eastAsia="Times New Roman" w:hAnsi="Times New Roman"/>
                <w:sz w:val="20"/>
                <w:szCs w:val="20"/>
                <w:color w:val="auto"/>
                <w:vertAlign w:val="superscript"/>
              </w:rPr>
              <w:t>(4)</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r>
      <w:tr>
        <w:trPr>
          <w:trHeight w:val="20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 Lexington Avenue</w:t>
            </w:r>
          </w:p>
        </w:tc>
        <w:tc>
          <w:tcPr>
            <w:tcW w:w="3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One Vanderbilt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r>
      <w:tr>
        <w:trPr>
          <w:trHeight w:val="26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0"/>
                <w:szCs w:val="20"/>
                <w:color w:val="auto"/>
                <w:vertAlign w:val="superscript"/>
              </w:rPr>
              <w:t>(5)(6)</w:t>
            </w:r>
          </w:p>
        </w:tc>
        <w:tc>
          <w:tcPr>
            <w:tcW w:w="3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r>
    </w:tbl>
    <w:p>
      <w:pPr>
        <w:spacing w:after="0" w:line="103" w:lineRule="exact"/>
        <w:rPr>
          <w:sz w:val="20"/>
          <w:szCs w:val="20"/>
          <w:color w:val="auto"/>
        </w:rPr>
      </w:pPr>
    </w:p>
    <w:p>
      <w:pPr>
        <w:ind w:left="400" w:hanging="395"/>
        <w:spacing w:after="0"/>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leases are classified as operating leases unless otherwise specified.</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owns 50% of the fee interest.</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2021, the Company commenced its lease for its corporate headquarters at One Vanderbilt Avenue. See note 10, "Related Party Transactions."</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option to purchase the ground lease for a fixed price on a specific date. The lease is classified as a financing lease.</w:t>
      </w:r>
    </w:p>
    <w:p>
      <w:pPr>
        <w:ind w:left="400" w:hanging="395"/>
        <w:spacing w:after="0" w:line="262" w:lineRule="auto"/>
        <w:tabs>
          <w:tab w:leader="none" w:pos="39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2020, the Company entered into a long-term sublease with an unconsolidated joint venture as part of the capitalization of the 15 Beekman development project. See Note 6, "Investments in Unconsolidated Joint Ventures."</w:t>
      </w:r>
    </w:p>
    <w:p>
      <w:pPr>
        <w:spacing w:after="0" w:line="83"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is a schedule of future minimum lease payments as evaluated in accordance with ASC 842 for our financing leases and operating leases with initial terms in excess of one year as of December 31, 2024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Financing leases</w:t>
            </w:r>
          </w:p>
        </w:tc>
        <w:tc>
          <w:tcPr>
            <w:tcW w:w="280" w:type="dxa"/>
            <w:vAlign w:val="bottom"/>
          </w:tcPr>
          <w:p>
            <w:pPr>
              <w:spacing w:after="0"/>
              <w:rPr>
                <w:sz w:val="18"/>
                <w:szCs w:val="18"/>
                <w:color w:val="auto"/>
              </w:rPr>
            </w:pPr>
          </w:p>
        </w:tc>
        <w:tc>
          <w:tcPr>
            <w:tcW w:w="174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0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53,595</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53,734</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53,746</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54,211</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54,443</w:t>
            </w:r>
          </w:p>
        </w:tc>
      </w:tr>
      <w:tr>
        <w:trPr>
          <w:trHeight w:val="208"/>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1,154,422</w:t>
            </w:r>
          </w:p>
        </w:tc>
      </w:tr>
      <w:tr>
        <w:trPr>
          <w:trHeight w:val="20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1,424,151</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discounted using incremental borrowing rate</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(613,162)</w:t>
            </w: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106,853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810,989</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58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lease cost information for the Company's operating leases for the years ended December 31, 2024, 2023 and 2022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000" w:type="dxa"/>
            <w:vAlign w:val="bottom"/>
            <w:tcBorders>
              <w:bottom w:val="single" w:sz="8" w:color="auto"/>
            </w:tcBorders>
          </w:tcPr>
          <w:p>
            <w:pPr>
              <w:spacing w:after="0"/>
              <w:rPr>
                <w:sz w:val="18"/>
                <w:szCs w:val="18"/>
                <w:color w:val="auto"/>
              </w:rPr>
            </w:pPr>
          </w:p>
        </w:tc>
      </w:tr>
      <w:tr>
        <w:trPr>
          <w:trHeight w:val="20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 Costs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 before capitalized operating lease costs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29,637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33,773</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costs capitalized</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8"/>
              </w:rPr>
              <w:t>(2,345)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8"/>
              </w:rPr>
              <w:t>(6,830)</w:t>
            </w:r>
          </w:p>
        </w:tc>
      </w:tr>
      <w:tr>
        <w:trPr>
          <w:trHeight w:val="204"/>
        </w:trPr>
        <w:tc>
          <w:tcPr>
            <w:tcW w:w="71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Operating lease costs, net </w:t>
            </w:r>
            <w:r>
              <w:rPr>
                <w:rFonts w:ascii="Times New Roman" w:cs="Times New Roman" w:eastAsia="Times New Roman" w:hAnsi="Times New Roman"/>
                <w:sz w:val="20"/>
                <w:szCs w:val="20"/>
                <w:color w:val="auto"/>
                <w:vertAlign w:val="superscript"/>
              </w:rPr>
              <w:t>(1)</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27,292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26,943</w:t>
            </w:r>
          </w:p>
        </w:tc>
      </w:tr>
    </w:tbl>
    <w:p>
      <w:pPr>
        <w:spacing w:after="0" w:line="161" w:lineRule="exact"/>
        <w:rPr>
          <w:sz w:val="20"/>
          <w:szCs w:val="20"/>
          <w:color w:val="auto"/>
        </w:rPr>
      </w:pPr>
    </w:p>
    <w:p>
      <w:pPr>
        <w:ind w:left="400" w:hanging="395"/>
        <w:spacing w:after="0"/>
        <w:tabs>
          <w:tab w:leader="none" w:pos="4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included in Operating lease rent in our consolidated statements of operations.</w:t>
      </w:r>
    </w:p>
    <w:p>
      <w:pPr>
        <w:spacing w:after="0" w:line="119" w:lineRule="exact"/>
        <w:rPr>
          <w:sz w:val="20"/>
          <w:szCs w:val="20"/>
          <w:color w:val="auto"/>
        </w:rPr>
      </w:pPr>
    </w:p>
    <w:p>
      <w:pPr>
        <w:ind w:right="58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lease cost information for the Company's financing leases for the years ended December 31, 2024, 2023 and 2022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Lease Costs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on financing leases before capitalized interest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03"/>
        </w:trPr>
        <w:tc>
          <w:tcPr>
            <w:tcW w:w="710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Interest on financing leases, net </w:t>
            </w:r>
            <w:r>
              <w:rPr>
                <w:rFonts w:ascii="Times New Roman" w:cs="Times New Roman" w:eastAsia="Times New Roman" w:hAnsi="Times New Roman"/>
                <w:sz w:val="20"/>
                <w:szCs w:val="20"/>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costs,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Interest expense, net of interest income in our consolidated statements of operations.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Depreciation and amortization in our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538480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the weighted-average discount rate used to calculate the lease liabilities was 4.46%. As of December 31, 2024, the weighted-average remaining lease term was 27 years, inclusive of purchase options expected to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565785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Segment Information</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has three operating and reportable segments, real estate, debt and preferred equity investments, and SUMMIT. The results of these segments are provided to and reviewed by the CEO, our chief operating decision maker (“CODM”), who uses this information to assess performance and inform key decisions regarding operations, resources and capital allocation.</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2024, our CODM revised the approach for reviewing results of the operating and reportable segments to be more specific to the respective businesses of each. Previously, the same profit or loss measure was utilized across all segments. With the continued growth and diversification of the Company's revenue sources, we determined that this approach needed to evolve accordingly.</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a result, our CODM now evaluates real estate performance and allocates resources based on net operating income ("NOI"), which serves as the profit or loss measure for the operating segment. For our debt and preferred equity investments and SUMMIT operating segment performance, our CODM evaluates and allocates resources based on net income. The CODM does not review asset information as a measure to assess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 reportable segment profit or loss measures for the twelve months ended December 31, 2024, December 31, 2023, and December 31, 2022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3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133,214</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43,333</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3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(income) from unconsolidated joint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Interest expense on senior obligations of consolidated</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(14,634)</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securitization vehicles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SUMMIT and DPE Net income</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59"/>
        </w:trPr>
        <w:tc>
          <w:tcPr>
            <w:tcW w:w="440" w:type="dxa"/>
            <w:vAlign w:val="bottom"/>
          </w:tcPr>
          <w:p>
            <w:pPr>
              <w:spacing w:after="0"/>
              <w:rPr>
                <w:sz w:val="13"/>
                <w:szCs w:val="13"/>
                <w:color w:val="auto"/>
              </w:rPr>
            </w:pPr>
          </w:p>
        </w:tc>
        <w:tc>
          <w:tcPr>
            <w:tcW w:w="38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Depreciable real estate reserves in unconsolidated joint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real estate, net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gain on sale of interest in unconsolidated</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joint venture/real estate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7"/>
        </w:trPr>
        <w:tc>
          <w:tcPr>
            <w:tcW w:w="4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3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118,260</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SUMMIT and DPE Net income</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on sale of interest in unconsolidated joint</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venture/real estate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7"/>
        </w:trPr>
        <w:tc>
          <w:tcPr>
            <w:tcW w:w="4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38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89,048</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81,113</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SUMMIT and DPE Net income</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55,980</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on sale of interest in unconsolidated joint</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venture/real estate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100" w:firstLine="433"/>
        <w:spacing w:after="0" w:line="270" w:lineRule="auto"/>
        <w:rPr>
          <w:sz w:val="20"/>
          <w:szCs w:val="20"/>
          <w:color w:val="auto"/>
        </w:rPr>
      </w:pPr>
      <w:r>
        <w:rPr>
          <w:rFonts w:ascii="Times New Roman" w:cs="Times New Roman" w:eastAsia="Times New Roman" w:hAnsi="Times New Roman"/>
          <w:sz w:val="17"/>
          <w:szCs w:val="17"/>
          <w:color w:val="auto"/>
        </w:rPr>
        <w:t>For the real estate segment, the primary sources of revenue are tenant rents and escalations and reimbursement revenue. See Note 5, "Debt and Preferred Equity Investments," for additional details on our debt and preferred equity investments. We allocate loan loss reserves, net of recoveries, and transaction related costs to the debt and preferred equity segment. SUMMIT currently operates one location at One Vanderbilt Avenue in midtown Manhattan with the primary source of revenue generated from ticket sales.</w:t>
      </w:r>
    </w:p>
    <w:p>
      <w:pPr>
        <w:spacing w:after="0" w:line="64" w:lineRule="exact"/>
        <w:rPr>
          <w:sz w:val="20"/>
          <w:szCs w:val="20"/>
          <w:color w:val="auto"/>
        </w:rPr>
      </w:pPr>
    </w:p>
    <w:p>
      <w:pPr>
        <w:jc w:val="both"/>
        <w:ind w:right="100" w:firstLine="433"/>
        <w:spacing w:after="0" w:line="297" w:lineRule="auto"/>
        <w:rPr>
          <w:sz w:val="20"/>
          <w:szCs w:val="20"/>
          <w:color w:val="auto"/>
        </w:rPr>
      </w:pPr>
      <w:r>
        <w:rPr>
          <w:rFonts w:ascii="Times New Roman" w:cs="Times New Roman" w:eastAsia="Times New Roman" w:hAnsi="Times New Roman"/>
          <w:sz w:val="17"/>
          <w:szCs w:val="17"/>
          <w:color w:val="auto"/>
        </w:rPr>
        <w:t>There were no transactions between the above three segments other than the SUMMIT lease with our One Vanderbilt Avenue joint venture, which is part of the real estate segment. See Note 10,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591185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III - Real Estate and Accumulated Depreciation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Column D Cost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Column C</w:t>
            </w:r>
          </w:p>
        </w:tc>
        <w:tc>
          <w:tcPr>
            <w:tcW w:w="100" w:type="dxa"/>
            <w:vAlign w:val="bottom"/>
          </w:tcPr>
          <w:p>
            <w:pPr>
              <w:spacing w:after="0"/>
              <w:rPr>
                <w:sz w:val="9"/>
                <w:szCs w:val="9"/>
                <w:color w:val="auto"/>
              </w:rPr>
            </w:pPr>
          </w:p>
        </w:tc>
        <w:tc>
          <w:tcPr>
            <w:tcW w:w="1520" w:type="dxa"/>
            <w:vAlign w:val="bottom"/>
            <w:gridSpan w:val="5"/>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rPr>
              <w:t>Capitalized</w:t>
            </w:r>
          </w:p>
        </w:tc>
        <w:tc>
          <w:tcPr>
            <w:tcW w:w="100" w:type="dxa"/>
            <w:vAlign w:val="bottom"/>
          </w:tcPr>
          <w:p>
            <w:pPr>
              <w:spacing w:after="0"/>
              <w:rPr>
                <w:sz w:val="9"/>
                <w:szCs w:val="9"/>
                <w:color w:val="auto"/>
              </w:rPr>
            </w:pPr>
          </w:p>
        </w:tc>
        <w:tc>
          <w:tcPr>
            <w:tcW w:w="2460" w:type="dxa"/>
            <w:vAlign w:val="bottom"/>
            <w:gridSpan w:val="8"/>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Column E Gross Amount at Which</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Column A</w:t>
            </w: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Column B</w:t>
            </w:r>
          </w:p>
        </w:tc>
        <w:tc>
          <w:tcPr>
            <w:tcW w:w="12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5"/>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Subsequent To</w:t>
            </w:r>
          </w:p>
        </w:tc>
        <w:tc>
          <w:tcPr>
            <w:tcW w:w="100" w:type="dxa"/>
            <w:vAlign w:val="bottom"/>
          </w:tcPr>
          <w:p>
            <w:pPr>
              <w:spacing w:after="0"/>
              <w:rPr>
                <w:sz w:val="9"/>
                <w:szCs w:val="9"/>
                <w:color w:val="auto"/>
              </w:rPr>
            </w:pPr>
          </w:p>
        </w:tc>
        <w:tc>
          <w:tcPr>
            <w:tcW w:w="246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Column F</w:t>
            </w:r>
          </w:p>
        </w:tc>
        <w:tc>
          <w:tcPr>
            <w:tcW w:w="10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Column G</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Column H</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Column I</w:t>
            </w:r>
          </w:p>
        </w:tc>
        <w:tc>
          <w:tcPr>
            <w:tcW w:w="0" w:type="dxa"/>
            <w:vAlign w:val="bottom"/>
          </w:tcPr>
          <w:p>
            <w:pPr>
              <w:spacing w:after="0"/>
              <w:rPr>
                <w:sz w:val="1"/>
                <w:szCs w:val="1"/>
                <w:color w:val="auto"/>
              </w:rPr>
            </w:pPr>
          </w:p>
        </w:tc>
      </w:tr>
      <w:tr>
        <w:trPr>
          <w:trHeight w:val="157"/>
        </w:trPr>
        <w:tc>
          <w:tcPr>
            <w:tcW w:w="1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Initial Cost</w:t>
            </w:r>
          </w:p>
        </w:tc>
        <w:tc>
          <w:tcPr>
            <w:tcW w:w="100" w:type="dxa"/>
            <w:vAlign w:val="bottom"/>
          </w:tcPr>
          <w:p>
            <w:pPr>
              <w:spacing w:after="0"/>
              <w:rPr>
                <w:sz w:val="13"/>
                <w:szCs w:val="13"/>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 xml:space="preserve">Acquisition </w:t>
            </w:r>
            <w:r>
              <w:rPr>
                <w:rFonts w:ascii="Times New Roman" w:cs="Times New Roman" w:eastAsia="Times New Roman" w:hAnsi="Times New Roman"/>
                <w:sz w:val="13"/>
                <w:szCs w:val="13"/>
                <w:b w:val="1"/>
                <w:bCs w:val="1"/>
                <w:color w:val="auto"/>
                <w:vertAlign w:val="superscript"/>
              </w:rPr>
              <w:t>(1)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gridSpan w:val="5"/>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Carried at Close of Period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top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Life on</w:t>
            </w: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Building &amp;</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Building &amp;</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Building &amp;</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9"/>
                <w:szCs w:val="9"/>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Date of</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Date</w:t>
            </w:r>
          </w:p>
        </w:tc>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Which</w:t>
            </w:r>
          </w:p>
        </w:tc>
        <w:tc>
          <w:tcPr>
            <w:tcW w:w="0" w:type="dxa"/>
            <w:vAlign w:val="bottom"/>
          </w:tcPr>
          <w:p>
            <w:pPr>
              <w:spacing w:after="0"/>
              <w:rPr>
                <w:sz w:val="1"/>
                <w:szCs w:val="1"/>
                <w:color w:val="auto"/>
              </w:rPr>
            </w:pPr>
          </w:p>
        </w:tc>
      </w:tr>
      <w:tr>
        <w:trPr>
          <w:trHeight w:val="105"/>
        </w:trPr>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Description </w:t>
            </w:r>
            <w:r>
              <w:rPr>
                <w:rFonts w:ascii="Times New Roman" w:cs="Times New Roman" w:eastAsia="Times New Roman" w:hAnsi="Times New Roman"/>
                <w:sz w:val="13"/>
                <w:szCs w:val="13"/>
                <w:b w:val="1"/>
                <w:bCs w:val="1"/>
                <w:color w:val="auto"/>
                <w:vertAlign w:val="superscript"/>
              </w:rPr>
              <w:t>(2)</w:t>
            </w: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Encumbrances</w:t>
            </w:r>
          </w:p>
        </w:tc>
        <w:tc>
          <w:tcPr>
            <w:tcW w:w="12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Land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Land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Depreciation is</w:t>
            </w:r>
          </w:p>
        </w:tc>
        <w:tc>
          <w:tcPr>
            <w:tcW w:w="0" w:type="dxa"/>
            <w:vAlign w:val="bottom"/>
          </w:tcPr>
          <w:p>
            <w:pPr>
              <w:spacing w:after="0"/>
              <w:rPr>
                <w:sz w:val="1"/>
                <w:szCs w:val="1"/>
                <w:color w:val="auto"/>
              </w:rPr>
            </w:pPr>
          </w:p>
        </w:tc>
      </w:tr>
      <w:tr>
        <w:trPr>
          <w:trHeight w:val="157"/>
        </w:trPr>
        <w:tc>
          <w:tcPr>
            <w:tcW w:w="1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Depreciation</w:t>
            </w:r>
          </w:p>
        </w:tc>
        <w:tc>
          <w:tcPr>
            <w:tcW w:w="10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Construction</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Acquired</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Computed</w:t>
            </w:r>
          </w:p>
        </w:tc>
        <w:tc>
          <w:tcPr>
            <w:tcW w:w="0" w:type="dxa"/>
            <w:vAlign w:val="bottom"/>
          </w:tcPr>
          <w:p>
            <w:pPr>
              <w:spacing w:after="0"/>
              <w:rPr>
                <w:sz w:val="1"/>
                <w:szCs w:val="1"/>
                <w:color w:val="auto"/>
              </w:rPr>
            </w:pPr>
          </w:p>
        </w:tc>
      </w:tr>
      <w:tr>
        <w:trPr>
          <w:trHeight w:val="150"/>
        </w:trPr>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420</w:t>
            </w: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Lexington Ave</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272,326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333,499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79,607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413,106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413,106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233,848</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1927</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3/1998</w:t>
            </w: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711 Third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19,844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115,769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16,578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19,844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132,347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152,191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84,768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1955</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5/1998</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555</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 57th Street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18,846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140,946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21,526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18,846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162,472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181,318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103,967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1/1999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461</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Fifth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88,276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28,873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15,200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28,873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103,476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132,349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49,460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1988</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10/2003</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750</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Third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51,093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251,523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114,773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51,093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366,296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417,389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115,992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7/2004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8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w w:val="93"/>
              </w:rPr>
              <w:t>485</w:t>
            </w:r>
          </w:p>
        </w:tc>
        <w:tc>
          <w:tcPr>
            <w:tcW w:w="82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rPr>
              <w:t>Lexington</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450,000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78,282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452,631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(4,635)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78,282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447,996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526,278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217,606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1956</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12/2004</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Avenue</w:t>
            </w: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810</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Seventh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114,077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550,819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13,809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114,077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564,628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678,705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252,324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1185 Avenue of the</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791,106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46,785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837,891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837,891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418,159</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1969</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Americas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1350 Avenue of the</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90,941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431,517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26,318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90,941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457,835</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548,776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211,252</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1966</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57"/>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Americas</w:t>
            </w:r>
          </w:p>
        </w:tc>
        <w:tc>
          <w:tcPr>
            <w:tcW w:w="8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1-6 Landmark</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100,000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27,852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161,343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(6,939)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(13,804)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20,913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147,539</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168,452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51,883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1973-1984</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5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 xml:space="preserve">Square </w:t>
            </w:r>
            <w:r>
              <w:rPr>
                <w:rFonts w:ascii="Times New Roman" w:cs="Times New Roman" w:eastAsia="Times New Roman" w:hAnsi="Times New Roman"/>
                <w:sz w:val="13"/>
                <w:szCs w:val="13"/>
                <w:color w:val="auto"/>
                <w:vertAlign w:val="superscript"/>
              </w:rPr>
              <w:t>(3)</w:t>
            </w: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gridSpan w:val="3"/>
            <w:shd w:val="clear" w:color="auto" w:fill="CCEEFF"/>
          </w:tcPr>
          <w:p>
            <w:pPr>
              <w:ind w:left="20"/>
              <w:spacing w:after="0" w:line="105" w:lineRule="exact"/>
              <w:rPr>
                <w:sz w:val="20"/>
                <w:szCs w:val="20"/>
                <w:color w:val="auto"/>
              </w:rPr>
            </w:pPr>
            <w:r>
              <w:rPr>
                <w:rFonts w:ascii="Times New Roman" w:cs="Times New Roman" w:eastAsia="Times New Roman" w:hAnsi="Times New Roman"/>
                <w:sz w:val="10"/>
                <w:szCs w:val="10"/>
                <w:color w:val="auto"/>
              </w:rPr>
              <w:t>7 Landmark Square</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1,721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8,417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383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2,182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2,565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783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2007</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98"/>
        </w:trPr>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(3)</w:t>
            </w:r>
          </w:p>
        </w:tc>
        <w:tc>
          <w:tcPr>
            <w:tcW w:w="7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100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Church Street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370,000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34,994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183,932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16,674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34,994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200,606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235,600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84,431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1959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1/2010</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125</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Park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120,900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270,598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30,032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120,900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300,630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421,530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139,949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10/2010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19 East 65th Street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8,603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2,074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4,990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8,603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7,064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15,667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1929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1/2012</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304</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Park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54,489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90,643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12,056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54,489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102,699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157,188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36,859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6/2012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760 Madison</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284,286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8,314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(2,748)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165,708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281,538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174,022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455,560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5,315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1996/2012</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7/2014</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Avenue</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110 Greene Street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45,120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228,393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4,741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45,120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233,134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278,254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64,093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7/2015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7 Dey / 185</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190,148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45,540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27,865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209,670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45,540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237,535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283,075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21,860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1921</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8/2015</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Broadway</w:t>
            </w: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885</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Third Avenue </w:t>
            </w:r>
            <w:r>
              <w:rPr>
                <w:rFonts w:ascii="Times New Roman" w:cs="Times New Roman" w:eastAsia="Times New Roman" w:hAnsi="Times New Roman"/>
                <w:sz w:val="13"/>
                <w:szCs w:val="13"/>
                <w:color w:val="auto"/>
                <w:vertAlign w:val="superscript"/>
              </w:rPr>
              <w:t>(4)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138,444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244,040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(138,444)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(119,024)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125,016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125,016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15,506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7/2020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690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Madison</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13,820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51,732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5,835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24,396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30,231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5,132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1879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9/2021</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100</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Park Avenue </w:t>
            </w:r>
            <w:r>
              <w:rPr>
                <w:rFonts w:ascii="Times New Roman" w:cs="Times New Roman" w:eastAsia="Times New Roman" w:hAnsi="Times New Roman"/>
                <w:sz w:val="13"/>
                <w:szCs w:val="13"/>
                <w:color w:val="auto"/>
                <w:vertAlign w:val="superscript"/>
              </w:rPr>
              <w:t>(5)</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230,891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133,269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230,891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133,269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364,160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2/2000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10 East 53rd Street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205,000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104,143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62,470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104,143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62,470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166,613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4,710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1971</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2/2012</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98"/>
        </w:trPr>
        <w:tc>
          <w:tcPr>
            <w:tcW w:w="180" w:type="dxa"/>
            <w:vAlign w:val="bottom"/>
          </w:tcPr>
          <w:p>
            <w:pPr>
              <w:ind w:left="20"/>
              <w:spacing w:after="0"/>
              <w:rPr>
                <w:sz w:val="20"/>
                <w:szCs w:val="20"/>
                <w:color w:val="auto"/>
              </w:rPr>
            </w:pPr>
            <w:r>
              <w:rPr>
                <w:rFonts w:ascii="Times New Roman" w:cs="Times New Roman" w:eastAsia="Times New Roman" w:hAnsi="Times New Roman"/>
                <w:sz w:val="7"/>
                <w:szCs w:val="7"/>
                <w:color w:val="auto"/>
              </w:rPr>
              <w:t>(5)</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Other </w:t>
            </w:r>
            <w:r>
              <w:rPr>
                <w:rFonts w:ascii="Times New Roman" w:cs="Times New Roman" w:eastAsia="Times New Roman" w:hAnsi="Times New Roman"/>
                <w:sz w:val="13"/>
                <w:szCs w:val="13"/>
                <w:color w:val="auto"/>
                <w:vertAlign w:val="superscript"/>
              </w:rPr>
              <w:t>(6)</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20,637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16,224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1,736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14,091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15,827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8,174</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1,947,474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1,504,523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4,645,400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(147,482)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605,300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1,357,041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5,250,700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6,607,741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2,126,081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0" w:hanging="395"/>
        <w:spacing w:after="0"/>
        <w:tabs>
          <w:tab w:leader="none" w:pos="4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depreciable real estate reserves and impairments recorded subsequent to acquisition.</w:t>
      </w:r>
    </w:p>
    <w:p>
      <w:pPr>
        <w:spacing w:after="0" w:line="21"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properties located in New York, New York, unless otherwise noted.</w:t>
      </w:r>
    </w:p>
    <w:p>
      <w:pPr>
        <w:spacing w:after="0" w:line="18"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Property located in Connecticut.</w:t>
      </w:r>
    </w:p>
    <w:p>
      <w:pPr>
        <w:spacing w:after="0" w:line="6"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2022, the Company sold 414,317 square feet of office leasehold condominium units at the property. The Company retained the remaining 218,796 square feet of the building.</w:t>
      </w:r>
    </w:p>
    <w:p>
      <w:pPr>
        <w:spacing w:after="0" w:line="6"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cost is the fair value that was determined upon consolidation of these investments in 2024.</w:t>
      </w:r>
    </w:p>
    <w:p>
      <w:pPr>
        <w:spacing w:after="0" w:line="6"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includes tenant improvements of eEmerge, capitalized interest and corporate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560070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III - Real Estate and Accumulated Depreciation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changes in real estate for the years ended December 31, 2024, 2023 and 2022 are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00" w:type="dxa"/>
            <w:vAlign w:val="bottom"/>
            <w:tcBorders>
              <w:bottom w:val="single" w:sz="8" w:color="auto"/>
            </w:tcBorders>
          </w:tcPr>
          <w:p>
            <w:pPr>
              <w:spacing w:after="0"/>
              <w:rPr>
                <w:sz w:val="18"/>
                <w:szCs w:val="18"/>
                <w:color w:val="auto"/>
              </w:rPr>
            </w:pPr>
          </w:p>
        </w:tc>
      </w:tr>
      <w:tr>
        <w:trPr>
          <w:trHeight w:val="204"/>
        </w:trPr>
        <w:tc>
          <w:tcPr>
            <w:tcW w:w="67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6,102,864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9,198,799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7,650,907</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1,900,042</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Improvements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199,416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335,413</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Retirements/disposals/deconsolidation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305,461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(687,563)</w:t>
            </w:r>
          </w:p>
        </w:tc>
      </w:tr>
      <w:tr>
        <w:trPr>
          <w:trHeight w:val="211"/>
        </w:trPr>
        <w:tc>
          <w:tcPr>
            <w:tcW w:w="6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Reclassification </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(953,236)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6,607,741</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6,102,864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9,198,799</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The aggregate cost of land, buildings and improvements, before depreciation, for Federal income tax purposes as of December 31, 2024 was $4.9 billion (unaudited).</w:t>
      </w:r>
    </w:p>
    <w:p>
      <w:pPr>
        <w:spacing w:after="0" w:line="41"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The changes in accumulated depreciation, exclusive of amounts relating to equipment, autos, and furniture and fixtures, for the years ended December 31, 2024, 2023 and 2022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04"/>
        </w:trPr>
        <w:tc>
          <w:tcPr>
            <w:tcW w:w="6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1,968,004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2,039,554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1,896,199</w:t>
            </w: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for year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171,744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199,576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175,465</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Retirements/disposals/deconsolidation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(32,110)</w:t>
            </w:r>
          </w:p>
        </w:tc>
      </w:tr>
      <w:tr>
        <w:trPr>
          <w:trHeight w:val="210"/>
        </w:trPr>
        <w:tc>
          <w:tcPr>
            <w:tcW w:w="694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Reclassification </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2,126,081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1,968,004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2,039,554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0" w:right="20" w:hanging="395"/>
        <w:spacing w:after="0" w:line="270" w:lineRule="auto"/>
        <w:tabs>
          <w:tab w:leader="none" w:pos="429"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the second quarter of 2024, we reclassified amounts recorded for certain right-of-use assets classified as operating leases from a gross presentation above accumulated depreciation to a net presentation below accumulated depreciation in our consolidated balance sheets. This includes reclassifying the related amortization that was previously included in the accumulated depreciation balance. As such, we no longer present right-of-use assets and related amortization in Schedule III - Real Estate and Accumulated Depreciation. See the "Reclassification" section of Note 2, "Significant Accounting Policies" for more information regarding this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545465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528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STATEMENTS AND SCHEDULES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(a)(1) Consolidated Financial Statements</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SL GREEN REALTY CORP.</w:t>
            </w:r>
          </w:p>
        </w:tc>
        <w:tc>
          <w:tcPr>
            <w:tcW w:w="1660" w:type="dxa"/>
            <w:vAlign w:val="bottom"/>
          </w:tcPr>
          <w:p>
            <w:pPr>
              <w:spacing w:after="0"/>
              <w:rPr>
                <w:sz w:val="19"/>
                <w:szCs w:val="19"/>
                <w:color w:val="auto"/>
              </w:rPr>
            </w:pP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(Deloitte &amp; Touche LLP)</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Equity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r>
      <w:tr>
        <w:trPr>
          <w:trHeight w:val="221"/>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r>
      <w:tr>
        <w:trPr>
          <w:trHeight w:val="225"/>
        </w:trPr>
        <w:tc>
          <w:tcPr>
            <w:tcW w:w="9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tc>
        <w:tc>
          <w:tcPr>
            <w:tcW w:w="1660" w:type="dxa"/>
            <w:vAlign w:val="bottom"/>
          </w:tcPr>
          <w:p>
            <w:pPr>
              <w:spacing w:after="0"/>
              <w:rPr>
                <w:sz w:val="19"/>
                <w:szCs w:val="19"/>
                <w:color w:val="auto"/>
              </w:rPr>
            </w:pP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(Deloitte &amp; Touche LLP)</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Equity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w:t>
            </w:r>
          </w:p>
        </w:tc>
      </w:tr>
      <w:tr>
        <w:trPr>
          <w:trHeight w:val="221"/>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r>
      <w:tr>
        <w:trPr>
          <w:trHeight w:val="223"/>
        </w:trPr>
        <w:tc>
          <w:tcPr>
            <w:tcW w:w="9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w:t>
            </w:r>
          </w:p>
        </w:tc>
      </w:tr>
      <w:tr>
        <w:trPr>
          <w:trHeight w:val="225"/>
        </w:trPr>
        <w:tc>
          <w:tcPr>
            <w:tcW w:w="9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(a)(2)  Financial Statement Schedules</w:t>
            </w:r>
          </w:p>
        </w:tc>
        <w:tc>
          <w:tcPr>
            <w:tcW w:w="1660" w:type="dxa"/>
            <w:vAlign w:val="bottom"/>
          </w:tcPr>
          <w:p>
            <w:pPr>
              <w:spacing w:after="0"/>
              <w:rPr>
                <w:sz w:val="19"/>
                <w:szCs w:val="19"/>
                <w:color w:val="auto"/>
              </w:rPr>
            </w:pPr>
          </w:p>
        </w:tc>
      </w:tr>
      <w:tr>
        <w:trPr>
          <w:trHeight w:val="228"/>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Schedule III—Real Estate and Accumulated Depreciation as of December 31, 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bl>
    <w:p>
      <w:pPr>
        <w:spacing w:after="0" w:line="23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Schedules other than those listed are omitted as they are not applicable or the required or equivalent information has been included in the financial statements or notes thereto.</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(a)(3) In reviewing the agreements included as exhibits to this Amendment No. 1, please remember they are included to provide you with information regarding their terms and are not intended to provide any other factual or disclosure information about us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117" w:lineRule="exact"/>
        <w:rPr>
          <w:sz w:val="20"/>
          <w:szCs w:val="20"/>
          <w:color w:val="auto"/>
        </w:rPr>
      </w:pPr>
    </w:p>
    <w:p>
      <w:pPr>
        <w:ind w:left="640" w:hanging="320"/>
        <w:spacing w:after="0" w:line="297" w:lineRule="auto"/>
        <w:tabs>
          <w:tab w:leader="none" w:pos="63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not in all instances be treated as categorical statements of fact, but rather as a way of allocating the risk to one of the parties if those statements prove to be inaccurate;</w:t>
      </w:r>
    </w:p>
    <w:p>
      <w:pPr>
        <w:spacing w:after="0" w:line="93"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9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apply standards of materiality in a way that is different from what may be viewed as material to you or other investors; and</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were made only as of the date of the applicable agreement or such other date or dates as may be specified in the agreement and are subject to more recent developments.</w:t>
      </w:r>
    </w:p>
    <w:p>
      <w:pPr>
        <w:spacing w:after="0" w:line="93"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 xml:space="preserve">Accordingly, these representations and warranties may not describe the actual state of affairs as of the date they were made or at any other time. Additional information about us may be found elsewhere in this Amendment No. 1 and our other public filings, which are available without charge through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859790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78" w:name="page79"/>
    <w:bookmarkEnd w:id="78"/>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13" w:lineRule="exact"/>
        <w:rPr>
          <w:sz w:val="20"/>
          <w:szCs w:val="20"/>
          <w:color w:val="auto"/>
        </w:rPr>
      </w:pPr>
    </w:p>
    <w:p>
      <w:pPr>
        <w:ind w:left="80"/>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u w:val="single" w:color="auto"/>
            <w:color w:val="0000FF"/>
          </w:rPr>
          <w:t>3.1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Restatement, incorporated by reference to the Company's Form 10-Q, dated July 11, 2014, filed with the SEC on August 11, 2014.</w:t>
      </w:r>
    </w:p>
    <w:p>
      <w:pPr>
        <w:spacing w:after="0" w:line="32" w:lineRule="exact"/>
        <w:rPr>
          <w:sz w:val="20"/>
          <w:szCs w:val="20"/>
          <w:color w:val="auto"/>
        </w:rPr>
      </w:pPr>
    </w:p>
    <w:p>
      <w:pPr>
        <w:ind w:left="340" w:right="20" w:hanging="252"/>
        <w:spacing w:after="0" w:line="242" w:lineRule="auto"/>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u w:val="single" w:color="auto"/>
            <w:color w:val="0000FF"/>
          </w:rPr>
          <w:t>3.2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the Company's Form 8-K, dated July 18, 2017,</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filed with the SEC on July 18, 2017.</w:t>
      </w:r>
    </w:p>
    <w:p>
      <w:pPr>
        <w:spacing w:after="0" w:line="7" w:lineRule="exact"/>
        <w:rPr>
          <w:sz w:val="20"/>
          <w:szCs w:val="20"/>
          <w:color w:val="auto"/>
        </w:rPr>
      </w:pPr>
    </w:p>
    <w:p>
      <w:pPr>
        <w:ind w:left="340" w:hanging="252"/>
        <w:spacing w:after="0" w:line="248" w:lineRule="auto"/>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u w:val="single" w:color="auto"/>
            <w:color w:val="0000FF"/>
          </w:rPr>
          <w:t>3.3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3.1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20, 2021, filed with the SEC on January 20, 2021.</w:t>
      </w:r>
    </w:p>
    <w:p>
      <w:pPr>
        <w:spacing w:after="0" w:line="3" w:lineRule="exact"/>
        <w:rPr>
          <w:sz w:val="20"/>
          <w:szCs w:val="20"/>
          <w:color w:val="auto"/>
        </w:rPr>
      </w:pPr>
    </w:p>
    <w:p>
      <w:pPr>
        <w:ind w:left="340" w:hanging="252"/>
        <w:spacing w:after="0" w:line="248" w:lineRule="auto"/>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u w:val="single" w:color="auto"/>
            <w:color w:val="0000FF"/>
          </w:rPr>
          <w:t>3.4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3.2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20, 2021, filed with the SEC on January 20, 2021.</w:t>
      </w:r>
    </w:p>
    <w:p>
      <w:pPr>
        <w:spacing w:after="0" w:line="3" w:lineRule="exact"/>
        <w:rPr>
          <w:sz w:val="20"/>
          <w:szCs w:val="20"/>
          <w:color w:val="auto"/>
        </w:rPr>
      </w:pPr>
    </w:p>
    <w:p>
      <w:pPr>
        <w:ind w:left="340" w:hanging="252"/>
        <w:spacing w:after="0" w:line="248" w:lineRule="auto"/>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u w:val="single" w:color="auto"/>
            <w:color w:val="0000FF"/>
          </w:rPr>
          <w:t>3.5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3.1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21, 2022, filed with the SEC on January 21, 2022.</w:t>
      </w:r>
    </w:p>
    <w:p>
      <w:pPr>
        <w:spacing w:after="0" w:line="3" w:lineRule="exact"/>
        <w:rPr>
          <w:sz w:val="20"/>
          <w:szCs w:val="20"/>
          <w:color w:val="auto"/>
        </w:rPr>
      </w:pPr>
    </w:p>
    <w:p>
      <w:pPr>
        <w:ind w:left="340" w:hanging="252"/>
        <w:spacing w:after="0" w:line="248" w:lineRule="auto"/>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u w:val="single" w:color="auto"/>
            <w:color w:val="0000FF"/>
          </w:rPr>
          <w:t>3.6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3.2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21, 2022, filed with the SEC on January 21, 2022.</w:t>
      </w:r>
    </w:p>
    <w:p>
      <w:pPr>
        <w:spacing w:after="0" w:line="3" w:lineRule="exact"/>
        <w:rPr>
          <w:sz w:val="20"/>
          <w:szCs w:val="20"/>
          <w:color w:val="auto"/>
        </w:rPr>
      </w:pPr>
    </w:p>
    <w:p>
      <w:pPr>
        <w:ind w:left="340" w:hanging="252"/>
        <w:spacing w:after="0" w:line="248" w:lineRule="auto"/>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u w:val="single" w:color="auto"/>
            <w:color w:val="0000FF"/>
          </w:rPr>
          <w:t>3.7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Fifth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Amended and Restated Bylaws of the Company, incorporated by reference to the Company's Form 8-K, dated December 21, 2018, filed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with the SEC on December 28, 2018.</w:t>
      </w:r>
    </w:p>
    <w:p>
      <w:pPr>
        <w:spacing w:after="0" w:line="3" w:lineRule="exact"/>
        <w:rPr>
          <w:sz w:val="20"/>
          <w:szCs w:val="20"/>
          <w:color w:val="auto"/>
        </w:rPr>
      </w:pPr>
    </w:p>
    <w:p>
      <w:pPr>
        <w:ind w:left="340" w:hanging="252"/>
        <w:spacing w:after="0" w:line="248" w:lineRule="auto"/>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u w:val="single" w:color="auto"/>
            <w:color w:val="0000FF"/>
          </w:rPr>
          <w:t>3.8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Fifth Amended and Restated Bylaws of the Company, effective as of May 11, 2020,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May 11, 2020, filed with the SEC on May 13, 2020.</w:t>
      </w:r>
    </w:p>
    <w:p>
      <w:pPr>
        <w:spacing w:after="0" w:line="3" w:lineRule="exact"/>
        <w:rPr>
          <w:sz w:val="20"/>
          <w:szCs w:val="20"/>
          <w:color w:val="auto"/>
        </w:rPr>
      </w:pPr>
    </w:p>
    <w:p>
      <w:pPr>
        <w:ind w:left="340" w:right="20" w:hanging="252"/>
        <w:spacing w:after="0" w:line="248" w:lineRule="auto"/>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u w:val="single" w:color="auto"/>
            <w:color w:val="0000FF"/>
          </w:rPr>
          <w:t>3.9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Supplementary Electing that SL Green Realty Corp. be Subject to Maryland General Corporations Law Section 3-804(c), 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the Company's Form 8-K, dated September 16, 2009, filed with the SEC on September 16, 2009.</w:t>
      </w:r>
    </w:p>
    <w:p>
      <w:pPr>
        <w:spacing w:after="0" w:line="3" w:lineRule="exact"/>
        <w:rPr>
          <w:sz w:val="20"/>
          <w:szCs w:val="20"/>
          <w:color w:val="auto"/>
        </w:rPr>
      </w:pPr>
    </w:p>
    <w:p>
      <w:pPr>
        <w:jc w:val="right"/>
        <w:spacing w:after="0" w:line="229" w:lineRule="auto"/>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u w:val="single" w:color="auto"/>
            <w:color w:val="0000FF"/>
          </w:rPr>
          <w:t>3.10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Supplementary reclassifying 4,600,000 shares of 8.0% Series A Convertible Cumulative Preferred Stock, 1,300,000 shares of Series B</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Junior Participating Preferred Stock and 4,000,000 shares of 7.875% Series D Cumulative Redeemable Preferred Stock into authorized preferred</w:t>
      </w:r>
    </w:p>
    <w:p>
      <w:pPr>
        <w:spacing w:after="0" w:line="1" w:lineRule="exact"/>
        <w:rPr>
          <w:sz w:val="20"/>
          <w:szCs w:val="20"/>
          <w:color w:val="auto"/>
        </w:rPr>
      </w:pPr>
    </w:p>
    <w:p>
      <w:pPr>
        <w:ind w:left="340"/>
        <w:spacing w:after="0" w:line="232" w:lineRule="auto"/>
        <w:rPr>
          <w:sz w:val="20"/>
          <w:szCs w:val="20"/>
          <w:color w:val="auto"/>
        </w:rPr>
      </w:pPr>
      <w:r>
        <w:rPr>
          <w:rFonts w:ascii="Times New Roman" w:cs="Times New Roman" w:eastAsia="Times New Roman" w:hAnsi="Times New Roman"/>
          <w:sz w:val="17"/>
          <w:szCs w:val="17"/>
          <w:color w:val="auto"/>
        </w:rPr>
        <w:t>stock without further designation, incorporated by reference to the Company's Form 8-K, dated August 9, 2012, filed with the SEC on August 10, 2012.</w:t>
      </w:r>
    </w:p>
    <w:p>
      <w:pPr>
        <w:jc w:val="right"/>
        <w:spacing w:after="0" w:line="226" w:lineRule="auto"/>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Supplementary classifying and designating 9,200,000 shares of the Company's 6.50% Series I Cumulative Redeemable Preferred Stock,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liquidation preference $25.00 per share, par value $0.01 per share, incorporated by reference to the Company's Form 8-K, dated August 9, 2012,</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filed with the SEC on August 10, 2012.</w:t>
      </w:r>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Amended and Restated Agreement of Limited Partnership of the Operating Partnership, incorporated by reference to the Company's Form</w:t>
      </w:r>
    </w:p>
    <w:p>
      <w:pPr>
        <w:ind w:left="340"/>
        <w:spacing w:after="0"/>
        <w:rPr>
          <w:sz w:val="20"/>
          <w:szCs w:val="20"/>
          <w:color w:val="auto"/>
        </w:rPr>
      </w:pPr>
      <w:r>
        <w:rPr>
          <w:rFonts w:ascii="Times New Roman" w:cs="Times New Roman" w:eastAsia="Times New Roman" w:hAnsi="Times New Roman"/>
          <w:sz w:val="17"/>
          <w:szCs w:val="17"/>
          <w:color w:val="auto"/>
        </w:rPr>
        <w:t>8-K, dated October 23, 2002, filed with the SEC on October 23, 2002.</w:t>
      </w:r>
    </w:p>
    <w:p>
      <w:pPr>
        <w:spacing w:after="0" w:line="21" w:lineRule="exact"/>
        <w:rPr>
          <w:sz w:val="20"/>
          <w:szCs w:val="20"/>
          <w:color w:val="auto"/>
        </w:rPr>
      </w:pPr>
    </w:p>
    <w:p>
      <w:pPr>
        <w:ind w:left="340" w:right="20" w:hanging="340"/>
        <w:spacing w:after="0" w:line="248" w:lineRule="auto"/>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u w:val="single" w:color="auto"/>
            <w:color w:val="0000FF"/>
          </w:rPr>
          <w:t>3.13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May 14, 1998,</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the Company's Form 8-K, dated October 23, 2002, filed with the SEC on October 23, 2002.</w:t>
      </w:r>
    </w:p>
    <w:p>
      <w:pPr>
        <w:spacing w:after="0" w:line="3" w:lineRule="exact"/>
        <w:rPr>
          <w:sz w:val="20"/>
          <w:szCs w:val="20"/>
          <w:color w:val="auto"/>
        </w:rPr>
      </w:pPr>
    </w:p>
    <w:p>
      <w:pPr>
        <w:ind w:left="340" w:right="20" w:hanging="340"/>
        <w:spacing w:after="0" w:line="248" w:lineRule="auto"/>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u w:val="single" w:color="auto"/>
            <w:color w:val="0000FF"/>
          </w:rPr>
          <w:t>3.14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Second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Quarterly Report on Form 10-Q for the quarter ended June 30, 2002, filed with the SEC on July 31, 2002.</w:t>
      </w:r>
    </w:p>
    <w:p>
      <w:pPr>
        <w:jc w:val="right"/>
        <w:spacing w:after="0" w:line="236" w:lineRule="auto"/>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u w:val="single" w:color="auto"/>
            <w:color w:val="0000FF"/>
          </w:rPr>
          <w:t>3.15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Fifth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March 15,</w:t>
      </w:r>
    </w:p>
    <w:p>
      <w:pPr>
        <w:jc w:val="right"/>
        <w:spacing w:after="0" w:line="226" w:lineRule="auto"/>
        <w:rPr>
          <w:sz w:val="20"/>
          <w:szCs w:val="20"/>
          <w:color w:val="auto"/>
        </w:rPr>
      </w:pPr>
      <w:r>
        <w:rPr>
          <w:rFonts w:ascii="Times New Roman" w:cs="Times New Roman" w:eastAsia="Times New Roman" w:hAnsi="Times New Roman"/>
          <w:sz w:val="17"/>
          <w:szCs w:val="17"/>
          <w:color w:val="auto"/>
        </w:rPr>
        <w:t>2006, incorporated by reference to the Company's Annual Report on Form 10-K for the year ended December 31, 2005, filed with the SEC on</w:t>
      </w:r>
    </w:p>
    <w:p>
      <w:pPr>
        <w:ind w:left="340"/>
        <w:spacing w:after="0"/>
        <w:rPr>
          <w:sz w:val="20"/>
          <w:szCs w:val="20"/>
          <w:color w:val="auto"/>
        </w:rPr>
      </w:pPr>
      <w:r>
        <w:rPr>
          <w:rFonts w:ascii="Times New Roman" w:cs="Times New Roman" w:eastAsia="Times New Roman" w:hAnsi="Times New Roman"/>
          <w:sz w:val="17"/>
          <w:szCs w:val="17"/>
          <w:color w:val="auto"/>
        </w:rPr>
        <w:t>March 16, 2006.</w:t>
      </w:r>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u w:val="single" w:color="auto"/>
            <w:color w:val="0000FF"/>
          </w:rPr>
          <w:t>3.16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Seventh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January 25,</w:t>
      </w:r>
    </w:p>
    <w:p>
      <w:pPr>
        <w:ind w:left="340"/>
        <w:spacing w:after="0"/>
        <w:rPr>
          <w:sz w:val="20"/>
          <w:szCs w:val="20"/>
          <w:color w:val="auto"/>
        </w:rPr>
      </w:pPr>
      <w:r>
        <w:rPr>
          <w:rFonts w:ascii="Times New Roman" w:cs="Times New Roman" w:eastAsia="Times New Roman" w:hAnsi="Times New Roman"/>
          <w:sz w:val="17"/>
          <w:szCs w:val="17"/>
          <w:color w:val="auto"/>
        </w:rPr>
        <w:t>2007, incorporated by reference to the Company's Form 8-K, dated January 24, 2007, filed with the SEC on January 30, 2007.</w:t>
      </w:r>
    </w:p>
    <w:p>
      <w:pPr>
        <w:spacing w:after="0" w:line="16" w:lineRule="exact"/>
        <w:rPr>
          <w:sz w:val="20"/>
          <w:szCs w:val="20"/>
          <w:color w:val="auto"/>
        </w:rPr>
      </w:pPr>
    </w:p>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u w:val="single" w:color="auto"/>
            <w:color w:val="0000FF"/>
          </w:rPr>
          <w:t>3.17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Eighth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January 20,</w:t>
      </w:r>
    </w:p>
    <w:p>
      <w:pPr>
        <w:ind w:left="340"/>
        <w:spacing w:after="0"/>
        <w:rPr>
          <w:sz w:val="20"/>
          <w:szCs w:val="20"/>
          <w:color w:val="auto"/>
        </w:rPr>
      </w:pPr>
      <w:r>
        <w:rPr>
          <w:rFonts w:ascii="Times New Roman" w:cs="Times New Roman" w:eastAsia="Times New Roman" w:hAnsi="Times New Roman"/>
          <w:sz w:val="17"/>
          <w:szCs w:val="17"/>
          <w:color w:val="auto"/>
        </w:rPr>
        <w:t>2010, incorporated by reference to the Company's Form 8-K, dated January 20, 2010, filed with the SEC on January 20, 2010.</w:t>
      </w:r>
    </w:p>
    <w:p>
      <w:pPr>
        <w:spacing w:after="0" w:line="16" w:lineRule="exact"/>
        <w:rPr>
          <w:sz w:val="20"/>
          <w:szCs w:val="20"/>
          <w:color w:val="auto"/>
        </w:rPr>
      </w:pPr>
    </w:p>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u w:val="single" w:color="auto"/>
            <w:color w:val="0000FF"/>
          </w:rPr>
          <w:t>3.18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January 31,</w:t>
      </w:r>
    </w:p>
    <w:p>
      <w:pPr>
        <w:ind w:left="340"/>
        <w:spacing w:after="0"/>
        <w:rPr>
          <w:sz w:val="20"/>
          <w:szCs w:val="20"/>
          <w:color w:val="auto"/>
        </w:rPr>
      </w:pPr>
      <w:r>
        <w:rPr>
          <w:rFonts w:ascii="Times New Roman" w:cs="Times New Roman" w:eastAsia="Times New Roman" w:hAnsi="Times New Roman"/>
          <w:sz w:val="17"/>
          <w:szCs w:val="17"/>
          <w:color w:val="auto"/>
        </w:rPr>
        <w:t>2012, incorporated by reference to the Company's Form 8-K, dated January 31, 2012, filed with the SEC on February 2, 2012.</w:t>
      </w:r>
    </w:p>
    <w:p>
      <w:pPr>
        <w:spacing w:after="0" w:line="21" w:lineRule="exact"/>
        <w:rPr>
          <w:sz w:val="20"/>
          <w:szCs w:val="20"/>
          <w:color w:val="auto"/>
        </w:rPr>
      </w:pPr>
    </w:p>
    <w:p>
      <w:pPr>
        <w:jc w:val="right"/>
        <w:spacing w:after="0" w:line="229" w:lineRule="auto"/>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u w:val="single" w:color="auto"/>
            <w:color w:val="0000FF"/>
          </w:rPr>
          <w:t>3.19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Eleventh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March 6, 2012,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the Company's Quarterly Report on Form 10-Q for the quarter ended March 31, 2012, filed with the SEC on May</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10, 2012.</w:t>
      </w:r>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u w:val="single" w:color="auto"/>
            <w:color w:val="0000FF"/>
          </w:rPr>
          <w:t>3.20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Twelfth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August 10,</w:t>
      </w:r>
    </w:p>
    <w:p>
      <w:pPr>
        <w:ind w:left="340"/>
        <w:spacing w:after="0"/>
        <w:rPr>
          <w:sz w:val="20"/>
          <w:szCs w:val="20"/>
          <w:color w:val="auto"/>
        </w:rPr>
      </w:pPr>
      <w:r>
        <w:rPr>
          <w:rFonts w:ascii="Times New Roman" w:cs="Times New Roman" w:eastAsia="Times New Roman" w:hAnsi="Times New Roman"/>
          <w:sz w:val="17"/>
          <w:szCs w:val="17"/>
          <w:color w:val="auto"/>
        </w:rPr>
        <w:t>2012, incorporated by reference to the Company's Form 8-K, dated August 10, 2012, filed with the SEC on August 10, 2012.</w:t>
      </w:r>
    </w:p>
    <w:p>
      <w:pPr>
        <w:spacing w:after="0" w:line="16" w:lineRule="exact"/>
        <w:rPr>
          <w:sz w:val="20"/>
          <w:szCs w:val="20"/>
          <w:color w:val="auto"/>
        </w:rPr>
      </w:pPr>
    </w:p>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Fourteenth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1,</w:t>
      </w:r>
    </w:p>
    <w:p>
      <w:pPr>
        <w:ind w:left="340"/>
        <w:spacing w:after="0"/>
        <w:rPr>
          <w:sz w:val="20"/>
          <w:szCs w:val="20"/>
          <w:color w:val="auto"/>
        </w:rPr>
      </w:pPr>
      <w:r>
        <w:rPr>
          <w:rFonts w:ascii="Times New Roman" w:cs="Times New Roman" w:eastAsia="Times New Roman" w:hAnsi="Times New Roman"/>
          <w:sz w:val="17"/>
          <w:szCs w:val="17"/>
          <w:color w:val="auto"/>
        </w:rPr>
        <w:t>2014, incorporated by reference to the Company's Form 8-K, dated July 2, 2014, filed with the SEC on July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603250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40"/>
          </w:cols>
          <w:pgMar w:left="980" w:top="1102" w:right="379" w:bottom="1440" w:gutter="0" w:footer="0" w:header="0"/>
        </w:sectPr>
      </w:pPr>
    </w:p>
    <w:bookmarkStart w:id="79" w:name="page80"/>
    <w:bookmarkEnd w:id="79"/>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Fifteenth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1,</w:t>
      </w:r>
    </w:p>
    <w:p>
      <w:pPr>
        <w:ind w:left="340"/>
        <w:spacing w:after="0"/>
        <w:rPr>
          <w:sz w:val="20"/>
          <w:szCs w:val="20"/>
          <w:color w:val="auto"/>
        </w:rPr>
      </w:pPr>
      <w:r>
        <w:rPr>
          <w:rFonts w:ascii="Times New Roman" w:cs="Times New Roman" w:eastAsia="Times New Roman" w:hAnsi="Times New Roman"/>
          <w:sz w:val="17"/>
          <w:szCs w:val="17"/>
          <w:color w:val="auto"/>
        </w:rPr>
        <w:t>2014, incorporated by reference to the Company's Form 8-K, dated July 2, 2014, filed with the SEC on July 2, 2014.</w:t>
      </w:r>
    </w:p>
    <w:p>
      <w:pPr>
        <w:spacing w:after="0" w:line="16" w:lineRule="exact"/>
        <w:rPr>
          <w:sz w:val="20"/>
          <w:szCs w:val="20"/>
          <w:color w:val="auto"/>
        </w:rPr>
      </w:pPr>
    </w:p>
    <w:p>
      <w:pPr>
        <w:jc w:val="right"/>
        <w:ind w:right="20"/>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u w:val="single" w:color="auto"/>
            <w:color w:val="0000FF"/>
          </w:rPr>
          <w:t>3.23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Eighteenth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June 25,</w:t>
      </w:r>
    </w:p>
    <w:p>
      <w:pPr>
        <w:jc w:val="right"/>
        <w:spacing w:after="0" w:line="225" w:lineRule="auto"/>
        <w:rPr>
          <w:sz w:val="20"/>
          <w:szCs w:val="20"/>
          <w:color w:val="auto"/>
        </w:rPr>
      </w:pPr>
      <w:r>
        <w:rPr>
          <w:rFonts w:ascii="Times New Roman" w:cs="Times New Roman" w:eastAsia="Times New Roman" w:hAnsi="Times New Roman"/>
          <w:sz w:val="17"/>
          <w:szCs w:val="17"/>
          <w:color w:val="auto"/>
        </w:rPr>
        <w:t>2015, incorporated by reference to the Company's Annual Report on Form 10-K for the year ended December 31, 2021, filed with the SEC on</w:t>
      </w:r>
    </w:p>
    <w:p>
      <w:pPr>
        <w:ind w:left="340"/>
        <w:spacing w:after="0"/>
        <w:rPr>
          <w:sz w:val="20"/>
          <w:szCs w:val="20"/>
          <w:color w:val="auto"/>
        </w:rPr>
      </w:pPr>
      <w:r>
        <w:rPr>
          <w:rFonts w:ascii="Times New Roman" w:cs="Times New Roman" w:eastAsia="Times New Roman" w:hAnsi="Times New Roman"/>
          <w:sz w:val="17"/>
          <w:szCs w:val="17"/>
          <w:color w:val="auto"/>
        </w:rPr>
        <w:t>February 18, 2022.</w:t>
      </w:r>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u w:val="single" w:color="auto"/>
            <w:color w:val="0000FF"/>
          </w:rPr>
          <w:t>3.24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Nineteenth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22,</w:t>
      </w:r>
    </w:p>
    <w:p>
      <w:pPr>
        <w:ind w:left="340"/>
        <w:spacing w:after="0"/>
        <w:rPr>
          <w:sz w:val="20"/>
          <w:szCs w:val="20"/>
          <w:color w:val="auto"/>
        </w:rPr>
      </w:pPr>
      <w:r>
        <w:rPr>
          <w:rFonts w:ascii="Times New Roman" w:cs="Times New Roman" w:eastAsia="Times New Roman" w:hAnsi="Times New Roman"/>
          <w:sz w:val="17"/>
          <w:szCs w:val="17"/>
          <w:color w:val="auto"/>
        </w:rPr>
        <w:t>2015, incorporated by reference to the Company's Form 8-K, dated July 24, 2015, filed with the SEC on July 24, 2015.</w:t>
      </w:r>
    </w:p>
    <w:p>
      <w:pPr>
        <w:spacing w:after="0" w:line="16" w:lineRule="exact"/>
        <w:rPr>
          <w:sz w:val="20"/>
          <w:szCs w:val="20"/>
          <w:color w:val="auto"/>
        </w:rPr>
      </w:pPr>
    </w:p>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u w:val="single" w:color="auto"/>
            <w:color w:val="0000FF"/>
          </w:rPr>
          <w:t>3.25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Twentieth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22,</w:t>
      </w:r>
    </w:p>
    <w:p>
      <w:pPr>
        <w:ind w:left="340"/>
        <w:spacing w:after="0"/>
        <w:rPr>
          <w:sz w:val="20"/>
          <w:szCs w:val="20"/>
          <w:color w:val="auto"/>
        </w:rPr>
      </w:pPr>
      <w:r>
        <w:rPr>
          <w:rFonts w:ascii="Times New Roman" w:cs="Times New Roman" w:eastAsia="Times New Roman" w:hAnsi="Times New Roman"/>
          <w:sz w:val="17"/>
          <w:szCs w:val="17"/>
          <w:color w:val="auto"/>
        </w:rPr>
        <w:t>2015, incorporated by reference to the Company's Form 8-K, dated July 24, 2015, filed with the SEC on July 24, 2015.</w:t>
      </w:r>
    </w:p>
    <w:p>
      <w:pPr>
        <w:spacing w:after="0" w:line="16" w:lineRule="exact"/>
        <w:rPr>
          <w:sz w:val="20"/>
          <w:szCs w:val="20"/>
          <w:color w:val="auto"/>
        </w:rPr>
      </w:pPr>
    </w:p>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u w:val="single" w:color="auto"/>
            <w:color w:val="0000FF"/>
          </w:rPr>
          <w:t>3.26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Twenty-First Amendment to the First Amended and Restated Agreement of Limited Partnership of the Operating Partnership, dated as of August</w:t>
      </w:r>
    </w:p>
    <w:p>
      <w:pPr>
        <w:ind w:left="340"/>
        <w:spacing w:after="0"/>
        <w:rPr>
          <w:sz w:val="20"/>
          <w:szCs w:val="20"/>
          <w:color w:val="auto"/>
        </w:rPr>
      </w:pPr>
      <w:r>
        <w:rPr>
          <w:rFonts w:ascii="Times New Roman" w:cs="Times New Roman" w:eastAsia="Times New Roman" w:hAnsi="Times New Roman"/>
          <w:sz w:val="17"/>
          <w:szCs w:val="17"/>
          <w:color w:val="auto"/>
        </w:rPr>
        <w:t>20, 2015, incorporated by reference to the Company's Form 8-K, dated as of August 21, 2015, filed with the SEC on August 21, 2015.</w:t>
      </w:r>
    </w:p>
    <w:p>
      <w:pPr>
        <w:spacing w:after="0" w:line="21" w:lineRule="exact"/>
        <w:rPr>
          <w:sz w:val="20"/>
          <w:szCs w:val="20"/>
          <w:color w:val="auto"/>
        </w:rPr>
      </w:pPr>
    </w:p>
    <w:p>
      <w:pPr>
        <w:ind w:left="340" w:right="20" w:hanging="340"/>
        <w:spacing w:after="0" w:line="248" w:lineRule="auto"/>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u w:val="single" w:color="auto"/>
            <w:color w:val="0000FF"/>
          </w:rPr>
          <w:t>3.27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Twenty-Second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August 20, 2015, incorporated by reference to the Company's Form 8-K, dated as of August 21, 2015, filed with the SEC on August 21, 2015.</w:t>
      </w:r>
    </w:p>
    <w:p>
      <w:pPr>
        <w:jc w:val="right"/>
        <w:spacing w:after="0" w:line="236" w:lineRule="auto"/>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u w:val="single" w:color="auto"/>
            <w:color w:val="0000FF"/>
          </w:rPr>
          <w:t>3.28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Twenty-Fifth Amendment to the First Amended and Restated Agreement of Limited Partnership of the Operating Partnership, dated as of June</w:t>
      </w:r>
    </w:p>
    <w:p>
      <w:pPr>
        <w:jc w:val="right"/>
        <w:spacing w:after="0" w:line="226" w:lineRule="auto"/>
        <w:rPr>
          <w:sz w:val="20"/>
          <w:szCs w:val="20"/>
          <w:color w:val="auto"/>
        </w:rPr>
      </w:pPr>
      <w:r>
        <w:rPr>
          <w:rFonts w:ascii="Times New Roman" w:cs="Times New Roman" w:eastAsia="Times New Roman" w:hAnsi="Times New Roman"/>
          <w:sz w:val="17"/>
          <w:szCs w:val="17"/>
          <w:color w:val="auto"/>
        </w:rPr>
        <w:t>17, 2016, incorporated by reference to the Company's Quarterly Report on Form 10-Q for the quarter ended September 30, 2016, filed with the</w:t>
      </w:r>
    </w:p>
    <w:p>
      <w:pPr>
        <w:ind w:left="340"/>
        <w:spacing w:after="0"/>
        <w:rPr>
          <w:sz w:val="20"/>
          <w:szCs w:val="20"/>
          <w:color w:val="auto"/>
        </w:rPr>
      </w:pPr>
      <w:r>
        <w:rPr>
          <w:rFonts w:ascii="Times New Roman" w:cs="Times New Roman" w:eastAsia="Times New Roman" w:hAnsi="Times New Roman"/>
          <w:sz w:val="17"/>
          <w:szCs w:val="17"/>
          <w:color w:val="auto"/>
        </w:rPr>
        <w:t>SEC on November 9, 2016.</w:t>
      </w:r>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u w:val="single" w:color="auto"/>
            <w:color w:val="0000FF"/>
          </w:rPr>
          <w:t>3.29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Twenty-Sixth Amendment to the First Amended and Restated Agreement of Limited Partnership of the Operating Partnership, dated as of May 1,</w:t>
      </w:r>
    </w:p>
    <w:p>
      <w:pPr>
        <w:ind w:left="340"/>
        <w:spacing w:after="0"/>
        <w:rPr>
          <w:sz w:val="20"/>
          <w:szCs w:val="20"/>
          <w:color w:val="auto"/>
        </w:rPr>
      </w:pPr>
      <w:r>
        <w:rPr>
          <w:rFonts w:ascii="Times New Roman" w:cs="Times New Roman" w:eastAsia="Times New Roman" w:hAnsi="Times New Roman"/>
          <w:sz w:val="17"/>
          <w:szCs w:val="17"/>
          <w:color w:val="auto"/>
        </w:rPr>
        <w:t>2019, incorporated by reference to the Company's Form 8-K, dated as of May 3, 2019, filed with the SEC on May 3, 2019.</w:t>
      </w:r>
    </w:p>
    <w:p>
      <w:pPr>
        <w:spacing w:after="0" w:line="21" w:lineRule="exact"/>
        <w:rPr>
          <w:sz w:val="20"/>
          <w:szCs w:val="20"/>
          <w:color w:val="auto"/>
        </w:rPr>
      </w:pPr>
    </w:p>
    <w:p>
      <w:pPr>
        <w:ind w:left="340" w:hanging="340"/>
        <w:spacing w:after="0" w:line="248" w:lineRule="auto"/>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u w:val="single" w:color="auto"/>
            <w:color w:val="0000FF"/>
          </w:rPr>
          <w:t>3.30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Twenty-Seventh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8, 2020, incorporated by reference to the Company's Form 8-K, dated as of January 14, 2020, filed with the SEC on January 14, 2020.</w:t>
      </w:r>
    </w:p>
    <w:p>
      <w:pPr>
        <w:spacing w:after="0" w:line="3" w:lineRule="exact"/>
        <w:rPr>
          <w:sz w:val="20"/>
          <w:szCs w:val="20"/>
          <w:color w:val="auto"/>
        </w:rPr>
      </w:pPr>
    </w:p>
    <w:p>
      <w:pPr>
        <w:jc w:val="right"/>
        <w:spacing w:after="0" w:line="229" w:lineRule="auto"/>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u w:val="single" w:color="auto"/>
            <w:color w:val="0000FF"/>
          </w:rPr>
          <w:t>3.31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Twenty-Eighth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December 20, 2021, incorporated by reference to the Company's Form 8-K, dated as of December 20, 2021, filed with the SEC on December 22,</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2021.</w:t>
      </w:r>
    </w:p>
    <w:p>
      <w:pPr>
        <w:spacing w:after="0" w:line="12" w:lineRule="exact"/>
        <w:rPr>
          <w:sz w:val="20"/>
          <w:szCs w:val="20"/>
          <w:color w:val="auto"/>
        </w:rPr>
      </w:pPr>
    </w:p>
    <w:p>
      <w:pPr>
        <w:ind w:left="340" w:right="20" w:hanging="340"/>
        <w:spacing w:after="0" w:line="242" w:lineRule="auto"/>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u w:val="single" w:color="auto"/>
            <w:color w:val="0000FF"/>
          </w:rPr>
          <w:t>3.32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Twenty-Ninth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October 26, 2022, incorporated by reference to the Company's Form 8-K, dated as of October 26, 2022, filed with the SEC on October 28, 2022.</w:t>
      </w:r>
    </w:p>
    <w:p>
      <w:pPr>
        <w:spacing w:after="0" w:line="2" w:lineRule="exact"/>
        <w:rPr>
          <w:sz w:val="20"/>
          <w:szCs w:val="20"/>
          <w:color w:val="auto"/>
        </w:rPr>
      </w:pPr>
    </w:p>
    <w:p>
      <w:pPr>
        <w:jc w:val="right"/>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u w:val="single" w:color="auto"/>
            <w:color w:val="0000FF"/>
          </w:rPr>
          <w:t>3.33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Thirtieth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April 20,</w:t>
      </w:r>
    </w:p>
    <w:p>
      <w:pPr>
        <w:jc w:val="right"/>
        <w:spacing w:after="0" w:line="225" w:lineRule="auto"/>
        <w:rPr>
          <w:sz w:val="20"/>
          <w:szCs w:val="20"/>
          <w:color w:val="auto"/>
        </w:rPr>
      </w:pPr>
      <w:r>
        <w:rPr>
          <w:rFonts w:ascii="Times New Roman" w:cs="Times New Roman" w:eastAsia="Times New Roman" w:hAnsi="Times New Roman"/>
          <w:sz w:val="17"/>
          <w:szCs w:val="17"/>
          <w:color w:val="auto"/>
        </w:rPr>
        <w:t>2023, incorporated by reference to the Company's Quarterly Report on Form 10-Q for the quarter ended March 31, 2023, filed with the SEC on</w:t>
      </w:r>
    </w:p>
    <w:p>
      <w:pPr>
        <w:ind w:left="340"/>
        <w:spacing w:after="0"/>
        <w:rPr>
          <w:sz w:val="20"/>
          <w:szCs w:val="20"/>
          <w:color w:val="auto"/>
        </w:rPr>
      </w:pPr>
      <w:r>
        <w:rPr>
          <w:rFonts w:ascii="Times New Roman" w:cs="Times New Roman" w:eastAsia="Times New Roman" w:hAnsi="Times New Roman"/>
          <w:sz w:val="17"/>
          <w:szCs w:val="17"/>
          <w:color w:val="auto"/>
        </w:rPr>
        <w:t>May 5, 2023.</w:t>
      </w:r>
    </w:p>
    <w:p>
      <w:pPr>
        <w:spacing w:after="0" w:line="12" w:lineRule="exact"/>
        <w:rPr>
          <w:sz w:val="20"/>
          <w:szCs w:val="20"/>
          <w:color w:val="auto"/>
        </w:rPr>
      </w:pPr>
    </w:p>
    <w:p>
      <w:pPr>
        <w:ind w:left="340" w:hanging="252"/>
        <w:spacing w:after="0" w:line="242" w:lineRule="auto"/>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u w:val="single" w:color="auto"/>
            <w:color w:val="0000FF"/>
          </w:rPr>
          <w:t>4.1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Specimen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Common Stock Certificate, incorporated by reference to the Company's Registration Statement on Form S-11 (No. 333-29329),</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declared effective by the SEC on August 14, 1997.</w:t>
      </w:r>
    </w:p>
    <w:p>
      <w:pPr>
        <w:spacing w:after="0" w:line="7" w:lineRule="exact"/>
        <w:rPr>
          <w:sz w:val="20"/>
          <w:szCs w:val="20"/>
          <w:color w:val="auto"/>
        </w:rPr>
      </w:pPr>
    </w:p>
    <w:p>
      <w:pPr>
        <w:jc w:val="right"/>
        <w:ind w:left="80"/>
        <w:spacing w:after="0" w:line="229" w:lineRule="auto"/>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u w:val="single" w:color="auto"/>
            <w:color w:val="0000FF"/>
          </w:rPr>
          <w:t>4.2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stock certificate evidencing the 6.50% Series I Cumulative Redeemable Preferred Stock of the Company, liquidation preference $25.00</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per share, par value $0.01 per share, incorporated by reference to the Company's Form 8-K, dated August 9, 2012, filed with the SEC on August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10, 2012.</w:t>
      </w:r>
    </w:p>
    <w:p>
      <w:pPr>
        <w:spacing w:after="0" w:line="12" w:lineRule="exact"/>
        <w:rPr>
          <w:sz w:val="20"/>
          <w:szCs w:val="20"/>
          <w:color w:val="auto"/>
        </w:rPr>
      </w:pPr>
    </w:p>
    <w:p>
      <w:pPr>
        <w:ind w:left="340" w:right="20" w:hanging="252"/>
        <w:spacing w:after="0" w:line="242" w:lineRule="auto"/>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u w:val="single" w:color="auto"/>
            <w:color w:val="0000FF"/>
          </w:rPr>
          <w:t>4.3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Indenture,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dated as of August 5, 2011, among the Company, the Operating Partnership and ROP, as Co-Obligors, and The Bank of New York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Mellon, as Trustee, incorporated by reference to the Company's Form 8-K, dated August 5, 2011, filed with the SEC on August 5, 2011.</w:t>
      </w:r>
    </w:p>
    <w:p>
      <w:pPr>
        <w:spacing w:after="0" w:line="7" w:lineRule="exact"/>
        <w:rPr>
          <w:sz w:val="20"/>
          <w:szCs w:val="20"/>
          <w:color w:val="auto"/>
        </w:rPr>
      </w:pPr>
    </w:p>
    <w:p>
      <w:pPr>
        <w:jc w:val="right"/>
        <w:ind w:left="80"/>
        <w:spacing w:after="0" w:line="229" w:lineRule="auto"/>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u w:val="single" w:color="auto"/>
            <w:color w:val="0000FF"/>
          </w:rPr>
          <w:t>4.4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Junior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Subordinated Indenture, dated as of June 30, 2005, between the Operating Partnership and JPMorgan Chase Bank, National Association,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Trustee, incorporated by reference to the Company's Quarterly Report on Form 10-Q for the quarter ended June 30, 2005, filed with the SEC</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August 9, 2005.</w:t>
      </w:r>
    </w:p>
    <w:p>
      <w:pPr>
        <w:spacing w:after="0" w:line="12" w:lineRule="exact"/>
        <w:rPr>
          <w:sz w:val="20"/>
          <w:szCs w:val="20"/>
          <w:color w:val="auto"/>
        </w:rPr>
      </w:pPr>
    </w:p>
    <w:p>
      <w:pPr>
        <w:ind w:left="340" w:hanging="252"/>
        <w:spacing w:after="0" w:line="242" w:lineRule="auto"/>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u w:val="single" w:color="auto"/>
            <w:color w:val="0000FF"/>
          </w:rPr>
          <w:t>4.5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Indenture,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dated as of October 5, 2017, among the Operating Partnership and The Bank of New York Mellon, as Trustee,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October 5, 2017, filed with the SEC on October 5, 2017.</w:t>
      </w:r>
    </w:p>
    <w:p>
      <w:pPr>
        <w:spacing w:after="0" w:line="7" w:lineRule="exact"/>
        <w:rPr>
          <w:sz w:val="20"/>
          <w:szCs w:val="20"/>
          <w:color w:val="auto"/>
        </w:rPr>
      </w:pPr>
    </w:p>
    <w:p>
      <w:pPr>
        <w:ind w:left="80"/>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u w:val="single" w:color="auto"/>
            <w:color w:val="0000FF"/>
          </w:rPr>
          <w:t>4.6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Description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the registrant's securities registered pursuant to section 12 of the Securities and Exchange Act of 1934.*</w:t>
      </w:r>
    </w:p>
    <w:p>
      <w:pPr>
        <w:spacing w:after="0" w:line="32" w:lineRule="exact"/>
        <w:rPr>
          <w:sz w:val="20"/>
          <w:szCs w:val="20"/>
          <w:color w:val="auto"/>
        </w:rPr>
      </w:pPr>
    </w:p>
    <w:p>
      <w:pPr>
        <w:ind w:left="340" w:hanging="340"/>
        <w:spacing w:after="0" w:line="242" w:lineRule="auto"/>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u w:val="single" w:color="auto"/>
            <w:color w:val="0000FF"/>
          </w:rPr>
          <w:t>10.1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Articles of Incorporation and Bylaws of S.L. Green Management Corp., incorporated by reference to the Company's Registration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Statement on Form S-11 (No. 333-29329), declared effective by the SEC on August 14, 1997.</w:t>
      </w:r>
    </w:p>
    <w:p>
      <w:pPr>
        <w:spacing w:after="0" w:line="7" w:lineRule="exact"/>
        <w:rPr>
          <w:sz w:val="20"/>
          <w:szCs w:val="20"/>
          <w:color w:val="auto"/>
        </w:rPr>
      </w:pPr>
    </w:p>
    <w:p>
      <w:pPr>
        <w:ind w:left="340" w:hanging="340"/>
        <w:spacing w:after="0" w:line="248" w:lineRule="auto"/>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u w:val="single" w:color="auto"/>
            <w:color w:val="0000FF"/>
          </w:rPr>
          <w:t>10.2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Registration Rights Agreement between the Company and the persons named therein, incorporated by reference to the Company's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Registration Statement on Form S-11 (No. 333-29329), declared effective by the SEC on August 14,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591820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40"/>
          </w:cols>
          <w:pgMar w:left="980" w:top="903" w:right="379" w:bottom="1440" w:gutter="0" w:footer="0" w:header="0"/>
        </w:sectPr>
      </w:pPr>
    </w:p>
    <w:bookmarkStart w:id="80" w:name="page81"/>
    <w:bookmarkEnd w:id="80"/>
    <w:p>
      <w:pPr>
        <w:jc w:val="right"/>
        <w:ind w:left="100"/>
        <w:spacing w:after="0" w:line="229" w:lineRule="auto"/>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u w:val="single" w:color="auto"/>
            <w:color w:val="0000FF"/>
          </w:rPr>
          <w:t>10.3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Trust Agreement among the Operating Partnership, as depositor, JPMorgan Chase Bank, National Association, as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property trustee, Chase Bank USA, National Association, as Delaware trustee, and the administrative trustees named therein, dated June 30,</w:t>
      </w:r>
    </w:p>
    <w:p>
      <w:pPr>
        <w:spacing w:after="0" w:line="1" w:lineRule="exact"/>
        <w:rPr>
          <w:sz w:val="20"/>
          <w:szCs w:val="20"/>
          <w:color w:val="auto"/>
        </w:rPr>
      </w:pPr>
    </w:p>
    <w:p>
      <w:pPr>
        <w:jc w:val="both"/>
        <w:ind w:left="440" w:right="20"/>
        <w:spacing w:after="0" w:line="232" w:lineRule="auto"/>
        <w:rPr>
          <w:sz w:val="20"/>
          <w:szCs w:val="20"/>
          <w:color w:val="auto"/>
        </w:rPr>
      </w:pPr>
      <w:r>
        <w:rPr>
          <w:rFonts w:ascii="Times New Roman" w:cs="Times New Roman" w:eastAsia="Times New Roman" w:hAnsi="Times New Roman"/>
          <w:sz w:val="17"/>
          <w:szCs w:val="17"/>
          <w:color w:val="auto"/>
        </w:rPr>
        <w:t>2005, incorporated by reference to the Company's Quarterly Report on Form 10-Q for the quarter ended June 30, 2005, filed with the SEC on August 9, 2005.</w:t>
      </w:r>
    </w:p>
    <w:p>
      <w:pPr>
        <w:ind w:left="440" w:hanging="340"/>
        <w:spacing w:after="0" w:line="242" w:lineRule="auto"/>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u w:val="single" w:color="auto"/>
            <w:color w:val="0000FF"/>
          </w:rPr>
          <w:t>10.4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Green Realty Corp. Fifth Amended and Restated 2005 Stock Option and Incentive Plan, incorporated by reference to Appendix A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definitive Proxy Statement on Schedule 14A filed on April 21, 2022</w:t>
      </w:r>
    </w:p>
    <w:p>
      <w:pPr>
        <w:spacing w:after="0" w:line="7" w:lineRule="exact"/>
        <w:rPr>
          <w:sz w:val="20"/>
          <w:szCs w:val="20"/>
          <w:color w:val="auto"/>
        </w:rPr>
      </w:pPr>
    </w:p>
    <w:p>
      <w:pPr>
        <w:ind w:left="440" w:hanging="340"/>
        <w:spacing w:after="0" w:line="248" w:lineRule="auto"/>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u w:val="single" w:color="auto"/>
            <w:color w:val="0000FF"/>
          </w:rPr>
          <w:t>10.5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Non-Employee Directors' Deferral Program, dated December 13, 2017, incorporated by reference to the Company's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Annual Report on Form 10-K for the year ended December 31, 2017, filed with the SEC on February 23, 2018.</w:t>
      </w:r>
    </w:p>
    <w:p>
      <w:pPr>
        <w:spacing w:after="0" w:line="3" w:lineRule="exact"/>
        <w:rPr>
          <w:sz w:val="20"/>
          <w:szCs w:val="20"/>
          <w:color w:val="auto"/>
        </w:rPr>
      </w:pPr>
    </w:p>
    <w:p>
      <w:pPr>
        <w:ind w:left="440" w:hanging="340"/>
        <w:spacing w:after="0" w:line="248" w:lineRule="auto"/>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u w:val="single" w:color="auto"/>
            <w:color w:val="0000FF"/>
          </w:rPr>
          <w:t>10.6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December 24, 2010, between Stephen L. Green and the Company,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the Company's Form 8-K, dated December 23, 2010, filed with the SEC on December 29, 2010.</w:t>
      </w:r>
    </w:p>
    <w:p>
      <w:pPr>
        <w:spacing w:after="0" w:line="3" w:lineRule="exact"/>
        <w:rPr>
          <w:sz w:val="20"/>
          <w:szCs w:val="20"/>
          <w:color w:val="auto"/>
        </w:rPr>
      </w:pPr>
    </w:p>
    <w:p>
      <w:pPr>
        <w:ind w:left="440" w:hanging="340"/>
        <w:spacing w:after="0" w:line="248" w:lineRule="auto"/>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u w:val="single" w:color="auto"/>
            <w:color w:val="0000FF"/>
          </w:rPr>
          <w:t>10.7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dated December 18, 2009, between the Company and Stephen L. Green,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December 18, 2009, filed with the SEC on December 24, 2009.</w:t>
      </w:r>
    </w:p>
    <w:p>
      <w:pPr>
        <w:spacing w:after="0" w:line="3" w:lineRule="exact"/>
        <w:rPr>
          <w:sz w:val="20"/>
          <w:szCs w:val="20"/>
          <w:color w:val="auto"/>
        </w:rPr>
      </w:pPr>
    </w:p>
    <w:p>
      <w:pPr>
        <w:ind w:left="440" w:hanging="340"/>
        <w:spacing w:after="0" w:line="248" w:lineRule="auto"/>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u w:val="single" w:color="auto"/>
            <w:color w:val="0000FF"/>
          </w:rPr>
          <w:t>10.8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dated December 24, 2010, between the Company and Stephen L. Green,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December 23, 2010, filed with the SEC on December 29, 2010.</w:t>
      </w:r>
    </w:p>
    <w:p>
      <w:pPr>
        <w:spacing w:after="0" w:line="3" w:lineRule="exact"/>
        <w:rPr>
          <w:sz w:val="20"/>
          <w:szCs w:val="20"/>
          <w:color w:val="auto"/>
        </w:rPr>
      </w:pPr>
    </w:p>
    <w:p>
      <w:pPr>
        <w:ind w:left="440" w:hanging="340"/>
        <w:spacing w:after="0" w:line="248" w:lineRule="auto"/>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u w:val="single" w:color="auto"/>
            <w:color w:val="0000FF"/>
          </w:rPr>
          <w:t>10.9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(2013), dated as of September 12, 2013, by and between the Company and Marc Holliday,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September 12, 2013, filed with the SEC on September 13, 2013.</w:t>
      </w:r>
    </w:p>
    <w:p>
      <w:pPr>
        <w:spacing w:after="0" w:line="3" w:lineRule="exact"/>
        <w:rPr>
          <w:sz w:val="20"/>
          <w:szCs w:val="20"/>
          <w:color w:val="auto"/>
        </w:rPr>
      </w:pPr>
    </w:p>
    <w:p>
      <w:pPr>
        <w:ind w:left="440" w:right="20" w:hanging="427"/>
        <w:spacing w:after="0" w:line="248" w:lineRule="auto"/>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u w:val="single" w:color="auto"/>
            <w:color w:val="0000FF"/>
          </w:rPr>
          <w:t>10.10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dated as of February 10, 2016, by and between SL Green Realty Corp. and Marc Holliday,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February 10, 2016, filed with the SEC on February 12, 2016.</w:t>
      </w:r>
    </w:p>
    <w:p>
      <w:pPr>
        <w:ind w:left="20"/>
        <w:spacing w:after="0" w:line="236" w:lineRule="auto"/>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u w:val="single" w:color="auto"/>
            <w:color w:val="0000FF"/>
          </w:rPr>
          <w:t>10.11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December 31, 2021, by and between SL Green Realty Corp.</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and Marc Holliday, incorporated by reference to the Company's Form 8-K/A, dated December 31, 2021, filed with the SEC on January 6, 2022.</w:t>
      </w:r>
    </w:p>
    <w:p>
      <w:pPr>
        <w:spacing w:after="0" w:line="21" w:lineRule="exact"/>
        <w:rPr>
          <w:sz w:val="20"/>
          <w:szCs w:val="20"/>
          <w:color w:val="auto"/>
        </w:rPr>
      </w:pPr>
    </w:p>
    <w:p>
      <w:pPr>
        <w:ind w:left="440" w:hanging="427"/>
        <w:spacing w:after="0" w:line="248" w:lineRule="auto"/>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u w:val="single" w:color="auto"/>
            <w:color w:val="0000FF"/>
          </w:rPr>
          <w:t>10.12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Letter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Agreement, dated as of April 30, 2018, by and between SL Green Realty Corp. and Marc Holliday,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April 27, 2018, filed with the SEC on May 3, 2018.</w:t>
      </w:r>
    </w:p>
    <w:p>
      <w:pPr>
        <w:spacing w:after="0" w:line="236" w:lineRule="auto"/>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u w:val="single" w:color="auto"/>
            <w:color w:val="0000FF"/>
          </w:rPr>
          <w:t>10.13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December 31, 2021, by and between SL Green Realty Corp.</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and Andrew Levine, incorporated by reference to the Company's Form 8-K/A, dated December 31, 2021, filed with the SEC on January 6, 2022.</w:t>
      </w:r>
    </w:p>
    <w:p>
      <w:pPr>
        <w:spacing w:after="0" w:line="21" w:lineRule="exact"/>
        <w:rPr>
          <w:sz w:val="20"/>
          <w:szCs w:val="20"/>
          <w:color w:val="auto"/>
        </w:rPr>
      </w:pPr>
    </w:p>
    <w:p>
      <w:pPr>
        <w:ind w:left="440" w:hanging="427"/>
        <w:spacing w:after="0" w:line="248" w:lineRule="auto"/>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u w:val="single" w:color="auto"/>
            <w:color w:val="0000FF"/>
          </w:rPr>
          <w:t>10.14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Chairman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Emeritus Agreement, dated as of December 21, 2018, by and between SL Green Realty Corp. and Stephen L. Green,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December 21, 2018, filed with the SEC on December 28, 2018.</w:t>
      </w:r>
    </w:p>
    <w:p>
      <w:pPr>
        <w:spacing w:after="0" w:line="3" w:lineRule="exact"/>
        <w:rPr>
          <w:sz w:val="20"/>
          <w:szCs w:val="20"/>
          <w:color w:val="auto"/>
        </w:rPr>
      </w:pPr>
    </w:p>
    <w:p>
      <w:pPr>
        <w:jc w:val="right"/>
        <w:spacing w:after="0" w:line="229" w:lineRule="auto"/>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u w:val="single" w:color="auto"/>
            <w:color w:val="0000FF"/>
          </w:rPr>
          <w:t>10.15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Third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Amended and Restated Credit Agreement, dated as of December 6, 2021, by and among SL Green Realty Corp. and SL Green Operating</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Partnership, L.P., as Borrowers, each of the Lenders party thereto, Wells Fargo Bank, National Association, as Administrative Agent, Wells Fargo</w:t>
      </w:r>
    </w:p>
    <w:p>
      <w:pPr>
        <w:spacing w:after="0" w:line="1" w:lineRule="exact"/>
        <w:rPr>
          <w:sz w:val="20"/>
          <w:szCs w:val="20"/>
          <w:color w:val="auto"/>
        </w:rPr>
      </w:pPr>
    </w:p>
    <w:p>
      <w:pPr>
        <w:jc w:val="both"/>
        <w:ind w:left="440"/>
        <w:spacing w:after="0" w:line="214" w:lineRule="auto"/>
        <w:rPr>
          <w:sz w:val="20"/>
          <w:szCs w:val="20"/>
          <w:color w:val="auto"/>
        </w:rPr>
      </w:pPr>
      <w:r>
        <w:rPr>
          <w:rFonts w:ascii="Times New Roman" w:cs="Times New Roman" w:eastAsia="Times New Roman" w:hAnsi="Times New Roman"/>
          <w:sz w:val="17"/>
          <w:szCs w:val="17"/>
          <w:color w:val="auto"/>
        </w:rPr>
        <w:t>Securities, LLC, JPMorgan Chase Bank, N.A., Deutsche Bank Securities Inc. and TD Bank, N.A., as joint lead arrangers and joint bookrunners for the Revolving Credit Facility and Term Loan A Facility, BofA Securities, Inc. BMO Capital Markets Corp. and The Bank of New York Mellon, as joint lead arrangers for the Revolving Credit Facility and Term Loan A Facility, JPMorgan Chase Bank, N.A., as syndication agent for</w:t>
      </w:r>
    </w:p>
    <w:p>
      <w:pPr>
        <w:spacing w:after="0" w:line="2" w:lineRule="exact"/>
        <w:rPr>
          <w:sz w:val="20"/>
          <w:szCs w:val="20"/>
          <w:color w:val="auto"/>
        </w:rPr>
      </w:pPr>
    </w:p>
    <w:p>
      <w:pPr>
        <w:jc w:val="both"/>
        <w:ind w:left="440"/>
        <w:spacing w:after="0" w:line="214" w:lineRule="auto"/>
        <w:rPr>
          <w:sz w:val="20"/>
          <w:szCs w:val="20"/>
          <w:color w:val="auto"/>
        </w:rPr>
      </w:pPr>
      <w:r>
        <w:rPr>
          <w:rFonts w:ascii="Times New Roman" w:cs="Times New Roman" w:eastAsia="Times New Roman" w:hAnsi="Times New Roman"/>
          <w:sz w:val="17"/>
          <w:szCs w:val="17"/>
          <w:color w:val="auto"/>
        </w:rPr>
        <w:t>the Revolving Credit Facility and Term Loan A Facility, Deutsche Bank Securities Inc., TD Bank N.A., Bank of America, N.A., Bank of Montreal and The Bank of New York Mellon, as documentation agents for the Revolving Credit Facility and Term Loan A Facility, Wells Fargo Securities, LLC and U.S. Bank National Association, as joint lead arrangers and joint bookrunners for the Term Loan B Facility, U.S. Bank</w:t>
      </w:r>
    </w:p>
    <w:p>
      <w:pPr>
        <w:spacing w:after="0" w:line="2" w:lineRule="exact"/>
        <w:rPr>
          <w:sz w:val="20"/>
          <w:szCs w:val="20"/>
          <w:color w:val="auto"/>
        </w:rPr>
      </w:pPr>
    </w:p>
    <w:p>
      <w:pPr>
        <w:jc w:val="both"/>
        <w:ind w:left="440"/>
        <w:spacing w:after="0" w:line="224" w:lineRule="auto"/>
        <w:rPr>
          <w:sz w:val="20"/>
          <w:szCs w:val="20"/>
          <w:color w:val="auto"/>
        </w:rPr>
      </w:pPr>
      <w:r>
        <w:rPr>
          <w:rFonts w:ascii="Times New Roman" w:cs="Times New Roman" w:eastAsia="Times New Roman" w:hAnsi="Times New Roman"/>
          <w:sz w:val="17"/>
          <w:szCs w:val="17"/>
          <w:color w:val="auto"/>
        </w:rPr>
        <w:t>National Association, as syndication agent for the Term Loan B Facility, Wells Fargo Bank, National Association, as sustainability agent, and the other lenders and agents a party thereto, incorporated by reference to the Company's Form 8-K, dated December 6, 2021, filed with the SEC on December 8, 2021.</w:t>
      </w:r>
    </w:p>
    <w:p>
      <w:pPr>
        <w:spacing w:after="0" w:line="10" w:lineRule="exact"/>
        <w:rPr>
          <w:sz w:val="20"/>
          <w:szCs w:val="20"/>
          <w:color w:val="auto"/>
        </w:rPr>
      </w:pPr>
    </w:p>
    <w:p>
      <w:pPr>
        <w:ind w:left="440" w:hanging="427"/>
        <w:spacing w:after="0" w:line="248" w:lineRule="auto"/>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u w:val="single" w:color="auto"/>
            <w:color w:val="0000FF"/>
          </w:rPr>
          <w:t>10.16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March 2, 2023, by and between SL Green Realty Corp.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Matthew DiLiberto, incorporated by reference to the Company's Form 8-K, dated March 2, 2023, filed with the SEC on March 6, 2023.</w:t>
      </w:r>
    </w:p>
    <w:p>
      <w:pPr>
        <w:spacing w:after="0" w:line="3" w:lineRule="exact"/>
        <w:rPr>
          <w:sz w:val="20"/>
          <w:szCs w:val="20"/>
          <w:color w:val="auto"/>
        </w:rPr>
      </w:pPr>
    </w:p>
    <w:p>
      <w:pPr>
        <w:ind w:left="440" w:hanging="427"/>
        <w:spacing w:after="0" w:line="248" w:lineRule="auto"/>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u w:val="single" w:color="auto"/>
            <w:color w:val="0000FF"/>
          </w:rPr>
          <w:t>10.17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Non-Renewal and Advisory Agreement, dated as of October 9, 2023, by and between SL Green Realty Corp. and Andrew Mathias, 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the Company's Form 8-K, dated October 9, 2023, filed with the SEC on October 10, 2023.</w:t>
      </w:r>
    </w:p>
    <w:p>
      <w:pPr>
        <w:spacing w:after="0" w:line="3" w:lineRule="exact"/>
        <w:rPr>
          <w:sz w:val="20"/>
          <w:szCs w:val="20"/>
          <w:color w:val="auto"/>
        </w:rPr>
      </w:pPr>
    </w:p>
    <w:p>
      <w:pPr>
        <w:jc w:val="right"/>
        <w:spacing w:after="0" w:line="229" w:lineRule="auto"/>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u w:val="single" w:color="auto"/>
            <w:color w:val="0000FF"/>
          </w:rPr>
          <w:t>10.18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Amended and Restated Employment and Noncompetition Agreement, dated as of January 30, 2024, by and between SL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Green Realty Corp. and Matthew DiLiberto, incorporated by reference to the Company's Form 8-K, dated January 30, 2024, filed with the SEC</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February 2, 2024.</w:t>
      </w:r>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u w:val="single" w:color="auto"/>
            <w:color w:val="0000FF"/>
          </w:rPr>
          <w:t>10.19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December 27, 2024, by and between SL Green Realty Corp.</w:t>
      </w:r>
    </w:p>
    <w:p>
      <w:pPr>
        <w:ind w:left="440"/>
        <w:spacing w:after="0"/>
        <w:rPr>
          <w:sz w:val="20"/>
          <w:szCs w:val="20"/>
          <w:color w:val="auto"/>
        </w:rPr>
      </w:pPr>
      <w:r>
        <w:rPr>
          <w:rFonts w:ascii="Times New Roman" w:cs="Times New Roman" w:eastAsia="Times New Roman" w:hAnsi="Times New Roman"/>
          <w:sz w:val="17"/>
          <w:szCs w:val="17"/>
          <w:color w:val="auto"/>
        </w:rPr>
        <w:t>and Marc Holliday, incorporated by reference to the Company's Form 8-K, dated December 27, 2024, filed with the SEC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603250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40"/>
          </w:cols>
          <w:pgMar w:left="880" w:top="908" w:right="379" w:bottom="1440" w:gutter="0" w:footer="0" w:header="0"/>
        </w:sectPr>
      </w:pPr>
    </w:p>
    <w:bookmarkStart w:id="81" w:name="page82"/>
    <w:bookmarkEnd w:id="81"/>
    <w:p>
      <w:pPr>
        <w:ind w:left="680" w:hanging="340"/>
        <w:spacing w:after="0" w:line="248" w:lineRule="auto"/>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u w:val="single" w:color="auto"/>
            <w:color w:val="0000FF"/>
          </w:rPr>
          <w:t>16.1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Letter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Ernst &amp; Young LLP, dated November 29, 2023, to the Securities and Exchange Commission,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November 29, 2023, filed with the SEC on November 29, 2023.</w:t>
      </w:r>
    </w:p>
    <w:p>
      <w:pPr>
        <w:spacing w:after="0" w:line="3" w:lineRule="exact"/>
        <w:rPr>
          <w:sz w:val="20"/>
          <w:szCs w:val="20"/>
          <w:color w:val="auto"/>
        </w:rPr>
      </w:pPr>
    </w:p>
    <w:p>
      <w:pPr>
        <w:ind w:left="340"/>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u w:val="single" w:color="auto"/>
            <w:color w:val="0000FF"/>
          </w:rPr>
          <w:t>19.1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Insider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Trading Policy.*</w:t>
      </w:r>
    </w:p>
    <w:p>
      <w:pPr>
        <w:spacing w:after="0" w:line="32" w:lineRule="exact"/>
        <w:rPr>
          <w:sz w:val="20"/>
          <w:szCs w:val="20"/>
          <w:color w:val="auto"/>
        </w:rPr>
      </w:pPr>
    </w:p>
    <w:p>
      <w:pPr>
        <w:ind w:left="340"/>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u w:val="single" w:color="auto"/>
            <w:color w:val="0000FF"/>
          </w:rPr>
          <w:t>21.1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Subsidiaries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SL Green Realty Corp.*</w:t>
      </w:r>
    </w:p>
    <w:p>
      <w:pPr>
        <w:spacing w:after="0" w:line="27" w:lineRule="exact"/>
        <w:rPr>
          <w:sz w:val="20"/>
          <w:szCs w:val="20"/>
          <w:color w:val="auto"/>
        </w:rPr>
      </w:pPr>
    </w:p>
    <w:p>
      <w:pPr>
        <w:ind w:left="340"/>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u w:val="single" w:color="auto"/>
            <w:color w:val="0000FF"/>
          </w:rPr>
          <w:t>21.2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Subsidiaries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SL Green Operating Partnership L.P.*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23.1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Deloitte &amp; Touche LLP for SL Green Realty Corp., filed herewith.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23.2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Deloitte &amp; Touche LLP for SL Green Operating Partnership, L.P., filed herewith.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23.3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Ernst &amp; Young LLP for SL Green Realty Corp., filed herewith.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23.4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Ernst &amp; Young LLP for SL Green Operating Partnership, L.P., filed herewith.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24.1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Power of Attorney for SL Green Realty Corp., included on the signature page of this Form 10-K.</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24.2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Power of Attorney for SL Green Operating Partnership, L.P., included on the signature page of this Form 10-K.</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of the Company pursuant to Section 302 of the Sarbanes-Oxley Act of 2002, filed herewith.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of the Company pursuant to Section 302 of the Sarbanes-Oxley Act of 2002, filed herewith.</w:t>
      </w:r>
    </w:p>
    <w:p>
      <w:pPr>
        <w:spacing w:after="0" w:line="27" w:lineRule="exact"/>
        <w:rPr>
          <w:sz w:val="20"/>
          <w:szCs w:val="20"/>
          <w:color w:val="auto"/>
        </w:rPr>
      </w:pPr>
    </w:p>
    <w:p>
      <w:pPr>
        <w:ind w:left="680" w:hanging="340"/>
        <w:spacing w:after="0" w:line="242" w:lineRule="auto"/>
        <w:rPr>
          <w:sz w:val="20"/>
          <w:szCs w:val="20"/>
          <w:color w:val="auto"/>
        </w:rPr>
      </w:pPr>
      <w:r>
        <w:rPr>
          <w:rFonts w:ascii="Times New Roman" w:cs="Times New Roman" w:eastAsia="Times New Roman" w:hAnsi="Times New Roman"/>
          <w:sz w:val="17"/>
          <w:szCs w:val="17"/>
          <w:u w:val="single" w:color="auto"/>
          <w:color w:val="0000FF"/>
        </w:rPr>
        <w:t>31.3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of the Company, the sole general partner of the Operating Partnership pursuant to Section 302 of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Sarbanes-Oxley Act of 2002, filed herewith.</w:t>
      </w:r>
    </w:p>
    <w:p>
      <w:pPr>
        <w:spacing w:after="0" w:line="7" w:lineRule="exact"/>
        <w:rPr>
          <w:sz w:val="20"/>
          <w:szCs w:val="20"/>
          <w:color w:val="auto"/>
        </w:rPr>
      </w:pPr>
    </w:p>
    <w:p>
      <w:pPr>
        <w:ind w:left="680" w:hanging="340"/>
        <w:spacing w:after="0" w:line="248" w:lineRule="auto"/>
        <w:rPr>
          <w:sz w:val="20"/>
          <w:szCs w:val="20"/>
          <w:color w:val="auto"/>
        </w:rPr>
      </w:pPr>
      <w:r>
        <w:rPr>
          <w:rFonts w:ascii="Times New Roman" w:cs="Times New Roman" w:eastAsia="Times New Roman" w:hAnsi="Times New Roman"/>
          <w:sz w:val="17"/>
          <w:szCs w:val="17"/>
          <w:u w:val="single" w:color="auto"/>
          <w:color w:val="0000FF"/>
        </w:rPr>
        <w:t>31.4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of the Company, the sole general partner of the Operating Partnership pursuant to Section 302 of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Sarbanes-Oxley Act of 2002, filed herewith.</w:t>
      </w:r>
    </w:p>
    <w:p>
      <w:pPr>
        <w:ind w:left="340"/>
        <w:spacing w:after="0" w:line="236" w:lineRule="auto"/>
        <w:rPr>
          <w:sz w:val="20"/>
          <w:szCs w:val="20"/>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pursuant to 18 U.S.C. section 1350, as adopted pursuant to Section 906 of the Sarbanes-Oxley Act of</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2002, furnished herewith.</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pursuant to 18 U.S.C. section 1350, as adopted pursuant to Section 906 of the Sarbanes-Oxley Act of</w:t>
      </w:r>
    </w:p>
    <w:p>
      <w:pPr>
        <w:ind w:left="680"/>
        <w:spacing w:after="0"/>
        <w:rPr>
          <w:sz w:val="20"/>
          <w:szCs w:val="20"/>
          <w:color w:val="auto"/>
        </w:rPr>
      </w:pPr>
      <w:r>
        <w:rPr>
          <w:rFonts w:ascii="Times New Roman" w:cs="Times New Roman" w:eastAsia="Times New Roman" w:hAnsi="Times New Roman"/>
          <w:sz w:val="17"/>
          <w:szCs w:val="17"/>
          <w:color w:val="auto"/>
        </w:rPr>
        <w:t>2002, furnished herewith.</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32.3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of the Company, the sole general partner of the Operating Partnership pursuant to 18 U.S.C.</w:t>
      </w:r>
    </w:p>
    <w:p>
      <w:pPr>
        <w:ind w:left="680"/>
        <w:spacing w:after="0"/>
        <w:rPr>
          <w:sz w:val="20"/>
          <w:szCs w:val="20"/>
          <w:color w:val="auto"/>
        </w:rPr>
      </w:pPr>
      <w:r>
        <w:rPr>
          <w:rFonts w:ascii="Times New Roman" w:cs="Times New Roman" w:eastAsia="Times New Roman" w:hAnsi="Times New Roman"/>
          <w:sz w:val="17"/>
          <w:szCs w:val="17"/>
          <w:color w:val="auto"/>
        </w:rPr>
        <w:t>section 1350, as adopted pursuant to Section 906 of the Sarbanes-Oxley Act of 2002, furnished herewith.</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u w:val="single" w:color="auto"/>
          <w:color w:val="0000FF"/>
        </w:rPr>
        <w:t>32.4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of the Company, the sole general partner of the Operating Partnership pursuant to 18 U.S.C.</w:t>
      </w:r>
    </w:p>
    <w:p>
      <w:pPr>
        <w:ind w:left="680"/>
        <w:spacing w:after="0"/>
        <w:rPr>
          <w:sz w:val="20"/>
          <w:szCs w:val="20"/>
          <w:color w:val="auto"/>
        </w:rPr>
      </w:pPr>
      <w:r>
        <w:rPr>
          <w:rFonts w:ascii="Times New Roman" w:cs="Times New Roman" w:eastAsia="Times New Roman" w:hAnsi="Times New Roman"/>
          <w:sz w:val="17"/>
          <w:szCs w:val="17"/>
          <w:color w:val="auto"/>
        </w:rPr>
        <w:t>section 1350, as adopted pursuant to Section 906 of the Sarbanes-Oxley Act of 2002, furnished herewith.</w:t>
      </w:r>
    </w:p>
    <w:p>
      <w:pPr>
        <w:spacing w:after="0" w:line="21" w:lineRule="exact"/>
        <w:rPr>
          <w:sz w:val="20"/>
          <w:szCs w:val="20"/>
          <w:color w:val="auto"/>
        </w:rPr>
      </w:pPr>
    </w:p>
    <w:p>
      <w:pPr>
        <w:ind w:left="680" w:hanging="340"/>
        <w:spacing w:after="0" w:line="248" w:lineRule="auto"/>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u w:val="single" w:color="auto"/>
            <w:color w:val="0000FF"/>
          </w:rPr>
          <w:t>97.1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Compensation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Recovery Policy, dated September 27, 2023, incorporated by reference to the Company's Annual Report on Form 10-K for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year ended December 31, 2023, filed with the SEC on February 23, 2024.</w:t>
      </w:r>
    </w:p>
    <w:p>
      <w:pPr>
        <w:spacing w:after="0" w:line="3" w:lineRule="exact"/>
        <w:rPr>
          <w:sz w:val="20"/>
          <w:szCs w:val="20"/>
          <w:color w:val="auto"/>
        </w:rPr>
      </w:pPr>
    </w:p>
    <w:p>
      <w:pPr>
        <w:jc w:val="right"/>
        <w:ind w:left="380"/>
        <w:spacing w:after="0" w:line="229" w:lineRule="auto"/>
        <w:rPr>
          <w:sz w:val="20"/>
          <w:szCs w:val="20"/>
          <w:color w:val="auto"/>
        </w:rPr>
      </w:pPr>
      <w:r>
        <w:rPr>
          <w:rFonts w:ascii="Times New Roman" w:cs="Times New Roman" w:eastAsia="Times New Roman" w:hAnsi="Times New Roman"/>
          <w:sz w:val="17"/>
          <w:szCs w:val="17"/>
          <w:color w:val="auto"/>
        </w:rPr>
        <w:t>101 The following financial statements from SL Green Realty Corp. and SL Green Operating Partnership L.P.'s Amendment No.1 to the Annual Report on Form 10-K for the year ended December 31, 2024, formatted in Inline XBRL: (i) Consolidated Balance Sheets, (ii) Consolidated</w:t>
      </w:r>
    </w:p>
    <w:p>
      <w:pPr>
        <w:spacing w:after="0" w:line="1" w:lineRule="exact"/>
        <w:rPr>
          <w:sz w:val="20"/>
          <w:szCs w:val="20"/>
          <w:color w:val="auto"/>
        </w:rPr>
      </w:pPr>
    </w:p>
    <w:p>
      <w:pPr>
        <w:jc w:val="both"/>
        <w:ind w:left="680"/>
        <w:spacing w:after="0" w:line="224" w:lineRule="auto"/>
        <w:rPr>
          <w:sz w:val="20"/>
          <w:szCs w:val="20"/>
          <w:color w:val="auto"/>
        </w:rPr>
      </w:pPr>
      <w:r>
        <w:rPr>
          <w:rFonts w:ascii="Times New Roman" w:cs="Times New Roman" w:eastAsia="Times New Roman" w:hAnsi="Times New Roman"/>
          <w:sz w:val="17"/>
          <w:szCs w:val="17"/>
          <w:color w:val="auto"/>
        </w:rPr>
        <w:t>Statements of Operations, (iii) Consolidated Statements of Comprehensive Income (Loss), (iv) Consolidated Statements of Equity, (v) Consolidated Statements of Capital, (vi) Consolidated Statements of Cash Flows, and (vii) Notes to Consolidated Financial Statements, detail tagged and filed herewith.</w:t>
      </w:r>
    </w:p>
    <w:p>
      <w:pPr>
        <w:spacing w:after="0" w:line="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104 Cover Page Interactive Data File (formatted in Inline XBRL in Exhibit 101)</w:t>
      </w:r>
    </w:p>
    <w:p>
      <w:pPr>
        <w:spacing w:after="0" w:line="93" w:lineRule="exact"/>
        <w:rPr>
          <w:sz w:val="20"/>
          <w:szCs w:val="20"/>
          <w:color w:val="auto"/>
        </w:rPr>
      </w:pPr>
    </w:p>
    <w:p>
      <w:pPr>
        <w:ind w:left="300" w:hanging="300"/>
        <w:spacing w:after="0"/>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as filed with the Company's Annual Report on Form 10-K for the year ended December 31, 2024, filed with the SEC on 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782320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640" w:top="908" w:right="37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34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440" w:type="dxa"/>
            <w:vAlign w:val="bottom"/>
            <w:gridSpan w:val="2"/>
          </w:tcPr>
          <w:p>
            <w:pPr>
              <w:ind w:left="5140"/>
              <w:spacing w:after="0"/>
              <w:rPr>
                <w:sz w:val="20"/>
                <w:szCs w:val="20"/>
                <w:color w:val="auto"/>
              </w:rPr>
            </w:pPr>
            <w:r>
              <w:rPr>
                <w:rFonts w:ascii="Times New Roman" w:cs="Times New Roman" w:eastAsia="Times New Roman" w:hAnsi="Times New Roman"/>
                <w:sz w:val="17"/>
                <w:szCs w:val="17"/>
                <w:b w:val="1"/>
                <w:bCs w:val="1"/>
                <w:color w:val="auto"/>
              </w:rPr>
              <w:t>SL GREEN REALTY CORP.</w:t>
            </w:r>
          </w:p>
        </w:tc>
        <w:tc>
          <w:tcPr>
            <w:tcW w:w="3220" w:type="dxa"/>
            <w:vAlign w:val="bottom"/>
          </w:tcPr>
          <w:p>
            <w:pPr>
              <w:spacing w:after="0"/>
              <w:rPr>
                <w:sz w:val="19"/>
                <w:szCs w:val="19"/>
                <w:color w:val="auto"/>
              </w:rPr>
            </w:pPr>
          </w:p>
        </w:tc>
      </w:tr>
      <w:tr>
        <w:trPr>
          <w:trHeight w:val="433"/>
        </w:trPr>
        <w:tc>
          <w:tcPr>
            <w:tcW w:w="7440" w:type="dxa"/>
            <w:vAlign w:val="bottom"/>
            <w:gridSpan w:val="2"/>
          </w:tcPr>
          <w:p>
            <w:pPr>
              <w:ind w:left="5140"/>
              <w:spacing w:after="0"/>
              <w:rPr>
                <w:sz w:val="20"/>
                <w:szCs w:val="20"/>
                <w:color w:val="auto"/>
              </w:rPr>
            </w:pPr>
            <w:r>
              <w:rPr>
                <w:rFonts w:ascii="Times New Roman" w:cs="Times New Roman" w:eastAsia="Times New Roman" w:hAnsi="Times New Roman"/>
                <w:sz w:val="17"/>
                <w:szCs w:val="17"/>
                <w:color w:val="auto"/>
              </w:rPr>
              <w:t>By:</w:t>
            </w:r>
          </w:p>
        </w:tc>
        <w:tc>
          <w:tcPr>
            <w:tcW w:w="3220" w:type="dxa"/>
            <w:vAlign w:val="bottom"/>
          </w:tcPr>
          <w:p>
            <w:pPr>
              <w:jc w:val="center"/>
              <w:ind w:right="1213"/>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164"/>
        </w:trPr>
        <w:tc>
          <w:tcPr>
            <w:tcW w:w="6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220" w:type="dxa"/>
            <w:vAlign w:val="bottom"/>
            <w:tcBorders>
              <w:top w:val="single" w:sz="8" w:color="auto"/>
            </w:tcBorders>
          </w:tcPr>
          <w:p>
            <w:pPr>
              <w:jc w:val="center"/>
              <w:ind w:right="1213"/>
              <w:spacing w:after="0" w:line="164" w:lineRule="exact"/>
              <w:rPr>
                <w:sz w:val="20"/>
                <w:szCs w:val="20"/>
                <w:color w:val="auto"/>
              </w:rPr>
            </w:pPr>
            <w:r>
              <w:rPr>
                <w:rFonts w:ascii="Times New Roman" w:cs="Times New Roman" w:eastAsia="Times New Roman" w:hAnsi="Times New Roman"/>
                <w:sz w:val="17"/>
                <w:szCs w:val="17"/>
                <w:color w:val="auto"/>
              </w:rPr>
              <w:t>Matthew J. DiLiberto</w:t>
            </w:r>
          </w:p>
        </w:tc>
      </w:tr>
      <w:tr>
        <w:trPr>
          <w:trHeight w:val="236"/>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Dated: April 17, 2025</w:t>
            </w:r>
          </w:p>
        </w:tc>
        <w:tc>
          <w:tcPr>
            <w:tcW w:w="3220" w:type="dxa"/>
            <w:vAlign w:val="bottom"/>
          </w:tcPr>
          <w:p>
            <w:pPr>
              <w:jc w:val="center"/>
              <w:ind w:right="1173"/>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w:t>
      </w:r>
    </w:p>
    <w:p>
      <w:pPr>
        <w:spacing w:after="0" w:line="158"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KNOW ALL MEN BY THESE PRESENTS, that we, the undersigned officers and directors of SL Green Realty Corp. hereby severally constitute Marc Holliday and Matthew J. DiLiberto, and each of them singly, our true and lawful attorneys and with full power to them, and each of them singly, to sign for us and in our names in the capacities indicated below, the Amendment No. 1 to the Annual Report on Form 10-K filed herewith and any and all amendments to said Amendment No. 1 to the Annual Report on Form 10-K, and generally to do all such things in our names and in our capacities as officers and directors to enable SL Green Realty Corp. to comply with the provisions of the Securities Exchange Act of 1934, as amended, and all requirements of the Securities and Exchange Commission, hereby ratifying and confirming our signatures as they may be signed by our said attorneys, or any of them, to said Amendment No. 1 to the Annual Report on Form 10-K and any and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5862955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83" w:name="page84"/>
    <w:bookmarkEnd w:id="83"/>
    <w:p>
      <w:pPr>
        <w:ind w:firstLine="433"/>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2" w:lineRule="exact"/>
        <w:rPr>
          <w:sz w:val="20"/>
          <w:szCs w:val="20"/>
          <w:color w:val="auto"/>
        </w:rPr>
      </w:pPr>
    </w:p>
    <w:p>
      <w:pPr>
        <w:ind w:left="1860"/>
        <w:spacing w:after="0"/>
        <w:tabs>
          <w:tab w:leader="none" w:pos="6120" w:val="left"/>
          <w:tab w:leader="none" w:pos="9740" w:val="left"/>
        </w:tabs>
        <w:rPr>
          <w:sz w:val="20"/>
          <w:szCs w:val="20"/>
          <w:color w:val="auto"/>
        </w:rPr>
      </w:pPr>
      <w:r>
        <w:rPr>
          <w:rFonts w:ascii="Times New Roman" w:cs="Times New Roman" w:eastAsia="Times New Roman" w:hAnsi="Times New Roman"/>
          <w:sz w:val="14"/>
          <w:szCs w:val="14"/>
          <w:b w:val="1"/>
          <w:bCs w:val="1"/>
          <w:u w:val="single" w:color="auto"/>
          <w:color w:val="auto"/>
        </w:rPr>
        <w:t>Signatures</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105" w:right="339" w:bottom="1440" w:gutter="0" w:footer="0" w:header="0"/>
        </w:sectPr>
      </w:pPr>
    </w:p>
    <w:p>
      <w:pPr>
        <w:spacing w:after="0" w:line="291"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0">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Marc Holliday</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1">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Matthew J. DiLiberto</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2">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Stephen L. Green</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3">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Andrew W. Mathias</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4">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John H. Alschuler, Jr.</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5">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Craig M. Hatkoff</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6">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Lauren B. Dillard</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Carol Brown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7"/>
          <w:szCs w:val="17"/>
          <w:color w:val="auto"/>
        </w:rPr>
        <w:t>Chairman of the Board of Directors, Chief Executive Officer and Interim President (Principal Executive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357" w:lineRule="exact"/>
        <w:rPr>
          <w:sz w:val="20"/>
          <w:szCs w:val="20"/>
          <w:color w:val="auto"/>
        </w:rPr>
      </w:pPr>
    </w:p>
    <w:p>
      <w:pPr>
        <w:sectPr>
          <w:pgSz w:w="11900" w:h="16838" w:orient="portrait"/>
          <w:cols w:equalWidth="0" w:num="3">
            <w:col w:w="3200" w:space="720"/>
            <w:col w:w="4740" w:space="720"/>
            <w:col w:w="1860"/>
          </w:cols>
          <w:pgMar w:left="320" w:top="1105" w:right="339" w:bottom="1440" w:gutter="0" w:footer="0" w:header="0"/>
          <w:type w:val="continuous"/>
        </w:sectPr>
      </w:pPr>
    </w:p>
    <w:p>
      <w:pPr>
        <w:spacing w:after="0" w:line="142" w:lineRule="exact"/>
        <w:rPr>
          <w:sz w:val="20"/>
          <w:szCs w:val="20"/>
          <w:color w:val="auto"/>
        </w:rPr>
      </w:pPr>
    </w:p>
    <w:p>
      <w:pPr>
        <w:ind w:left="640" w:hanging="320"/>
        <w:spacing w:after="0" w:line="297" w:lineRule="auto"/>
        <w:tabs>
          <w:tab w:leader="none" w:pos="68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does hereby sign this Amendment No. 1 to the Annual Report on Form 10-K on behalf of the above-indicated person pursuant to the power of attorney executed by such person.</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Matthew J. DiLiberto</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Matthew J DiLiberto</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732790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3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140" w:type="dxa"/>
            <w:vAlign w:val="bottom"/>
          </w:tcPr>
          <w:p>
            <w:pPr>
              <w:ind w:left="514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SL Green Realty Corp.</w:t>
            </w:r>
          </w:p>
        </w:tc>
        <w:tc>
          <w:tcPr>
            <w:tcW w:w="0" w:type="dxa"/>
            <w:vAlign w:val="bottom"/>
          </w:tcPr>
          <w:p>
            <w:pPr>
              <w:spacing w:after="0"/>
              <w:rPr>
                <w:sz w:val="1"/>
                <w:szCs w:val="1"/>
                <w:color w:val="auto"/>
              </w:rPr>
            </w:pPr>
          </w:p>
        </w:tc>
      </w:tr>
      <w:tr>
        <w:trPr>
          <w:trHeight w:val="428"/>
        </w:trPr>
        <w:tc>
          <w:tcPr>
            <w:tcW w:w="6140" w:type="dxa"/>
            <w:vAlign w:val="bottom"/>
            <w:vMerge w:val="restart"/>
          </w:tcPr>
          <w:p>
            <w:pPr>
              <w:ind w:left="514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Matthew J. DiLiberto</w:t>
            </w:r>
          </w:p>
        </w:tc>
        <w:tc>
          <w:tcPr>
            <w:tcW w:w="0" w:type="dxa"/>
            <w:vAlign w:val="bottom"/>
          </w:tcPr>
          <w:p>
            <w:pPr>
              <w:spacing w:after="0"/>
              <w:rPr>
                <w:sz w:val="1"/>
                <w:szCs w:val="1"/>
                <w:color w:val="auto"/>
              </w:rPr>
            </w:pPr>
          </w:p>
        </w:tc>
      </w:tr>
      <w:tr>
        <w:trPr>
          <w:trHeight w:val="164"/>
        </w:trPr>
        <w:tc>
          <w:tcPr>
            <w:tcW w:w="6140" w:type="dxa"/>
            <w:vAlign w:val="bottom"/>
            <w:vMerge w:val="continue"/>
          </w:tcPr>
          <w:p>
            <w:pPr>
              <w:spacing w:after="0"/>
              <w:rPr>
                <w:sz w:val="14"/>
                <w:szCs w:val="14"/>
                <w:color w:val="auto"/>
              </w:rPr>
            </w:pPr>
          </w:p>
        </w:tc>
        <w:tc>
          <w:tcPr>
            <w:tcW w:w="452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Matthew J. DiLiberto</w:t>
            </w: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Dated: April 17, 2025</w:t>
            </w: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w:t>
      </w:r>
    </w:p>
    <w:p>
      <w:pPr>
        <w:spacing w:after="0" w:line="158"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KNOW ALL MEN BY THESE PRESENTS, that we, the undersigned officers and directors of SL Green Realty Corp., the sole general partner of SL Green Operating Partnership, L.P., hereby severally constitute Marc Holliday and Matthew J. DiLiberto, and each of them singly, our true and lawful attorneys and with full power to them, and each of them singly, to sign for us and in our names in the capacities indicated below, Amendment No. 1 to the Annual Report on Form 10-K filed herewith and any and all amendments to said Amendment No. 1 to the Annual Report on Form 10-K, and generally to do all such things in our names and in our capacities as officers and directors to enable SL Green Operating Partnership, L.P. to comply with the provisions of the Securities Exchange Act of 1934, as amended, and all requirements of the Securities and Exchange Commission, hereby ratifying and confirming our signatures as they may be signed by our said attorneys, or any of them, to said Amendment No. 1 to the Annual Report on Form 10-K and any and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5346700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5" w:name="page86"/>
    <w:bookmarkEnd w:id="85"/>
    <w:p>
      <w:pPr>
        <w:ind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126" w:lineRule="exact"/>
        <w:rPr>
          <w:sz w:val="20"/>
          <w:szCs w:val="20"/>
          <w:color w:val="auto"/>
        </w:rPr>
      </w:pPr>
    </w:p>
    <w:p>
      <w:pPr>
        <w:ind w:left="1860"/>
        <w:spacing w:after="0"/>
        <w:tabs>
          <w:tab w:leader="none" w:pos="6120" w:val="left"/>
          <w:tab w:leader="none" w:pos="9740" w:val="left"/>
        </w:tabs>
        <w:rPr>
          <w:sz w:val="20"/>
          <w:szCs w:val="20"/>
          <w:color w:val="auto"/>
        </w:rPr>
      </w:pPr>
      <w:r>
        <w:rPr>
          <w:rFonts w:ascii="Times New Roman" w:cs="Times New Roman" w:eastAsia="Times New Roman" w:hAnsi="Times New Roman"/>
          <w:sz w:val="14"/>
          <w:szCs w:val="14"/>
          <w:b w:val="1"/>
          <w:bCs w:val="1"/>
          <w:u w:val="single" w:color="auto"/>
          <w:color w:val="auto"/>
        </w:rPr>
        <w:t>Signatures</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868" w:right="339" w:bottom="1440" w:gutter="0" w:footer="0" w:header="0"/>
        </w:sectPr>
      </w:pPr>
    </w:p>
    <w:p>
      <w:pPr>
        <w:spacing w:after="0" w:line="38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0">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15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Marc Holliday</w:t>
      </w:r>
    </w:p>
    <w:p>
      <w:pPr>
        <w:spacing w:after="0" w:line="200" w:lineRule="exact"/>
        <w:rPr>
          <w:sz w:val="20"/>
          <w:szCs w:val="20"/>
          <w:color w:val="auto"/>
        </w:rPr>
      </w:pPr>
    </w:p>
    <w:p>
      <w:pPr>
        <w:spacing w:after="0" w:line="221"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204"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Matthew J. DiLiberto</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Stephen L. Green</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Andrew W. Mathias</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John H. Alschuler, Jr.</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Craig M. Hatkoff</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Lauren B. Dillard</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Carol Brown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Chairman of the Board of Directors, Chief Executive Officer and</w:t>
      </w:r>
    </w:p>
    <w:p>
      <w:pPr>
        <w:jc w:val="center"/>
        <w:ind w:right="100"/>
        <w:spacing w:after="0" w:line="225" w:lineRule="auto"/>
        <w:rPr>
          <w:sz w:val="20"/>
          <w:szCs w:val="20"/>
          <w:color w:val="auto"/>
        </w:rPr>
      </w:pPr>
      <w:r>
        <w:rPr>
          <w:rFonts w:ascii="Times New Roman" w:cs="Times New Roman" w:eastAsia="Times New Roman" w:hAnsi="Times New Roman"/>
          <w:sz w:val="17"/>
          <w:szCs w:val="17"/>
          <w:color w:val="auto"/>
        </w:rPr>
        <w:t>Interim President of SL Green, the sole general partner of the</w:t>
      </w:r>
    </w:p>
    <w:p>
      <w:pPr>
        <w:ind w:left="460"/>
        <w:spacing w:after="0"/>
        <w:rPr>
          <w:sz w:val="20"/>
          <w:szCs w:val="20"/>
          <w:color w:val="auto"/>
        </w:rPr>
      </w:pPr>
      <w:r>
        <w:rPr>
          <w:rFonts w:ascii="Times New Roman" w:cs="Times New Roman" w:eastAsia="Times New Roman" w:hAnsi="Times New Roman"/>
          <w:sz w:val="17"/>
          <w:szCs w:val="17"/>
          <w:color w:val="auto"/>
        </w:rPr>
        <w:t>Operating Partnership (Principal Executive Officer)</w:t>
      </w:r>
    </w:p>
    <w:p>
      <w:pPr>
        <w:spacing w:after="0" w:line="3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Chief Financial Officer of</w:t>
      </w:r>
    </w:p>
    <w:p>
      <w:pPr>
        <w:jc w:val="center"/>
        <w:ind w:right="140"/>
        <w:spacing w:after="0" w:line="225" w:lineRule="auto"/>
        <w:rPr>
          <w:sz w:val="20"/>
          <w:szCs w:val="20"/>
          <w:color w:val="auto"/>
        </w:rPr>
      </w:pPr>
      <w:r>
        <w:rPr>
          <w:rFonts w:ascii="Times New Roman" w:cs="Times New Roman" w:eastAsia="Times New Roman" w:hAnsi="Times New Roman"/>
          <w:sz w:val="17"/>
          <w:szCs w:val="17"/>
          <w:color w:val="auto"/>
        </w:rPr>
        <w:t>SL Green, the sole general partner of</w:t>
      </w:r>
    </w:p>
    <w:p>
      <w:pPr>
        <w:jc w:val="center"/>
        <w:ind w:right="100"/>
        <w:spacing w:after="0" w:line="209" w:lineRule="auto"/>
        <w:rPr>
          <w:sz w:val="20"/>
          <w:szCs w:val="20"/>
          <w:color w:val="auto"/>
        </w:rPr>
      </w:pPr>
      <w:r>
        <w:rPr>
          <w:rFonts w:ascii="Times New Roman" w:cs="Times New Roman" w:eastAsia="Times New Roman" w:hAnsi="Times New Roman"/>
          <w:sz w:val="17"/>
          <w:szCs w:val="17"/>
          <w:color w:val="auto"/>
        </w:rPr>
        <w:t>the Operating Partnership (Principal Financial and Accounting</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Officer)</w:t>
      </w:r>
    </w:p>
    <w:p>
      <w:pPr>
        <w:spacing w:after="0" w:line="3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ind w:right="100"/>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ind w:right="100"/>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ind w:right="100"/>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ind w:right="100"/>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ind w:right="100"/>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ind w:right="100"/>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2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2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2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2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2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April 17, 2025</w:t>
      </w:r>
    </w:p>
    <w:p>
      <w:pPr>
        <w:spacing w:after="0" w:line="364" w:lineRule="exact"/>
        <w:rPr>
          <w:sz w:val="20"/>
          <w:szCs w:val="20"/>
          <w:color w:val="auto"/>
        </w:rPr>
      </w:pPr>
    </w:p>
    <w:p>
      <w:pPr>
        <w:sectPr>
          <w:pgSz w:w="11900" w:h="16838" w:orient="portrait"/>
          <w:cols w:equalWidth="0" w:num="3">
            <w:col w:w="3300" w:space="720"/>
            <w:col w:w="4640" w:space="720"/>
            <w:col w:w="1860"/>
          </w:cols>
          <w:pgMar w:left="320" w:top="868" w:right="339" w:bottom="1440" w:gutter="0" w:footer="0" w:header="0"/>
          <w:type w:val="continuous"/>
        </w:sectPr>
      </w:pPr>
    </w:p>
    <w:p>
      <w:pPr>
        <w:spacing w:after="0" w:line="4" w:lineRule="exact"/>
        <w:rPr>
          <w:sz w:val="20"/>
          <w:szCs w:val="20"/>
          <w:color w:val="auto"/>
        </w:rPr>
      </w:pPr>
    </w:p>
    <w:p>
      <w:pPr>
        <w:ind w:left="640" w:hanging="320"/>
        <w:spacing w:after="0" w:line="297" w:lineRule="auto"/>
        <w:tabs>
          <w:tab w:leader="none" w:pos="68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does hereby sign this Amendment No. 1 to the Annual Report on Form 10-K on behalf of the above-indicated person pursuant to the power of attorney executed by such person.</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Matthew J. DiLiberto</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Matthew J DiLiberto</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68"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6" w:lineRule="exact"/>
        <w:rPr>
          <w:sz w:val="20"/>
          <w:szCs w:val="20"/>
          <w:color w:val="auto"/>
        </w:rPr>
      </w:pPr>
    </w:p>
    <w:p>
      <w:pPr>
        <w:jc w:val="both"/>
        <w:ind w:firstLine="201"/>
        <w:spacing w:after="0" w:line="26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333-283381, 333-277343, 333-70111, 333-30394, 333-62434, and 333-126058 on Form S-3 and Registration Statement Nos. 333-265707 and 333-148973 on Form S-8 of our report dated February 14, 2025, relating to the financial statements of SL Green Realty Corp. appearing in this Amendment No. 1 to the Annual Report on Form 10-K/A and of our report dated February 14, 2025 on the effectiveness of SL Green Realty Corp.'s internal control over financial reporting appearing in the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866"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9" w:lineRule="exact"/>
        <w:rPr>
          <w:sz w:val="20"/>
          <w:szCs w:val="20"/>
          <w:color w:val="auto"/>
        </w:rPr>
      </w:pPr>
    </w:p>
    <w:p>
      <w:pPr>
        <w:ind w:right="60" w:firstLine="172"/>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333-283381 on Form S-3 of our report dated February 14, 2025, relating to the financial statements of SL Green Operating Partnership, L.P. appearing in this Amendment No. 1 to the Annual Report on Form 10-K/A and of our report dated February 14, 2025 on the effectiveness of SL Green Operating Partnership, L.P.’s internal control over financial reporting appearing in the Annual Report on Form 10-K for the year ended December 31, 2024.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866"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81" w:lineRule="exact"/>
        <w:rPr>
          <w:sz w:val="20"/>
          <w:szCs w:val="20"/>
          <w:color w:val="auto"/>
        </w:rPr>
      </w:pPr>
    </w:p>
    <w:p>
      <w:pPr>
        <w:ind w:left="880" w:right="280" w:hanging="560"/>
        <w:spacing w:after="0" w:line="238" w:lineRule="exact"/>
        <w:tabs>
          <w:tab w:leader="none" w:pos="75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Nos. 333-70111, 333-30394,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62434, 333-126058, 333-277343, and 333-283381) of SL Green Realty Corp. and the related Prospectuses,</w:t>
      </w:r>
    </w:p>
    <w:p>
      <w:pPr>
        <w:spacing w:after="0" w:line="87" w:lineRule="exact"/>
        <w:rPr>
          <w:rFonts w:ascii="Times New Roman" w:cs="Times New Roman" w:eastAsia="Times New Roman" w:hAnsi="Times New Roman"/>
          <w:sz w:val="17"/>
          <w:szCs w:val="17"/>
          <w:color w:val="auto"/>
        </w:rPr>
      </w:pPr>
    </w:p>
    <w:p>
      <w:pPr>
        <w:ind w:left="760" w:hanging="440"/>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333-265707) pertaining to the Stock Option and Incentive Plans of SL Green Realty Corp., and</w:t>
      </w:r>
    </w:p>
    <w:p>
      <w:pPr>
        <w:spacing w:after="0" w:line="119" w:lineRule="exact"/>
        <w:rPr>
          <w:rFonts w:ascii="Times New Roman" w:cs="Times New Roman" w:eastAsia="Times New Roman" w:hAnsi="Times New Roman"/>
          <w:sz w:val="17"/>
          <w:szCs w:val="17"/>
          <w:color w:val="auto"/>
        </w:rPr>
      </w:pPr>
    </w:p>
    <w:p>
      <w:pPr>
        <w:ind w:left="800" w:hanging="480"/>
        <w:spacing w:after="0"/>
        <w:tabs>
          <w:tab w:leader="none" w:pos="8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333-148973) pertaining to the 2008 Employee Stock Purchase Plan of SL Green Realty Corp.;</w:t>
      </w:r>
    </w:p>
    <w:p>
      <w:pPr>
        <w:spacing w:after="0" w:line="11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color w:val="auto"/>
        </w:rPr>
        <w:t>of our report dated February 23, 2024, with respect to the consolidated financial statements of SL Green Realty Corp. included in this Amendment No. 1 to the Annual Report (Form 10-K/A) of SL Green Realty Corp. for the year ended December 31,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86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52" w:lineRule="exact"/>
        <w:rPr>
          <w:sz w:val="20"/>
          <w:szCs w:val="20"/>
          <w:color w:val="auto"/>
        </w:rPr>
      </w:pPr>
    </w:p>
    <w:p>
      <w:pPr>
        <w:ind w:right="40" w:firstLine="172"/>
        <w:spacing w:after="0" w:line="277"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S-3 No. 333-283381) of SL Green Operating Partnership, L.P. and in the related Prospectus of our report dated February 23, 2024, with respect to the consolidated financial statements of SL Green Operating Partnership, L.P. included in this Amendment No. 1 to the Annual Report (Form 10-K/A) for the year ended December 31, 2024.</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86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Marc Holliday, certify that:</w:t>
      </w:r>
    </w:p>
    <w:p>
      <w:pPr>
        <w:spacing w:after="0" w:line="252" w:lineRule="exact"/>
        <w:rPr>
          <w:sz w:val="20"/>
          <w:szCs w:val="20"/>
          <w:color w:val="auto"/>
        </w:rPr>
      </w:pPr>
    </w:p>
    <w:p>
      <w:pPr>
        <w:ind w:left="640" w:hanging="635"/>
        <w:spacing w:after="0"/>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to No. 1 to the Annual Report on Form 10-K/A of SL Green Realty Corp.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Date: April 17, 2025</w:t>
      </w:r>
    </w:p>
    <w:p>
      <w:pPr>
        <w:spacing w:after="0" w:line="3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37465</wp:posOffset>
            </wp:positionV>
            <wp:extent cx="2781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47"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Marc Holliday</w:t>
      </w:r>
    </w:p>
    <w:p>
      <w:pPr>
        <w:spacing w:after="0" w:line="41"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ectPr>
          <w:pgSz w:w="11900" w:h="16838" w:orient="portrait"/>
          <w:cols w:equalWidth="0" w:num="1">
            <w:col w:w="11240"/>
          </w:cols>
          <w:pgMar w:left="320" w:top="86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Matthew J. DiLiberto, certify that:</w:t>
      </w:r>
    </w:p>
    <w:p>
      <w:pPr>
        <w:spacing w:after="0" w:line="226" w:lineRule="exact"/>
        <w:rPr>
          <w:sz w:val="20"/>
          <w:szCs w:val="20"/>
          <w:color w:val="auto"/>
        </w:rPr>
      </w:pPr>
    </w:p>
    <w:p>
      <w:pPr>
        <w:ind w:left="640" w:hanging="635"/>
        <w:spacing w:after="0"/>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1 to the Annual Report on Form 10-K/A of SL Green Realty Corp.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April 17,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31.3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Marc Holliday, certify that:</w:t>
      </w:r>
    </w:p>
    <w:p>
      <w:pPr>
        <w:spacing w:after="0" w:line="252" w:lineRule="exact"/>
        <w:rPr>
          <w:sz w:val="20"/>
          <w:szCs w:val="20"/>
          <w:color w:val="auto"/>
        </w:rPr>
      </w:pPr>
    </w:p>
    <w:p>
      <w:pPr>
        <w:ind w:left="640" w:hanging="635"/>
        <w:spacing w:after="0"/>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1 to the Annual Report on Form 10-K/A of SL Green Operating Partnership, L.P.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Date: April 17, 2025</w:t>
      </w:r>
    </w:p>
    <w:p>
      <w:pPr>
        <w:spacing w:after="0" w:line="3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37465</wp:posOffset>
            </wp:positionV>
            <wp:extent cx="27813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47"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Marc Holliday</w:t>
      </w:r>
    </w:p>
    <w:p>
      <w:pPr>
        <w:spacing w:after="0" w:line="41"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of SL Green Realty Corp., the</w:t>
      </w:r>
    </w:p>
    <w:p>
      <w:pPr>
        <w:spacing w:after="0" w:line="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general partner of the registrant</w:t>
      </w:r>
    </w:p>
    <w:p>
      <w:pPr>
        <w:sectPr>
          <w:pgSz w:w="11900" w:h="16838" w:orient="portrait"/>
          <w:cols w:equalWidth="0" w:num="1">
            <w:col w:w="11240"/>
          </w:cols>
          <w:pgMar w:left="320" w:top="86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31.4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Matthew J. DiLiberto, certify that:</w:t>
      </w:r>
    </w:p>
    <w:p>
      <w:pPr>
        <w:spacing w:after="0" w:line="252" w:lineRule="exact"/>
        <w:rPr>
          <w:sz w:val="20"/>
          <w:szCs w:val="20"/>
          <w:color w:val="auto"/>
        </w:rPr>
      </w:pPr>
    </w:p>
    <w:p>
      <w:pPr>
        <w:ind w:left="640" w:hanging="635"/>
        <w:spacing w:after="0"/>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to No. 1 to the Annual Report on Form 10-K/A of SL Green Operating Partnership, L.P.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April 17,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SL Green Realty Corp., the</w:t>
            </w:r>
          </w:p>
        </w:tc>
      </w:tr>
      <w:tr>
        <w:trPr>
          <w:trHeight w:val="228"/>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partner of the registrant</w:t>
            </w:r>
          </w:p>
        </w:tc>
      </w:tr>
    </w:tbl>
    <w:p>
      <w:pPr>
        <w:sectPr>
          <w:pgSz w:w="11900" w:h="16838" w:orient="portrait"/>
          <w:cols w:equalWidth="0" w:num="1">
            <w:col w:w="11240"/>
          </w:cols>
          <w:pgMar w:left="320" w:top="86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Amendment No.1 to the Annual Report of SL Green Realty Corp. (the “Company”) on Form 10-K/A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62" w:lineRule="exact"/>
        <w:rPr>
          <w:sz w:val="20"/>
          <w:szCs w:val="20"/>
          <w:color w:val="auto"/>
        </w:rPr>
      </w:pPr>
    </w:p>
    <w:p>
      <w:pPr>
        <w:ind w:left="640" w:hanging="635"/>
        <w:spacing w:after="0"/>
        <w:tabs>
          <w:tab w:leader="none" w:pos="6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Marc Holliday</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Marc Holliday</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86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Amendment No.1 to the Annual Report of SL Green Realty Corp. (the “Company”) on Form 10-K/A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62" w:lineRule="exact"/>
        <w:rPr>
          <w:sz w:val="20"/>
          <w:szCs w:val="20"/>
          <w:color w:val="auto"/>
        </w:rPr>
      </w:pPr>
    </w:p>
    <w:p>
      <w:pPr>
        <w:ind w:left="640" w:hanging="635"/>
        <w:spacing w:after="0"/>
        <w:tabs>
          <w:tab w:leader="none" w:pos="6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86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32.3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Amendment No.1 to the Annual Report of SL Green Operating Partnership, L.P. (the “Operating Partnership”) on Form 10-K/A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196" w:lineRule="exact"/>
        <w:rPr>
          <w:sz w:val="20"/>
          <w:szCs w:val="20"/>
          <w:color w:val="auto"/>
        </w:rPr>
      </w:pPr>
    </w:p>
    <w:p>
      <w:pPr>
        <w:ind w:left="300" w:hanging="295"/>
        <w:spacing w:after="0"/>
        <w:tabs>
          <w:tab w:leader="none" w:pos="3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50" w:lineRule="exact"/>
        <w:rPr>
          <w:rFonts w:ascii="Times New Roman" w:cs="Times New Roman" w:eastAsia="Times New Roman" w:hAnsi="Times New Roman"/>
          <w:sz w:val="17"/>
          <w:szCs w:val="17"/>
          <w:color w:val="auto"/>
        </w:rPr>
      </w:pPr>
    </w:p>
    <w:p>
      <w:pPr>
        <w:ind w:left="640" w:hanging="635"/>
        <w:spacing w:after="0" w:line="268" w:lineRule="auto"/>
        <w:tabs>
          <w:tab w:leader="none" w:pos="44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Marc Holliday</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Marc Holliday</w:t>
            </w: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23"/>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SL Green Realty Corp., the</w:t>
            </w:r>
          </w:p>
        </w:tc>
      </w:tr>
      <w:tr>
        <w:trPr>
          <w:trHeight w:val="228"/>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partner of the Operating Partnership</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86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t>Exhibit 32.4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Amendment No. 1 to the Annual Report of SL Green Operating Partnership, L.P. (the “Operating Partnership”) on Form 10-K/A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196" w:lineRule="exact"/>
        <w:rPr>
          <w:sz w:val="20"/>
          <w:szCs w:val="20"/>
          <w:color w:val="auto"/>
        </w:rPr>
      </w:pPr>
    </w:p>
    <w:p>
      <w:pPr>
        <w:ind w:left="300" w:hanging="295"/>
        <w:spacing w:after="0"/>
        <w:tabs>
          <w:tab w:leader="none" w:pos="3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50" w:lineRule="exact"/>
        <w:rPr>
          <w:rFonts w:ascii="Times New Roman" w:cs="Times New Roman" w:eastAsia="Times New Roman" w:hAnsi="Times New Roman"/>
          <w:sz w:val="17"/>
          <w:szCs w:val="17"/>
          <w:color w:val="auto"/>
        </w:rPr>
      </w:pPr>
    </w:p>
    <w:p>
      <w:pPr>
        <w:ind w:left="640" w:hanging="635"/>
        <w:spacing w:after="0" w:line="268" w:lineRule="auto"/>
        <w:tabs>
          <w:tab w:leader="none" w:pos="44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SL Green Realty Corp., the</w:t>
            </w:r>
          </w:p>
        </w:tc>
      </w:tr>
      <w:tr>
        <w:trPr>
          <w:trHeight w:val="228"/>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partner of the Operating Partnership</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17, 2025</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lvl w:ilvl="1">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
      <w:numFmt w:val="bullet"/>
      <w:start w:val="1"/>
    </w:lvl>
    <w:lvl w:ilvl="1">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lvl w:ilvl="1">
      <w:lvlJc w:val="left"/>
      <w:lvlText w:val="◦"/>
      <w:numFmt w:val="bullet"/>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2"/>
    </w:lvl>
  </w:abstractNum>
  <w:abstractNum w:abstractNumId="12">
    <w:nsid w:val="51EAD36B"/>
    <w:multiLevelType w:val="hybridMultilevel"/>
    <w:lvl w:ilvl="0">
      <w:lvlJc w:val="left"/>
      <w:lvlText w:val="%1."/>
      <w:numFmt w:val="decimal"/>
      <w:start w:val="2"/>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1."/>
      <w:numFmt w:val="decimal"/>
      <w:start w:val="20"/>
    </w:lvl>
  </w:abstractNum>
  <w:abstractNum w:abstractNumId="15">
    <w:nsid w:val="153EA438"/>
    <w:multiLevelType w:val="hybridMultilevel"/>
    <w:lvl w:ilvl="0">
      <w:lvlJc w:val="left"/>
      <w:lvlText w:val="%1"/>
      <w:numFmt w:val="decimal"/>
      <w:start w:val="2"/>
    </w:lvl>
  </w:abstractNum>
  <w:abstractNum w:abstractNumId="16">
    <w:nsid w:val="3855585C"/>
    <w:multiLevelType w:val="hybridMultilevel"/>
    <w:lvl w:ilvl="0">
      <w:lvlJc w:val="left"/>
      <w:lvlText w:val="%1."/>
      <w:numFmt w:val="decimal"/>
      <w:start w:val="3"/>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4"/>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9"/>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8"/>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9"/>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0"/>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2"/>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20"/>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lowerRoman"/>
      <w:start w:val="1"/>
    </w:lvl>
  </w:abstractNum>
  <w:abstractNum w:abstractNumId="58">
    <w:nsid w:val="7E0C57B1"/>
    <w:multiLevelType w:val="hybridMultilevel"/>
    <w:lvl w:ilvl="0">
      <w:lvlJc w:val="left"/>
      <w:lvlText w:val="%1."/>
      <w:numFmt w:val="decimal"/>
      <w:start w:val="1"/>
    </w:lvl>
    <w:lvl w:ilvl="1">
      <w:lvlJc w:val="left"/>
      <w:lvlText w:val="(%2)"/>
      <w:numFmt w:val="lowerLetter"/>
      <w:start w:val="1"/>
    </w:lvl>
  </w:abstractNum>
  <w:abstractNum w:abstractNumId="59">
    <w:nsid w:val="77AE35EB"/>
    <w:multiLevelType w:val="hybridMultilevel"/>
    <w:lvl w:ilvl="0">
      <w:lvlJc w:val="left"/>
      <w:lvlText w:val="%1."/>
      <w:numFmt w:val="decimal"/>
      <w:start w:val="1"/>
    </w:lvl>
    <w:lvl w:ilvl="1">
      <w:lvlJc w:val="left"/>
      <w:lvlText w:val="(%2)"/>
      <w:numFmt w:val="lowerLetter"/>
      <w:start w:val="1"/>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1"/>
    </w:lvl>
    <w:lvl w:ilvl="1">
      <w:lvlJc w:val="left"/>
      <w:lvlText w:val="(%2)"/>
      <w:numFmt w:val="lowerLetter"/>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5" Type="http://schemas.openxmlformats.org/officeDocument/2006/relationships/image" Target="media/image97.png"/><Relationship Id="rId145" Type="http://schemas.openxmlformats.org/officeDocument/2006/relationships/image" Target="media/image98.png"/><Relationship Id="rId162" Type="http://schemas.openxmlformats.org/officeDocument/2006/relationships/image" Target="media/image99.png"/><Relationship Id="rId168" Type="http://schemas.openxmlformats.org/officeDocument/2006/relationships/image" Target="media/image100.png"/><Relationship Id="rId169" Type="http://schemas.openxmlformats.org/officeDocument/2006/relationships/image" Target="media/image101.png"/><Relationship Id="rId170" Type="http://schemas.openxmlformats.org/officeDocument/2006/relationships/image" Target="media/image102.png"/><Relationship Id="rId171" Type="http://schemas.openxmlformats.org/officeDocument/2006/relationships/image" Target="media/image103.png"/><Relationship Id="rId172" Type="http://schemas.openxmlformats.org/officeDocument/2006/relationships/image" Target="media/image104.png"/><Relationship Id="rId173" Type="http://schemas.openxmlformats.org/officeDocument/2006/relationships/image" Target="media/image105.png"/><Relationship Id="rId174" Type="http://schemas.openxmlformats.org/officeDocument/2006/relationships/image" Target="media/image106.png"/><Relationship Id="rId175" Type="http://schemas.openxmlformats.org/officeDocument/2006/relationships/image" Target="media/image107.png"/><Relationship Id="rId176" Type="http://schemas.openxmlformats.org/officeDocument/2006/relationships/image" Target="media/image108.png"/><Relationship Id="rId177" Type="http://schemas.openxmlformats.org/officeDocument/2006/relationships/image" Target="media/image109.png"/><Relationship Id="rId178" Type="http://schemas.openxmlformats.org/officeDocument/2006/relationships/image" Target="media/image110.png"/><Relationship Id="rId179" Type="http://schemas.openxmlformats.org/officeDocument/2006/relationships/image" Target="media/image111.png"/><Relationship Id="rId180"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04" Type="http://schemas.openxmlformats.org/officeDocument/2006/relationships/hyperlink" Target="https://www.sec.gov/Archives/edgar/data/1040971/000104097114000012/slg-20140630x10qex31.htm" TargetMode="External"/><Relationship Id="rId105" Type="http://schemas.openxmlformats.org/officeDocument/2006/relationships/hyperlink" Target="https://www.sec.gov/Archives/edgar/data/1040971/000110465917045611/a17-18075_1ex3d1.htm" TargetMode="External"/><Relationship Id="rId106" Type="http://schemas.openxmlformats.org/officeDocument/2006/relationships/hyperlink" Target="https://www.sec.gov/Archives/edgar/data/1040971/000110465921005909/tm212226d2_ex3-1.htm" TargetMode="External"/><Relationship Id="rId107" Type="http://schemas.openxmlformats.org/officeDocument/2006/relationships/hyperlink" Target="https://www.sec.gov/Archives/edgar/data/1040971/000110465921005909/tm212226d2_ex3-2.htm" TargetMode="External"/><Relationship Id="rId108" Type="http://schemas.openxmlformats.org/officeDocument/2006/relationships/hyperlink" Target="https://www.sec.gov/Archives/edgar/data/1040971/000110465922006456/tm224122d1_ex3-1.htm" TargetMode="External"/><Relationship Id="rId109" Type="http://schemas.openxmlformats.org/officeDocument/2006/relationships/hyperlink" Target="https://www.sec.gov/Archives/edgar/data/1040971/000110465922006456/tm224122d1_ex3-2.htm" TargetMode="External"/><Relationship Id="rId110" Type="http://schemas.openxmlformats.org/officeDocument/2006/relationships/hyperlink" Target="https://www.sec.gov/Archives/edgar/data/1040971/000110465918075152/a18-42091_1ex3d1.htm" TargetMode="External"/><Relationship Id="rId111" Type="http://schemas.openxmlformats.org/officeDocument/2006/relationships/hyperlink" Target="https://www.sec.gov/Archives/edgar/data/1040971/000110465920060922/tm2019604d1_ex3-1.htm" TargetMode="External"/><Relationship Id="rId112" Type="http://schemas.openxmlformats.org/officeDocument/2006/relationships/hyperlink" Target="https://www.sec.gov/Archives/edgar/data/1040971/000134100409001928/slgreen_ex3-2.htm" TargetMode="External"/><Relationship Id="rId113" Type="http://schemas.openxmlformats.org/officeDocument/2006/relationships/hyperlink" Target="https://www.sec.gov/Archives/edgar/data/1040971/000110465912056689/a12-17764_6ex3d1.htm" TargetMode="External"/><Relationship Id="rId114" Type="http://schemas.openxmlformats.org/officeDocument/2006/relationships/hyperlink" Target="https://www.sec.gov/Archives/edgar/data/1040971/000110465912056689/a12-17764_6ex3d2.htm" TargetMode="External"/><Relationship Id="rId115" Type="http://schemas.openxmlformats.org/officeDocument/2006/relationships/hyperlink" Target="https://www.sec.gov/Archives/edgar/data/1040971/000091205702039492/a2091718zex-10_1.htm" TargetMode="External"/><Relationship Id="rId116" Type="http://schemas.openxmlformats.org/officeDocument/2006/relationships/hyperlink" Target="https://www.sec.gov/Archives/edgar/data/1040971/000091205702039492/a2091718zex-10_2.htm" TargetMode="External"/><Relationship Id="rId117" Type="http://schemas.openxmlformats.org/officeDocument/2006/relationships/hyperlink" Target="https://www.sec.gov/Archives/edgar/data/1040971/000091205702029427/a2085564zex-10_1.htm" TargetMode="External"/><Relationship Id="rId118" Type="http://schemas.openxmlformats.org/officeDocument/2006/relationships/hyperlink" Target="https://www.sec.gov/Archives/edgar/data/1040971/000110465906016962/a06-1960_1ex10d39.htm" TargetMode="External"/><Relationship Id="rId119" Type="http://schemas.openxmlformats.org/officeDocument/2006/relationships/hyperlink" Target="https://www.sec.gov/Archives/edgar/data/1040971/000110465907005677/a07-2707_1ex10d5.htm" TargetMode="External"/><Relationship Id="rId120" Type="http://schemas.openxmlformats.org/officeDocument/2006/relationships/hyperlink" Target="https://www.sec.gov/Archives/edgar/data/1040971/000110465910002296/a10-1710_5ex10d1.htm" TargetMode="External"/><Relationship Id="rId121" Type="http://schemas.openxmlformats.org/officeDocument/2006/relationships/hyperlink" Target="https://www.sec.gov/Archives/edgar/data/1040971/000110465912006242/a12-3716_1ex10d1.htm" TargetMode="External"/><Relationship Id="rId122" Type="http://schemas.openxmlformats.org/officeDocument/2006/relationships/hyperlink" Target="https://www.sec.gov/Archives/edgar/data/1040971/000110465912035934/a12-8516_1ex10d2.htm" TargetMode="External"/><Relationship Id="rId123" Type="http://schemas.openxmlformats.org/officeDocument/2006/relationships/hyperlink" Target="https://www.sec.gov/Archives/edgar/data/1040971/000110465912057046/a12-18124_1ex10d1.htm" TargetMode="External"/><Relationship Id="rId124" Type="http://schemas.openxmlformats.org/officeDocument/2006/relationships/hyperlink" Target="https://www.sec.gov/Archives/edgar/data/1040971/000110465914049963/a14-16300_1ex10d1.htm" TargetMode="External"/><Relationship Id="rId126" Type="http://schemas.openxmlformats.org/officeDocument/2006/relationships/hyperlink" Target="https://www.sec.gov/Archives/edgar/data/1040971/000110465914049963/a14-16300_1ex10d2.htm" TargetMode="External"/><Relationship Id="rId127" Type="http://schemas.openxmlformats.org/officeDocument/2006/relationships/hyperlink" Target="https://www.sec.gov/Archives/edgar/data/1040971/000104097122000014/slg-20211231x10kex323a.htm" TargetMode="External"/><Relationship Id="rId128" Type="http://schemas.openxmlformats.org/officeDocument/2006/relationships/hyperlink" Target="https://www.sec.gov/Archives/edgar/data/1040971/000110465915053109/a15-15633_1ex10d1.htm" TargetMode="External"/><Relationship Id="rId129" Type="http://schemas.openxmlformats.org/officeDocument/2006/relationships/hyperlink" Target="https://www.sec.gov/Archives/edgar/data/1040971/000110465915053109/a15-15633_1ex10d2.htm" TargetMode="External"/><Relationship Id="rId130" Type="http://schemas.openxmlformats.org/officeDocument/2006/relationships/hyperlink" Target="https://www.sec.gov/Archives/edgar/data/1040971/000110465915061340/a15-17634_1ex10d1.htm" TargetMode="External"/><Relationship Id="rId131" Type="http://schemas.openxmlformats.org/officeDocument/2006/relationships/hyperlink" Target="https://www.sec.gov/Archives/edgar/data/1040971/000110465915061340/a15-17634_1ex10d2.htm" TargetMode="External"/><Relationship Id="rId132" Type="http://schemas.openxmlformats.org/officeDocument/2006/relationships/hyperlink" Target="https://www.sec.gov/Archives/edgar/data/1040971/000104097116000037/a16q3slgopamendment25ex31.htm" TargetMode="External"/><Relationship Id="rId133" Type="http://schemas.openxmlformats.org/officeDocument/2006/relationships/hyperlink" Target="https://www.sec.gov/Archives/edgar/data/1040971/000110465919026818/a19-8674_2ex10d1.htm" TargetMode="External"/><Relationship Id="rId134" Type="http://schemas.openxmlformats.org/officeDocument/2006/relationships/hyperlink" Target="https://www.sec.gov/Archives/edgar/data/1040971/000110465920003907/tm203223d1_ex10-1.htm" TargetMode="External"/><Relationship Id="rId135" Type="http://schemas.openxmlformats.org/officeDocument/2006/relationships/hyperlink" Target="https://www.sec.gov/Archives/edgar/data/1040971/000110465921152654/tm2136095d1_ex10-1.htm" TargetMode="External"/><Relationship Id="rId136" Type="http://schemas.openxmlformats.org/officeDocument/2006/relationships/hyperlink" Target="https://www.sec.gov/Archives/edgar/data/1040971/000110465922112499/tm2229193d1_ex10-1.htm" TargetMode="External"/><Relationship Id="rId137" Type="http://schemas.openxmlformats.org/officeDocument/2006/relationships/hyperlink" Target="https://www.sec.gov/Archives/edgar/data/1040971/000104097123000020/a23q110qex31.htm" TargetMode="External"/><Relationship Id="rId138" Type="http://schemas.openxmlformats.org/officeDocument/2006/relationships/hyperlink" Target="https://www.sec.gov/Archives/edgar/data/1040971/0000912057-97-025107.txt" TargetMode="External"/><Relationship Id="rId139" Type="http://schemas.openxmlformats.org/officeDocument/2006/relationships/hyperlink" Target="https://www.sec.gov/Archives/edgar/data/930810/000110465911044350/a11-23855_1ex4d1.htm" TargetMode="External"/><Relationship Id="rId140" Type="http://schemas.openxmlformats.org/officeDocument/2006/relationships/hyperlink" Target="https://www.sec.gov/Archives/edgar/data/1040971/000110465905037994/a05-12719_1ex4d2.htm" TargetMode="External"/><Relationship Id="rId141" Type="http://schemas.openxmlformats.org/officeDocument/2006/relationships/hyperlink" Target="https://www.sec.gov/Archives/edgar/data/930810/000110465917061122/a17-22604_6ex4d1.htm" TargetMode="External"/><Relationship Id="rId142" Type="http://schemas.openxmlformats.org/officeDocument/2006/relationships/hyperlink" Target="https://www.sec.gov/Archives/edgar/data/1040971/000104097125000010/slg-20241231x10kex46.htm" TargetMode="External"/><Relationship Id="rId143" Type="http://schemas.openxmlformats.org/officeDocument/2006/relationships/hyperlink" Target="https://www.sec.gov/Archives/edgar/data/1040971/000104097118000006/slg2017123110kex101.htm" TargetMode="External"/><Relationship Id="rId144" Type="http://schemas.openxmlformats.org/officeDocument/2006/relationships/hyperlink" Target="https://www.sec.gov/Archives/edgar/data/930810/000104746908003869/a2184189zex-3_12.htm" TargetMode="External"/><Relationship Id="rId146" Type="http://schemas.openxmlformats.org/officeDocument/2006/relationships/hyperlink" Target="https://www.sec.gov/Archives/edgar/data/1040971/000110465905037994/a05-12719_1ex4d1.htm" TargetMode="External"/><Relationship Id="rId147" Type="http://schemas.openxmlformats.org/officeDocument/2006/relationships/hyperlink" Target="https://www.sec.gov/Archives/edgar/data/1040971/000120677422001179/slg3994901-def14a.htm" TargetMode="External"/><Relationship Id="rId148" Type="http://schemas.openxmlformats.org/officeDocument/2006/relationships/hyperlink" Target="https://www.sec.gov/Archives/edgar/data/1040971/000104097118000006/slg-20171231x10xkex109.htm" TargetMode="External"/><Relationship Id="rId149" Type="http://schemas.openxmlformats.org/officeDocument/2006/relationships/hyperlink" Target="https://www.sec.gov/Archives/edgar/data/1040971/000110465910064649/a10-24366_1ex10d1.htm" TargetMode="External"/><Relationship Id="rId150" Type="http://schemas.openxmlformats.org/officeDocument/2006/relationships/hyperlink" Target="https://www.sec.gov/Archives/edgar/data/1040971/000110465909071505/a09-36938_1ex10d3.htm" TargetMode="External"/><Relationship Id="rId151" Type="http://schemas.openxmlformats.org/officeDocument/2006/relationships/hyperlink" Target="https://www.sec.gov/Archives/edgar/data/1040971/000110465913069915/a13-20681_1ex10d2.htm" TargetMode="External"/><Relationship Id="rId152" Type="http://schemas.openxmlformats.org/officeDocument/2006/relationships/hyperlink" Target="https://www.sec.gov/Archives/edgar/data/1040971/000110465916096670/a16-4165_1ex10d2.htm" TargetMode="External"/><Relationship Id="rId153" Type="http://schemas.openxmlformats.org/officeDocument/2006/relationships/hyperlink" Target="https://www.sec.gov/Archives/edgar/data/1040971/000110465922001762/tm221582d2_ex10-1.htm" TargetMode="External"/><Relationship Id="rId154" Type="http://schemas.openxmlformats.org/officeDocument/2006/relationships/hyperlink" Target="https://www.sec.gov/Archives/edgar/data/1040971/000110465918030314/a18-12708_1ex10d2.htm" TargetMode="External"/><Relationship Id="rId155" Type="http://schemas.openxmlformats.org/officeDocument/2006/relationships/hyperlink" Target="https://www.sec.gov/Archives/edgar/data/1040971/000110465922001762/tm221582d2_ex10-3.htm" TargetMode="External"/><Relationship Id="rId156" Type="http://schemas.openxmlformats.org/officeDocument/2006/relationships/hyperlink" Target="https://www.sec.gov/Archives/edgar/data/1040971/000110465918075152/a18-42091_1ex10d3.htm" TargetMode="External"/><Relationship Id="rId157" Type="http://schemas.openxmlformats.org/officeDocument/2006/relationships/hyperlink" Target="https://www.sec.gov/Archives/edgar/data/1040971/000110465921147629/tm2134775d1_ex10-1.htm" TargetMode="External"/><Relationship Id="rId158" Type="http://schemas.openxmlformats.org/officeDocument/2006/relationships/hyperlink" Target="https://www.sec.gov/Archives/edgar/data/1040971/000110465923028795/tm238503d1_ex10-1.htm" TargetMode="External"/><Relationship Id="rId159" Type="http://schemas.openxmlformats.org/officeDocument/2006/relationships/hyperlink" Target="https://www.sec.gov/Archives/edgar/data/1040971/000110465923107859/tm2328056d1_ex10-1.htm" TargetMode="External"/><Relationship Id="rId160" Type="http://schemas.openxmlformats.org/officeDocument/2006/relationships/hyperlink" Target="https://www.sec.gov/Archives/edgar/data/1040971/000110465924010038/tm244917d1_ex10-1.htm" TargetMode="External"/><Relationship Id="rId161" Type="http://schemas.openxmlformats.org/officeDocument/2006/relationships/hyperlink" Target="https://www.sec.gov/Archives/edgar/data/1040971/000110465924132903/tm2432242d1_ex10-1.htm" TargetMode="External"/><Relationship Id="rId163" Type="http://schemas.openxmlformats.org/officeDocument/2006/relationships/hyperlink" Target="https://www.sec.gov/Archives/edgar/data/1040971/000110465923122052/tm2331721d1_ex16-1.htm" TargetMode="External"/><Relationship Id="rId164" Type="http://schemas.openxmlformats.org/officeDocument/2006/relationships/hyperlink" Target="https://www.sec.gov/Archives/edgar/data/1040971/000104097125000010/slg-20241231x10kex191.htm" TargetMode="External"/><Relationship Id="rId165" Type="http://schemas.openxmlformats.org/officeDocument/2006/relationships/hyperlink" Target="https://www.sec.gov/Archives/edgar/data/1040971/000104097125000010/slg-20241231x10kex211.htm" TargetMode="External"/><Relationship Id="rId166" Type="http://schemas.openxmlformats.org/officeDocument/2006/relationships/hyperlink" Target="https://www.sec.gov/Archives/edgar/data/1040971/000104097125000010/slg-20241231x10kex212.htm" TargetMode="External"/><Relationship Id="rId167" Type="http://schemas.openxmlformats.org/officeDocument/2006/relationships/hyperlink" Target="https://www.sec.gov/Archives/edgar/data/1040971/000104097124000010/slg-20231231x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2025-04-17T16:08:37Z</dcterms:created>
  <dcterms:modified xsi:type="dcterms:W3CDTF">2025-04-17T16:08:37Z</dcterms:modified>
</cp:coreProperties>
</file>