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pPr>
      <w:r>
        <w:rPr>
          <w:color w:val="000000"/>
        </w:rPr>
        <w:t>☒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0"/>
        <w:jc w:val="center"/>
        <w:rPr/>
      </w:pPr>
      <w:r>
        <w:rPr>
          <w:color w:val="000000"/>
        </w:rPr>
        <w:t>☐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Commission File Number: 1-13199 (SL Green Realty Corp.)</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Commission File Number: 33-167793-02 (SL Green Operating Partnership, L.P.)</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SL GREEN REALTY CORP.</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SL GREEN OPERATING PARTNERSHIP,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tbl>
      <w:tblPr>
        <w:tblW w:w="6763" w:type="dxa"/>
        <w:jc w:val="center"/>
        <w:tblInd w:w="0" w:type="dxa"/>
        <w:tblLayout w:type="fixed"/>
        <w:tblCellMar>
          <w:top w:w="28" w:type="dxa"/>
          <w:left w:w="28" w:type="dxa"/>
          <w:bottom w:w="28" w:type="dxa"/>
          <w:right w:w="28" w:type="dxa"/>
        </w:tblCellMar>
      </w:tblPr>
      <w:tblGrid>
        <w:gridCol w:w="1208"/>
        <w:gridCol w:w="1058"/>
        <w:gridCol w:w="1063"/>
        <w:gridCol w:w="738"/>
        <w:gridCol w:w="738"/>
        <w:gridCol w:w="743"/>
        <w:gridCol w:w="355"/>
        <w:gridCol w:w="355"/>
        <w:gridCol w:w="505"/>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SL Green Realty Corp.</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13-3956775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SL Green Operating Partnership, L.P.</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13-3960938</w:t>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w:t>
              <w:br/>
              <w:t>Identification No.)</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One Vanderbilt Avenue, New York, NY 10017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594-2700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20"/>
        <w:jc w:val="left"/>
        <w:rPr/>
      </w:pPr>
      <w:r>
        <w:rPr>
          <w:rFonts w:ascii="Times New Roman;serif" w:hAnsi="Times New Roman;serif"/>
          <w:b w:val="false"/>
          <w:color w:val="000000"/>
          <w:sz w:val="20"/>
        </w:rPr>
        <w:t>SL Green Realty Corp.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SL Green Operating Partnership, L.P.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20"/>
        <w:jc w:val="left"/>
        <w:rPr/>
      </w:pPr>
      <w:r>
        <w:rPr>
          <w:rFonts w:ascii="Times New Roman;serif" w:hAnsi="Times New Roman;serif"/>
          <w:b w:val="false"/>
          <w:color w:val="000000"/>
          <w:sz w:val="20"/>
        </w:rPr>
        <w:t>SL Green Realty Corp.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SL Green Operating Partnership, L.P.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before="0" w:after="12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bl>
      <w:tblPr>
        <w:tblW w:w="10205" w:type="dxa"/>
        <w:jc w:val="left"/>
        <w:tblInd w:w="0" w:type="dxa"/>
        <w:tblLayout w:type="fixed"/>
        <w:tblCellMar>
          <w:top w:w="28" w:type="dxa"/>
          <w:left w:w="28" w:type="dxa"/>
          <w:bottom w:w="28" w:type="dxa"/>
          <w:right w:w="28" w:type="dxa"/>
        </w:tblCellMar>
      </w:tblPr>
      <w:tblGrid>
        <w:gridCol w:w="1751"/>
        <w:gridCol w:w="1539"/>
        <w:gridCol w:w="1287"/>
        <w:gridCol w:w="214"/>
        <w:gridCol w:w="214"/>
        <w:gridCol w:w="214"/>
        <w:gridCol w:w="214"/>
        <w:gridCol w:w="214"/>
        <w:gridCol w:w="214"/>
        <w:gridCol w:w="1321"/>
        <w:gridCol w:w="1321"/>
        <w:gridCol w:w="1324"/>
        <w:gridCol w:w="109"/>
        <w:gridCol w:w="109"/>
        <w:gridCol w:w="160"/>
      </w:tblGrid>
      <w:tr>
        <w:trPr/>
        <w:tc>
          <w:tcPr>
            <w:tcW w:w="175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SL Green Operating Partnership, L.P.</w:t>
      </w:r>
    </w:p>
    <w:tbl>
      <w:tblPr>
        <w:tblW w:w="10205" w:type="dxa"/>
        <w:jc w:val="center"/>
        <w:tblInd w:w="0" w:type="dxa"/>
        <w:tblLayout w:type="fixed"/>
        <w:tblCellMar>
          <w:top w:w="28" w:type="dxa"/>
          <w:left w:w="28" w:type="dxa"/>
          <w:bottom w:w="28" w:type="dxa"/>
          <w:right w:w="28" w:type="dxa"/>
        </w:tblCellMar>
      </w:tblPr>
      <w:tblGrid>
        <w:gridCol w:w="1657"/>
        <w:gridCol w:w="1458"/>
        <w:gridCol w:w="1462"/>
        <w:gridCol w:w="214"/>
        <w:gridCol w:w="214"/>
        <w:gridCol w:w="214"/>
        <w:gridCol w:w="214"/>
        <w:gridCol w:w="214"/>
        <w:gridCol w:w="214"/>
        <w:gridCol w:w="1321"/>
        <w:gridCol w:w="1321"/>
        <w:gridCol w:w="1324"/>
        <w:gridCol w:w="109"/>
        <w:gridCol w:w="109"/>
        <w:gridCol w:w="160"/>
      </w:tblGrid>
      <w:tr>
        <w:trPr/>
        <w:tc>
          <w:tcPr>
            <w:tcW w:w="165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46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w:t>
      </w:r>
    </w:p>
    <w:p>
      <w:pPr>
        <w:pStyle w:val="TextBody"/>
        <w:bidi w:val="0"/>
        <w:spacing w:lineRule="auto" w:line="288" w:before="160" w:after="160"/>
        <w:jc w:val="left"/>
        <w:rPr/>
      </w:pPr>
      <w:r>
        <w:rPr>
          <w:rFonts w:ascii="Times New Roman;serif" w:hAnsi="Times New Roman;serif"/>
          <w:b w:val="false"/>
          <w:color w:val="000000"/>
          <w:sz w:val="20"/>
        </w:rPr>
        <w:t>SL Green Realty Corp.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SL Green Operating Partnership, L.P.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550"/>
        <w:gridCol w:w="483"/>
        <w:gridCol w:w="485"/>
        <w:gridCol w:w="109"/>
        <w:gridCol w:w="109"/>
        <w:gridCol w:w="109"/>
        <w:gridCol w:w="425"/>
        <w:gridCol w:w="383"/>
        <w:gridCol w:w="385"/>
        <w:gridCol w:w="109"/>
        <w:gridCol w:w="109"/>
        <w:gridCol w:w="109"/>
        <w:gridCol w:w="1497"/>
        <w:gridCol w:w="1284"/>
        <w:gridCol w:w="1272"/>
        <w:gridCol w:w="109"/>
        <w:gridCol w:w="109"/>
        <w:gridCol w:w="109"/>
        <w:gridCol w:w="731"/>
        <w:gridCol w:w="713"/>
        <w:gridCol w:w="1016"/>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 Green Realty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SLG.PRI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6.500% Series I Cumulative Redeemable Preferred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As of October 30, 2025, 71,025,886 shares of SL Green Realty Corp.'s common stock, par value $0.01 per share, were outstanding. As of October 30, 2025, 301,668 common units of limited partnership interest of SL Green Operating Partnership, L.P. were held by non-affiliates. There is no established trading market for such 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period ended September 30, 2025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owns 93.61% of the outstanding general and limited partnership interest in the Operating Partnership and owns 9,200,000 Series I Preferred Units of the Operating Partnership. As of September 30, 2025, noncontrolling investors held, in aggregate, a 6.39% limited partnership interest in the Operating Partnership. We refer to these interests as the noncontrolling interests in the Operating Partnership.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combining the quarterly reports on Form 10-Q of the Company and the Operating Partnership into this single report results in the following benefits: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reports enhance investors' understanding of the Company and the Operating Partnership by enabling investors to view the business as a whole in the same manner as management views and operates the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Combined reports eliminate duplicative disclosure and provides a more streamlined and readable presentation since a substantial portion of the Company's disclosure applies to both the Company and the Operating Partnership;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Combined reports create time and cost efficiencies through the preparation of one combined report instead of two separate reports.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To help investors understand the significant differences between the Company and the Operating Partnership, this report presents the following separate sections for each of the Company and the Operating Partnership: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consolidated financial statements;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following notes to the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11, Noncontrolling Interests on the Company's Consolidated Financial Statements;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 12, Stockholders' Equity of the Company;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Note 13, Partners' Capital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52"/>
        <w:gridCol w:w="484"/>
        <w:gridCol w:w="484"/>
        <w:gridCol w:w="2797"/>
        <w:gridCol w:w="2760"/>
        <w:gridCol w:w="2752"/>
        <w:gridCol w:w="109"/>
        <w:gridCol w:w="109"/>
        <w:gridCol w:w="158"/>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2">
              <w:r>
                <w:rPr>
                  <w:rStyle w:val="InternetLink"/>
                  <w:rFonts w:ascii="Times New Roman;serif" w:hAnsi="Times New Roman;serif"/>
                  <w:b w:val="false"/>
                  <w:color w:val="0000FF"/>
                  <w:sz w:val="20"/>
                  <w:u w:val="single"/>
                </w:rPr>
                <w:t>5</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OF SL GREEN REALTY CORP. (UNAUDITED)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September 30, 2025 and December 31,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2">
              <w:r>
                <w:rPr>
                  <w:rStyle w:val="InternetLink"/>
                  <w:rFonts w:ascii="Times New Roman;serif" w:hAnsi="Times New Roman;serif"/>
                  <w:b w:val="false"/>
                  <w:color w:val="0000FF"/>
                  <w:sz w:val="20"/>
                  <w:u w:val="single"/>
                </w:rPr>
                <w:t>5</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8">
              <w:r>
                <w:rPr>
                  <w:rStyle w:val="InternetLink"/>
                  <w:rFonts w:ascii="Times New Roman;serif" w:hAnsi="Times New Roman;serif"/>
                  <w:b w:val="false"/>
                  <w:color w:val="0000FF"/>
                  <w:sz w:val="20"/>
                  <w:u w:val="single"/>
                </w:rPr>
                <w:t>7</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34">
              <w:r>
                <w:rPr>
                  <w:rStyle w:val="InternetLink"/>
                  <w:rFonts w:ascii="Times New Roman;serif" w:hAnsi="Times New Roman;serif"/>
                  <w:b w:val="false"/>
                  <w:color w:val="0000FF"/>
                  <w:sz w:val="20"/>
                  <w:u w:val="single"/>
                </w:rPr>
                <w:t>8</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Equity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43">
              <w:r>
                <w:rPr>
                  <w:rStyle w:val="InternetLink"/>
                  <w:rFonts w:ascii="Times New Roman;serif" w:hAnsi="Times New Roman;serif"/>
                  <w:b w:val="false"/>
                  <w:color w:val="0000FF"/>
                  <w:sz w:val="20"/>
                  <w:u w:val="single"/>
                </w:rPr>
                <w:t>10</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Statements of Cash Flows for the </w:t>
            </w:r>
            <w:r>
              <w:rPr>
                <w:rFonts w:ascii="Arial;sans-serif" w:hAnsi="Arial;sans-serif"/>
                <w:b w:val="false"/>
                <w:color w:val="000000"/>
                <w:sz w:val="16"/>
              </w:rPr>
              <w:t>nine months ended September 30, 2025</w:t>
            </w:r>
            <w:r>
              <w:rPr>
                <w:color w:val="000000"/>
              </w:rPr>
              <w:t xml:space="preserve"> </w:t>
            </w:r>
            <w:r>
              <w:rPr>
                <w:rFonts w:ascii="Times New Roman;serif" w:hAnsi="Times New Roman;serif"/>
                <w:b w:val="false"/>
                <w:color w:val="000000"/>
                <w:sz w:val="20"/>
              </w:rPr>
              <w:t>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46">
              <w:r>
                <w:rPr>
                  <w:rStyle w:val="InternetLink"/>
                  <w:rFonts w:ascii="Times New Roman;serif" w:hAnsi="Times New Roman;serif"/>
                  <w:b w:val="false"/>
                  <w:color w:val="0000FF"/>
                  <w:sz w:val="20"/>
                  <w:u w:val="single"/>
                </w:rPr>
                <w:t>11</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OF SL GREEN OPERATING PARTNERSHIP, L.P. (UNAUDITED)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September 30, 2025 and December 31,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52">
              <w:r>
                <w:rPr>
                  <w:rStyle w:val="InternetLink"/>
                  <w:rFonts w:ascii="Times New Roman;serif" w:hAnsi="Times New Roman;serif"/>
                  <w:b w:val="false"/>
                  <w:color w:val="0000FF"/>
                  <w:sz w:val="20"/>
                  <w:u w:val="single"/>
                </w:rPr>
                <w:t>14</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58">
              <w:r>
                <w:rPr>
                  <w:rStyle w:val="InternetLink"/>
                  <w:rFonts w:ascii="Times New Roman;serif" w:hAnsi="Times New Roman;serif"/>
                  <w:b w:val="false"/>
                  <w:color w:val="0000FF"/>
                  <w:sz w:val="20"/>
                  <w:u w:val="single"/>
                </w:rPr>
                <w:t>16</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(Loss)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64">
              <w:r>
                <w:rPr>
                  <w:rStyle w:val="InternetLink"/>
                  <w:rFonts w:ascii="Times New Roman;serif" w:hAnsi="Times New Roman;serif"/>
                  <w:b w:val="false"/>
                  <w:color w:val="0000FF"/>
                  <w:sz w:val="20"/>
                  <w:u w:val="single"/>
                </w:rPr>
                <w:t>17</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Capital for the three and nine months ended September 30, 2025 and 2024</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73">
              <w:r>
                <w:rPr>
                  <w:rStyle w:val="InternetLink"/>
                  <w:rFonts w:ascii="Times New Roman;serif" w:hAnsi="Times New Roman;serif"/>
                  <w:b w:val="false"/>
                  <w:color w:val="0000FF"/>
                  <w:sz w:val="20"/>
                  <w:u w:val="single"/>
                </w:rPr>
                <w:t>19</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Cash Flows for the nine months ended September 30, 2025 and 2024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76">
              <w:r>
                <w:rPr>
                  <w:rStyle w:val="InternetLink"/>
                  <w:rFonts w:ascii="Times New Roman;serif" w:hAnsi="Times New Roman;serif"/>
                  <w:b w:val="false"/>
                  <w:color w:val="0000FF"/>
                  <w:sz w:val="20"/>
                  <w:u w:val="single"/>
                </w:rPr>
                <w:t>20</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82">
              <w:r>
                <w:rPr>
                  <w:rStyle w:val="InternetLink"/>
                  <w:rFonts w:ascii="Times New Roman;serif" w:hAnsi="Times New Roman;serif"/>
                  <w:b w:val="false"/>
                  <w:color w:val="0000FF"/>
                  <w:sz w:val="20"/>
                  <w:u w:val="single"/>
                </w:rPr>
                <w:t>23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166">
              <w:r>
                <w:rPr>
                  <w:rStyle w:val="InternetLink"/>
                  <w:rFonts w:ascii="Times New Roman;serif" w:hAnsi="Times New Roman;serif"/>
                  <w:b w:val="false"/>
                  <w:strike w:val="false"/>
                  <w:dstrike w:val="false"/>
                  <w:color w:val="000000"/>
                  <w:sz w:val="20"/>
                  <w:u w:val="none"/>
                  <w:effect w:val="none"/>
                </w:rPr>
                <w:t>Item 2.</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166">
              <w:r>
                <w:rPr>
                  <w:rStyle w:val="InternetLink"/>
                  <w:rFonts w:ascii="Times New Roman;serif" w:hAnsi="Times New Roman;serif"/>
                  <w:b w:val="false"/>
                  <w:color w:val="0000FF"/>
                  <w:sz w:val="20"/>
                  <w:u w:val="single"/>
                </w:rPr>
                <w:t>65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29">
              <w:r>
                <w:rPr>
                  <w:rStyle w:val="InternetLink"/>
                  <w:rFonts w:ascii="Times New Roman;serif" w:hAnsi="Times New Roman;serif"/>
                  <w:b w:val="false"/>
                  <w:strike w:val="false"/>
                  <w:dstrike w:val="false"/>
                  <w:color w:val="000000"/>
                  <w:sz w:val="20"/>
                  <w:u w:val="none"/>
                  <w:effect w:val="none"/>
                </w:rPr>
                <w:t>Item 3.</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29">
              <w:r>
                <w:rPr>
                  <w:rStyle w:val="InternetLink"/>
                  <w:rFonts w:ascii="Times New Roman;serif" w:hAnsi="Times New Roman;serif"/>
                  <w:b w:val="false"/>
                  <w:color w:val="0000FF"/>
                  <w:sz w:val="20"/>
                  <w:u w:val="single"/>
                </w:rPr>
                <w:t>82</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32">
              <w:r>
                <w:rPr>
                  <w:rStyle w:val="InternetLink"/>
                  <w:rFonts w:ascii="Times New Roman;serif" w:hAnsi="Times New Roman;serif"/>
                  <w:b w:val="false"/>
                  <w:strike w:val="false"/>
                  <w:dstrike w:val="false"/>
                  <w:color w:val="000000"/>
                  <w:sz w:val="20"/>
                  <w:u w:val="none"/>
                  <w:effect w:val="none"/>
                </w:rPr>
                <w:t>Item 4.</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 (SL Green Realty Corp. and SL Green Operating Partnership, L.P.)</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32">
              <w:r>
                <w:rPr>
                  <w:rStyle w:val="InternetLink"/>
                  <w:rFonts w:ascii="Times New Roman;serif" w:hAnsi="Times New Roman;serif"/>
                  <w:b w:val="false"/>
                  <w:color w:val="0000FF"/>
                  <w:sz w:val="20"/>
                  <w:u w:val="single"/>
                </w:rPr>
                <w:t>83</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38">
              <w:r>
                <w:rPr>
                  <w:rStyle w:val="InternetLink"/>
                  <w:rFonts w:ascii="Times New Roman;serif" w:hAnsi="Times New Roman;serif"/>
                  <w:b w:val="false"/>
                  <w:strike w:val="false"/>
                  <w:dstrike w:val="false"/>
                  <w:color w:val="000000"/>
                  <w:sz w:val="20"/>
                  <w:u w:val="none"/>
                  <w:effect w:val="none"/>
                </w:rPr>
                <w:t>Item 1.</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38">
              <w:r>
                <w:rPr>
                  <w:rStyle w:val="InternetLink"/>
                  <w:rFonts w:ascii="Times New Roman;serif" w:hAnsi="Times New Roman;serif"/>
                  <w:b w:val="false"/>
                  <w:color w:val="0000FF"/>
                  <w:sz w:val="20"/>
                  <w:u w:val="single"/>
                </w:rPr>
                <w:t>84</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41">
              <w:r>
                <w:rPr>
                  <w:rStyle w:val="InternetLink"/>
                  <w:rFonts w:ascii="Times New Roman;serif" w:hAnsi="Times New Roman;serif"/>
                  <w:b w:val="false"/>
                  <w:strike w:val="false"/>
                  <w:dstrike w:val="false"/>
                  <w:color w:val="000000"/>
                  <w:sz w:val="20"/>
                  <w:u w:val="none"/>
                  <w:effect w:val="none"/>
                </w:rPr>
                <w:t>Item 1A.</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41">
              <w:r>
                <w:rPr>
                  <w:rStyle w:val="InternetLink"/>
                  <w:rFonts w:ascii="Times New Roman;serif" w:hAnsi="Times New Roman;serif"/>
                  <w:b w:val="false"/>
                  <w:color w:val="0000FF"/>
                  <w:sz w:val="20"/>
                  <w:u w:val="single"/>
                </w:rPr>
                <w:t>84</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44">
              <w:r>
                <w:rPr>
                  <w:rStyle w:val="InternetLink"/>
                  <w:rFonts w:ascii="Times New Roman;serif" w:hAnsi="Times New Roman;serif"/>
                  <w:b w:val="false"/>
                  <w:strike w:val="false"/>
                  <w:dstrike w:val="false"/>
                  <w:color w:val="000000"/>
                  <w:sz w:val="20"/>
                  <w:u w:val="none"/>
                  <w:effect w:val="none"/>
                </w:rPr>
                <w:t>Item 2.</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44">
              <w:r>
                <w:rPr>
                  <w:rStyle w:val="InternetLink"/>
                  <w:rFonts w:ascii="Times New Roman;serif" w:hAnsi="Times New Roman;serif"/>
                  <w:b w:val="false"/>
                  <w:color w:val="0000FF"/>
                  <w:sz w:val="20"/>
                  <w:u w:val="single"/>
                </w:rPr>
                <w:t>85</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47">
              <w:r>
                <w:rPr>
                  <w:rStyle w:val="InternetLink"/>
                  <w:rFonts w:ascii="Times New Roman;serif" w:hAnsi="Times New Roman;serif"/>
                  <w:b w:val="false"/>
                  <w:strike w:val="false"/>
                  <w:dstrike w:val="false"/>
                  <w:color w:val="000000"/>
                  <w:sz w:val="20"/>
                  <w:u w:val="none"/>
                  <w:effect w:val="none"/>
                </w:rPr>
                <w:t>Item 3.</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47">
              <w:r>
                <w:rPr>
                  <w:rStyle w:val="InternetLink"/>
                  <w:rFonts w:ascii="Times New Roman;serif" w:hAnsi="Times New Roman;serif"/>
                  <w:b w:val="false"/>
                  <w:color w:val="0000FF"/>
                  <w:sz w:val="20"/>
                  <w:u w:val="single"/>
                </w:rPr>
                <w:t>86</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50">
              <w:r>
                <w:rPr>
                  <w:rStyle w:val="InternetLink"/>
                  <w:rFonts w:ascii="Times New Roman;serif" w:hAnsi="Times New Roman;serif"/>
                  <w:b w:val="false"/>
                  <w:strike w:val="false"/>
                  <w:dstrike w:val="false"/>
                  <w:color w:val="000000"/>
                  <w:sz w:val="20"/>
                  <w:u w:val="none"/>
                  <w:effect w:val="none"/>
                </w:rPr>
                <w:t>Item 4.</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50">
              <w:r>
                <w:rPr>
                  <w:rStyle w:val="InternetLink"/>
                  <w:rFonts w:ascii="Times New Roman;serif" w:hAnsi="Times New Roman;serif"/>
                  <w:b w:val="false"/>
                  <w:color w:val="0000FF"/>
                  <w:sz w:val="20"/>
                  <w:u w:val="single"/>
                </w:rPr>
                <w:t>87</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53">
              <w:r>
                <w:rPr>
                  <w:rStyle w:val="InternetLink"/>
                  <w:rFonts w:ascii="Times New Roman;serif" w:hAnsi="Times New Roman;serif"/>
                  <w:b w:val="false"/>
                  <w:strike w:val="false"/>
                  <w:dstrike w:val="false"/>
                  <w:color w:val="000000"/>
                  <w:sz w:val="20"/>
                  <w:u w:val="none"/>
                  <w:effect w:val="none"/>
                </w:rPr>
                <w:t>Item 5.</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53">
              <w:r>
                <w:rPr>
                  <w:rStyle w:val="InternetLink"/>
                  <w:rFonts w:ascii="Times New Roman;serif" w:hAnsi="Times New Roman;serif"/>
                  <w:b w:val="false"/>
                  <w:color w:val="0000FF"/>
                  <w:sz w:val="20"/>
                  <w:u w:val="single"/>
                </w:rPr>
                <w:t>88</w:t>
              </w:r>
            </w:hyperlink>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775101d6dd44ad8139a92facdbe087_256">
              <w:r>
                <w:rPr>
                  <w:rStyle w:val="InternetLink"/>
                  <w:rFonts w:ascii="Times New Roman;serif" w:hAnsi="Times New Roman;serif"/>
                  <w:b w:val="false"/>
                  <w:strike w:val="false"/>
                  <w:dstrike w:val="false"/>
                  <w:color w:val="000000"/>
                  <w:sz w:val="20"/>
                  <w:u w:val="none"/>
                  <w:effect w:val="none"/>
                </w:rPr>
                <w:t>Item 6.</w:t>
              </w:r>
            </w:hyperlink>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56">
              <w:r>
                <w:rPr>
                  <w:rStyle w:val="InternetLink"/>
                  <w:rFonts w:ascii="Times New Roman;serif" w:hAnsi="Times New Roman;serif"/>
                  <w:b w:val="false"/>
                  <w:color w:val="0000FF"/>
                  <w:sz w:val="20"/>
                  <w:u w:val="single"/>
                </w:rPr>
                <w:t>89</w:t>
              </w:r>
            </w:hyperlink>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775101d6dd44ad8139a92facdbe087_259">
              <w:r>
                <w:rPr>
                  <w:rStyle w:val="InternetLink"/>
                  <w:rFonts w:ascii="Times New Roman;serif" w:hAnsi="Times New Roman;serif"/>
                  <w:b w:val="false"/>
                  <w:color w:val="0000FF"/>
                  <w:sz w:val="20"/>
                  <w:u w:val="single"/>
                </w:rPr>
                <w:t>90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588"/>
        <w:gridCol w:w="2183"/>
        <w:gridCol w:w="2204"/>
        <w:gridCol w:w="221"/>
        <w:gridCol w:w="1103"/>
        <w:gridCol w:w="122"/>
        <w:gridCol w:w="109"/>
        <w:gridCol w:w="109"/>
        <w:gridCol w:w="109"/>
        <w:gridCol w:w="217"/>
        <w:gridCol w:w="1066"/>
        <w:gridCol w:w="174"/>
      </w:tblGrid>
      <w:tr>
        <w:trPr/>
        <w:tc>
          <w:tcPr>
            <w:tcW w:w="258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properties, at cost:</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Land and land interests</w:t>
            </w:r>
            <w:r>
              <w:rPr>
                <w:color w:val="000000"/>
              </w:rPr>
              <w:t xml:space="preserv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1,627,895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1,357,041 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and improvements</w:t>
            </w:r>
            <w:r>
              <w:rPr>
                <w:color w:val="000000"/>
              </w:rPr>
              <w:t xml:space="preserve">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4,082,434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3,862,224 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leasehold and improvements</w:t>
            </w:r>
            <w:r>
              <w:rPr>
                <w:color w:val="000000"/>
              </w:rPr>
              <w:t xml:space="preserve"> </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1,424,907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7,135,236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6,607,741 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accumulated depreciation</w:t>
            </w:r>
            <w:r>
              <w:rPr>
                <w:color w:val="000000"/>
              </w:rPr>
              <w:t xml:space="preserve"> </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(2,266,042)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(2,126,081)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4,869,194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4,481,660 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187,039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170,004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16,099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136,787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15,287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268,770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 of discounts and deferred origination fees of $209 and $1,618 and allowances of $454 and $13,520 in 2025 and 2024, respectively</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2,627,443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2,690,138 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fund investments, at fair value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73,402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costs, net of amortization of $180,831 and $308,923, respectively</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117,054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869,929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(includes $1,013,273 and $584,134 at fair value as of September 30, 2025 and December 31, 2024, respectively)</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608,444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assets </w:t>
            </w:r>
            <w:r>
              <w:rPr>
                <w:rFonts w:ascii="Times New Roman;serif" w:hAnsi="Times New Roman;serif"/>
                <w:b w:val="false"/>
                <w:color w:val="000000"/>
                <w:sz w:val="12"/>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11,144,137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10,470,099 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2,280,095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387,407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 net</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1,147,274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notes,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99,974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17,803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 (includes $1,013,273 and $567,487 at fair value as of September 30, 2025 and December 31, 2024, respectively)</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387,641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140,232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164,132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financing leases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107,846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809,665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and distributions payable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21,942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65,356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deferrable interest debentures held by trusts that issued trust preferred securities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liabilities </w:t>
            </w:r>
            <w:r>
              <w:rPr>
                <w:rFonts w:ascii="Times New Roman;serif" w:hAnsi="Times New Roman;serif"/>
                <w:b w:val="false"/>
                <w:color w:val="000000"/>
                <w:sz w:val="12"/>
              </w:rPr>
              <w:t>(1)</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6,742,640</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5,915,143 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244"/>
        <w:gridCol w:w="1903"/>
        <w:gridCol w:w="1908"/>
        <w:gridCol w:w="282"/>
        <w:gridCol w:w="1406"/>
        <w:gridCol w:w="156"/>
        <w:gridCol w:w="145"/>
        <w:gridCol w:w="145"/>
        <w:gridCol w:w="145"/>
        <w:gridCol w:w="278"/>
        <w:gridCol w:w="1368"/>
        <w:gridCol w:w="225"/>
      </w:tblGrid>
      <w:tr>
        <w:trPr/>
        <w:tc>
          <w:tcPr>
            <w:tcW w:w="2244"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19)</w:t>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Operating Partnership</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280,873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and redeemable equity</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194,392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Equity</w:t>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 Green stockholders' equity:</w:t>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I Preferred Stock, $0.01 par value, $25.00 liquidation preference, 9,200 issued and outstanding at both September 30, 2025 and December 31, 2024</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221,932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160,000 shares authorized and 71,028 and 71,097 issued and outstanding at September 30, 2025 and December 31, 2024, respectively</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4,205,443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4,159,562 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(634,653)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SL Green stockholders' equity</w:t>
            </w:r>
          </w:p>
        </w:tc>
        <w:tc>
          <w:tcPr>
            <w:tcW w:w="1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3,773,648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3,951,300 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152,584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118,651 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6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3,926,232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4,069,951 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11,144,137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10,470,099 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Company's consolidated balance sheets include assets and liabilities of consolidated variable interest entities ("VIEs"). See Note 2. The consolidated balance sheets include the following amounts related to our consolidated VIEs, excluding the Operating Partnership: $416.1 million and $236.7 million of land, $357.7 million and $159.1 million of building and improvements, $— million and $— million of building and leasehold improvements, $— million and $— million of right of use assets, $11.9 million and $4.1 million of accumulated depreciation, $73.4 million and $— of debt fund investments, $1,013.3 million and $709.1 million of real estate loans held by consolidated securitization vehicles, $879.3 million and $830.3 million of other assets included in other line items, $632.3 million and $357.9 million of real estate debt, net, $1.5 million and $1.1 million of accrued interest payable, $— million and $— million of lease liabilities, $1,013.3 million and $590.1 million of senior obligations of consolidated securitization vehicles and $304.4 million and $324.8 million of other liabilities included in other line items as of September 30, 2025 and December 31, 2024, respectively.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6"/>
        <w:gridCol w:w="1289"/>
        <w:gridCol w:w="1297"/>
        <w:gridCol w:w="109"/>
        <w:gridCol w:w="109"/>
        <w:gridCol w:w="109"/>
        <w:gridCol w:w="215"/>
        <w:gridCol w:w="826"/>
        <w:gridCol w:w="119"/>
        <w:gridCol w:w="119"/>
        <w:gridCol w:w="119"/>
        <w:gridCol w:w="119"/>
        <w:gridCol w:w="215"/>
        <w:gridCol w:w="809"/>
        <w:gridCol w:w="119"/>
        <w:gridCol w:w="109"/>
        <w:gridCol w:w="109"/>
        <w:gridCol w:w="109"/>
        <w:gridCol w:w="211"/>
        <w:gridCol w:w="810"/>
        <w:gridCol w:w="117"/>
        <w:gridCol w:w="117"/>
        <w:gridCol w:w="117"/>
        <w:gridCol w:w="117"/>
        <w:gridCol w:w="211"/>
        <w:gridCol w:w="794"/>
        <w:gridCol w:w="175"/>
      </w:tblGrid>
      <w:tr>
        <w:trPr/>
        <w:tc>
          <w:tcPr>
            <w:tcW w:w="163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168,536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496,792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32,883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86,424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4,356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26,809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10,838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47,868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28,204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68,686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244,817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726,579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 including related party expenses of $6 and $9 in 2025, and $0 and $2 in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57,673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164,840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37,627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112,594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18,317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35,959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82,570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47,235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138,234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10,838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45,827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63,216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187,874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(71,326)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13,129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13,601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23,701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67,004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298,487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767,469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(30,892)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86,872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84,926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11,138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 Green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28,612</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3,920</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(11,213)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 Green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24,874</w:t>
            </w: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(7,293)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70,443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70,434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Diluted weighted average common shares and common share equivalents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71,148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70,434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671"/>
        <w:gridCol w:w="1450"/>
        <w:gridCol w:w="1351"/>
        <w:gridCol w:w="109"/>
        <w:gridCol w:w="109"/>
        <w:gridCol w:w="109"/>
        <w:gridCol w:w="216"/>
        <w:gridCol w:w="732"/>
        <w:gridCol w:w="120"/>
        <w:gridCol w:w="120"/>
        <w:gridCol w:w="120"/>
        <w:gridCol w:w="120"/>
        <w:gridCol w:w="216"/>
        <w:gridCol w:w="765"/>
        <w:gridCol w:w="120"/>
        <w:gridCol w:w="109"/>
        <w:gridCol w:w="109"/>
        <w:gridCol w:w="109"/>
        <w:gridCol w:w="210"/>
        <w:gridCol w:w="742"/>
        <w:gridCol w:w="117"/>
        <w:gridCol w:w="117"/>
        <w:gridCol w:w="117"/>
        <w:gridCol w:w="117"/>
        <w:gridCol w:w="210"/>
        <w:gridCol w:w="742"/>
        <w:gridCol w:w="178"/>
      </w:tblGrid>
      <w:tr>
        <w:trPr/>
        <w:tc>
          <w:tcPr>
            <w:tcW w:w="167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unrealized value of derivative instruments, including SL Green's share of joint venture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unrealized value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(40,626)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31,472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(33,827)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and preferred units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SL Green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25,152</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(77,220)</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(34,060)</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(35,870)</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1929" w:type="dxa"/>
        <w:jc w:val="center"/>
        <w:tblInd w:w="0" w:type="dxa"/>
        <w:tblLayout w:type="fixed"/>
        <w:tblCellMar>
          <w:top w:w="28" w:type="dxa"/>
          <w:left w:w="28" w:type="dxa"/>
          <w:bottom w:w="28" w:type="dxa"/>
          <w:right w:w="28" w:type="dxa"/>
        </w:tblCellMar>
      </w:tblPr>
      <w:tblGrid>
        <w:gridCol w:w="579"/>
        <w:gridCol w:w="234"/>
        <w:gridCol w:w="193"/>
        <w:gridCol w:w="109"/>
        <w:gridCol w:w="109"/>
        <w:gridCol w:w="109"/>
        <w:gridCol w:w="181"/>
        <w:gridCol w:w="616"/>
        <w:gridCol w:w="109"/>
        <w:gridCol w:w="109"/>
        <w:gridCol w:w="109"/>
        <w:gridCol w:w="109"/>
        <w:gridCol w:w="270"/>
        <w:gridCol w:w="271"/>
        <w:gridCol w:w="151"/>
        <w:gridCol w:w="109"/>
        <w:gridCol w:w="109"/>
        <w:gridCol w:w="109"/>
        <w:gridCol w:w="181"/>
        <w:gridCol w:w="361"/>
        <w:gridCol w:w="109"/>
        <w:gridCol w:w="109"/>
        <w:gridCol w:w="109"/>
        <w:gridCol w:w="109"/>
        <w:gridCol w:w="181"/>
        <w:gridCol w:w="721"/>
        <w:gridCol w:w="109"/>
        <w:gridCol w:w="109"/>
        <w:gridCol w:w="109"/>
        <w:gridCol w:w="109"/>
        <w:gridCol w:w="181"/>
        <w:gridCol w:w="631"/>
        <w:gridCol w:w="109"/>
        <w:gridCol w:w="109"/>
        <w:gridCol w:w="109"/>
        <w:gridCol w:w="109"/>
        <w:gridCol w:w="195"/>
        <w:gridCol w:w="602"/>
        <w:gridCol w:w="119"/>
        <w:gridCol w:w="109"/>
        <w:gridCol w:w="109"/>
        <w:gridCol w:w="109"/>
        <w:gridCol w:w="181"/>
        <w:gridCol w:w="631"/>
        <w:gridCol w:w="109"/>
        <w:gridCol w:w="109"/>
        <w:gridCol w:w="109"/>
        <w:gridCol w:w="109"/>
        <w:gridCol w:w="181"/>
        <w:gridCol w:w="616"/>
        <w:gridCol w:w="109"/>
        <w:gridCol w:w="109"/>
        <w:gridCol w:w="109"/>
        <w:gridCol w:w="109"/>
        <w:gridCol w:w="181"/>
        <w:gridCol w:w="721"/>
        <w:gridCol w:w="154"/>
      </w:tblGrid>
      <w:tr>
        <w:trPr/>
        <w:tc>
          <w:tcPr>
            <w:tcW w:w="5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($0.773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3,926,232 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64,814 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3,836,751 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3,757,761 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noncontrolling interest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($0.750 per common share,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65,235 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3,866,088 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(376,435)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3,620,005 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1929" w:type="dxa"/>
        <w:jc w:val="center"/>
        <w:tblInd w:w="0" w:type="dxa"/>
        <w:tblLayout w:type="fixed"/>
        <w:tblCellMar>
          <w:top w:w="28" w:type="dxa"/>
          <w:left w:w="28" w:type="dxa"/>
          <w:bottom w:w="28" w:type="dxa"/>
          <w:right w:w="28" w:type="dxa"/>
        </w:tblCellMar>
      </w:tblPr>
      <w:tblGrid>
        <w:gridCol w:w="565"/>
        <w:gridCol w:w="220"/>
        <w:gridCol w:w="221"/>
        <w:gridCol w:w="109"/>
        <w:gridCol w:w="109"/>
        <w:gridCol w:w="109"/>
        <w:gridCol w:w="181"/>
        <w:gridCol w:w="616"/>
        <w:gridCol w:w="109"/>
        <w:gridCol w:w="109"/>
        <w:gridCol w:w="109"/>
        <w:gridCol w:w="109"/>
        <w:gridCol w:w="270"/>
        <w:gridCol w:w="271"/>
        <w:gridCol w:w="151"/>
        <w:gridCol w:w="109"/>
        <w:gridCol w:w="109"/>
        <w:gridCol w:w="109"/>
        <w:gridCol w:w="181"/>
        <w:gridCol w:w="361"/>
        <w:gridCol w:w="109"/>
        <w:gridCol w:w="109"/>
        <w:gridCol w:w="109"/>
        <w:gridCol w:w="109"/>
        <w:gridCol w:w="181"/>
        <w:gridCol w:w="721"/>
        <w:gridCol w:w="109"/>
        <w:gridCol w:w="109"/>
        <w:gridCol w:w="109"/>
        <w:gridCol w:w="109"/>
        <w:gridCol w:w="181"/>
        <w:gridCol w:w="631"/>
        <w:gridCol w:w="109"/>
        <w:gridCol w:w="109"/>
        <w:gridCol w:w="109"/>
        <w:gridCol w:w="109"/>
        <w:gridCol w:w="195"/>
        <w:gridCol w:w="602"/>
        <w:gridCol w:w="119"/>
        <w:gridCol w:w="109"/>
        <w:gridCol w:w="109"/>
        <w:gridCol w:w="109"/>
        <w:gridCol w:w="181"/>
        <w:gridCol w:w="631"/>
        <w:gridCol w:w="109"/>
        <w:gridCol w:w="109"/>
        <w:gridCol w:w="109"/>
        <w:gridCol w:w="109"/>
        <w:gridCol w:w="181"/>
        <w:gridCol w:w="616"/>
        <w:gridCol w:w="109"/>
        <w:gridCol w:w="109"/>
        <w:gridCol w:w="109"/>
        <w:gridCol w:w="109"/>
        <w:gridCol w:w="181"/>
        <w:gridCol w:w="721"/>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4,069,951 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($2.318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3,926,232 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7"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Realty Corp.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Series I</w:t>
              <w:b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w:t>
              <w:br/>
              <w:t>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64,726 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3,826,452 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3,855,925 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(44,785)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units in the Operating Partnership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noncontrolling interest in the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stock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Consolidation of joint venture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($2.250 per common share,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65,235 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3,866,088 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(376,435)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3,620,005 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9793" w:type="dxa"/>
        <w:jc w:val="center"/>
        <w:tblInd w:w="0" w:type="dxa"/>
        <w:tblLayout w:type="fixed"/>
        <w:tblCellMar>
          <w:top w:w="28" w:type="dxa"/>
          <w:left w:w="28" w:type="dxa"/>
          <w:bottom w:w="28" w:type="dxa"/>
          <w:right w:w="28" w:type="dxa"/>
        </w:tblCellMar>
      </w:tblPr>
      <w:tblGrid>
        <w:gridCol w:w="2512"/>
        <w:gridCol w:w="2212"/>
        <w:gridCol w:w="2221"/>
        <w:gridCol w:w="254"/>
        <w:gridCol w:w="740"/>
        <w:gridCol w:w="141"/>
        <w:gridCol w:w="141"/>
        <w:gridCol w:w="141"/>
        <w:gridCol w:w="141"/>
        <w:gridCol w:w="254"/>
        <w:gridCol w:w="837"/>
        <w:gridCol w:w="199"/>
      </w:tblGrid>
      <w:tr>
        <w:trPr/>
        <w:tc>
          <w:tcPr>
            <w:tcW w:w="251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193,027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(income) from unconsolidated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30,892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cumulative earnings from unconsolidated joint ventures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(84,926)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8,546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reserves and other investment reserves, net of recoveries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(71,326)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15,879</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non-cash adjustments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33,126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(4,551)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11,677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other liabilities and security deposits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(10,940)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54,420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 property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(110,380)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land, buildings and improvements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(182,952)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deposits and deferred purchase price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(145,583)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(371,948)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cumulative earnings from unconsolidated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93,722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real estate/joint venture interest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212,168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assumed from consolidation of real estate investment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60,107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(41,413)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loans held by consolidated securitization vehicles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(49,296)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(108,893)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real estate loans held by consolidated securitization vehicles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(231,704)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real estate loans held by consolidated securitization vehicles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430,000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or purchase of debt fund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(49,509)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or redemption of debt fund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debt and preferred equity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(13,073)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8635" w:type="dxa"/>
        <w:jc w:val="center"/>
        <w:tblInd w:w="0" w:type="dxa"/>
        <w:tblLayout w:type="fixed"/>
        <w:tblCellMar>
          <w:top w:w="28" w:type="dxa"/>
          <w:left w:w="28" w:type="dxa"/>
          <w:bottom w:w="28" w:type="dxa"/>
          <w:right w:w="28" w:type="dxa"/>
        </w:tblCellMar>
      </w:tblPr>
      <w:tblGrid>
        <w:gridCol w:w="2097"/>
        <w:gridCol w:w="1840"/>
        <w:gridCol w:w="1853"/>
        <w:gridCol w:w="226"/>
        <w:gridCol w:w="867"/>
        <w:gridCol w:w="125"/>
        <w:gridCol w:w="125"/>
        <w:gridCol w:w="125"/>
        <w:gridCol w:w="125"/>
        <w:gridCol w:w="226"/>
        <w:gridCol w:w="849"/>
        <w:gridCol w:w="177"/>
      </w:tblGrid>
      <w:tr>
        <w:trPr/>
        <w:tc>
          <w:tcPr>
            <w:tcW w:w="2097"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or redemption of debt and preferred equity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(41,101)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mortgages and other loans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104,403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mortgages and other loans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term loans and unsecured notes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660,000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term loans and unsecured notes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(590,000)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DRSPP issuance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other partnerships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in other partnerships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4,635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the Operating Partnership</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to debt fund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common and preferred stock</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(180,982)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(162,787)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share awards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(13,744)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costs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year</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331,638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357,043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preferred equity investment for real estate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138,954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adjustment for redeemable noncontrolling interest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14,815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partner loan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15,632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joint venture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a subsidiary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mortgage loan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subsidiary interest from noncontrolling interest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51,654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to debt fund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38,422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consolidated joint venture interest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Extinguishment of debt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Removal of fully depreciated commercial real estate properties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sale of unconsolidated joint venture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86,635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 repurchase or redemption payable </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receivable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lease liabilities arising from obtaining right-of-use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20,169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828,143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828,143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p>
      <w:pPr>
        <w:pStyle w:val="TextBody"/>
        <w:bidi w:val="0"/>
        <w:spacing w:lineRule="auto" w:line="288" w:before="20" w:after="283"/>
        <w:jc w:val="both"/>
        <w:rPr>
          <w:color w:val="000000"/>
        </w:rPr>
      </w:pPr>
      <w:r>
        <w:rPr>
          <w:color w:val="000000"/>
        </w:rPr>
        <w:t>    </w:t>
      </w: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6324" w:type="dxa"/>
        <w:jc w:val="center"/>
        <w:tblInd w:w="0" w:type="dxa"/>
        <w:tblLayout w:type="fixed"/>
        <w:tblCellMar>
          <w:top w:w="28" w:type="dxa"/>
          <w:left w:w="28" w:type="dxa"/>
          <w:bottom w:w="28" w:type="dxa"/>
          <w:right w:w="28" w:type="dxa"/>
        </w:tblCellMar>
      </w:tblPr>
      <w:tblGrid>
        <w:gridCol w:w="1262"/>
        <w:gridCol w:w="1105"/>
        <w:gridCol w:w="1112"/>
        <w:gridCol w:w="226"/>
        <w:gridCol w:w="867"/>
        <w:gridCol w:w="125"/>
        <w:gridCol w:w="125"/>
        <w:gridCol w:w="125"/>
        <w:gridCol w:w="125"/>
        <w:gridCol w:w="226"/>
        <w:gridCol w:w="849"/>
        <w:gridCol w:w="177"/>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187,039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170,004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357,043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center"/>
        <w:rPr/>
      </w:pPr>
      <w:r>
        <w:rPr/>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88"/>
        <w:gridCol w:w="2183"/>
        <w:gridCol w:w="2204"/>
        <w:gridCol w:w="221"/>
        <w:gridCol w:w="1103"/>
        <w:gridCol w:w="122"/>
        <w:gridCol w:w="109"/>
        <w:gridCol w:w="109"/>
        <w:gridCol w:w="109"/>
        <w:gridCol w:w="217"/>
        <w:gridCol w:w="1066"/>
        <w:gridCol w:w="174"/>
      </w:tblGrid>
      <w:tr>
        <w:trPr/>
        <w:tc>
          <w:tcPr>
            <w:tcW w:w="258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properties, at cost:</w:t>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Land and land interests</w:t>
            </w:r>
            <w:r>
              <w:rPr>
                <w:color w:val="000000"/>
              </w:rPr>
              <w:t xml:space="preserv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1,627,895</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1,357,041 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and improvements</w:t>
            </w:r>
            <w:r>
              <w:rPr>
                <w:color w:val="000000"/>
              </w:rPr>
              <w:t xml:space="preserve">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4,082,434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3,862,224 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Building leasehold and improvements</w:t>
            </w:r>
            <w:r>
              <w:rPr>
                <w:color w:val="000000"/>
              </w:rPr>
              <w:t xml:space="preserve"> </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1,424,907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1,388,476 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7,135,236</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6,607,741 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accumulated depreciation</w:t>
            </w:r>
            <w:r>
              <w:rPr>
                <w:color w:val="000000"/>
              </w:rPr>
              <w:t xml:space="preserve"> </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(2,266,042)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(2,126,081)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4,869,194</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4,481,660 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187,039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170,004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147,344 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16,099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136,787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15,287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268,770</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 of discounts and deferred origination fees of $209 and $1,618 and allowances of $454 and $13,520 in 2025 and 2024, respectively</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2,627,443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2,690,138 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fund investments, at fair value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73,402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costs, net of amortization of $180,831 and $308,923, respectively</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117,054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117,132 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 operating leases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869,929</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(includes $1,013,273 and $584,134 at fair value as of September 30, 2025 and December 31, 2024, respectively)</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608,444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assets </w:t>
            </w:r>
            <w:r>
              <w:rPr>
                <w:rFonts w:ascii="Times New Roman;serif" w:hAnsi="Times New Roman;serif"/>
                <w:b w:val="false"/>
                <w:color w:val="000000"/>
                <w:sz w:val="12"/>
              </w:rPr>
              <w:t>(1)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11,144,137</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10,470,099 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2,280,095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387,407</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 net</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1,147,274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notes, net</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99,974</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payable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17,803</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 (includes $1,013,273 and $567,487 at fair value as of September 30, 2025 and December 31, 2024, respectively)</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387,641</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140,232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164,132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financing leases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107,846</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809,665</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and distributions payable</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21,942</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w:t>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65,356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deferrable interest debentures held by trusts that issued trust preferred securities</w:t>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liabilities </w:t>
            </w:r>
            <w:r>
              <w:rPr>
                <w:rFonts w:ascii="Times New Roman;serif" w:hAnsi="Times New Roman;serif"/>
                <w:b w:val="false"/>
                <w:color w:val="000000"/>
                <w:sz w:val="12"/>
              </w:rPr>
              <w:t>(1)</w:t>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6,742,640</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5,915,143 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07"/>
        <w:gridCol w:w="1958"/>
        <w:gridCol w:w="1963"/>
        <w:gridCol w:w="270"/>
        <w:gridCol w:w="1345"/>
        <w:gridCol w:w="150"/>
        <w:gridCol w:w="140"/>
        <w:gridCol w:w="140"/>
        <w:gridCol w:w="140"/>
        <w:gridCol w:w="267"/>
        <w:gridCol w:w="1311"/>
        <w:gridCol w:w="214"/>
      </w:tblGrid>
      <w:tr>
        <w:trPr/>
        <w:tc>
          <w:tcPr>
            <w:tcW w:w="2307"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19)</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Limited partner interests in SLGOP (4,509 and 4,510 limited partner common units outstanding at September 30, 2025 and December 31, 2024, respectively)</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280,873</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and redeemable equity</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194,392</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xml:space="preserve">Capital </w:t>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SLGOP partners' capital:</w:t>
            </w:r>
          </w:p>
        </w:tc>
        <w:tc>
          <w:tcPr>
            <w:tcW w:w="1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I Preferred Units, $25.00 liquidation preference, 9,200 issued and outstanding at both September 30, 2025 and December 31, 2024</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221,932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221,932 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 Green partners' capital (755 and 756 general partner common units and 70,273 and 70,341 limited partner common units outstanding at September 30, 2025 and December 31, 2024, respectively)</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3,571,500</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3,711,172 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(19,784)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SLGOP partners' capital</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3,773,648</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3,951,300 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152,584</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118,651 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3,926,232</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4,069,951 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capital</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11,144,137</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10,470,099 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$416.1 million and $236.7 million of land, $357.7 million and $159.1 million of building and improvements, $— million and $— million of building and leasehold improvements, $— million and $— million of right of use assets, $11.9 million and $4.1 million of accumulated depreciation, $73.4 million and $— of debt fund investments, $1,013.3 million and $709.1 million of real estate loans held by consolidated securitization vehicles, $879.3 million and $830.3 million of other assets included in other line items, $632.3 million and $357.9 million of real estate debt, net, $1.5 million and $1.1 million of accrued interest payable, $— million and $— million of lease liabilities, $1,013.3 million and $590.1 million of senior obligations of consolidated securitization vehicles and $304.4 million and $324.8 million of other liabilities included in other line items as of September 30, 2025 and December 31, 2024, respectively.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36"/>
        <w:gridCol w:w="1289"/>
        <w:gridCol w:w="1297"/>
        <w:gridCol w:w="109"/>
        <w:gridCol w:w="109"/>
        <w:gridCol w:w="109"/>
        <w:gridCol w:w="215"/>
        <w:gridCol w:w="826"/>
        <w:gridCol w:w="119"/>
        <w:gridCol w:w="119"/>
        <w:gridCol w:w="119"/>
        <w:gridCol w:w="119"/>
        <w:gridCol w:w="215"/>
        <w:gridCol w:w="809"/>
        <w:gridCol w:w="119"/>
        <w:gridCol w:w="109"/>
        <w:gridCol w:w="109"/>
        <w:gridCol w:w="109"/>
        <w:gridCol w:w="211"/>
        <w:gridCol w:w="810"/>
        <w:gridCol w:w="117"/>
        <w:gridCol w:w="117"/>
        <w:gridCol w:w="117"/>
        <w:gridCol w:w="117"/>
        <w:gridCol w:w="211"/>
        <w:gridCol w:w="794"/>
        <w:gridCol w:w="175"/>
      </w:tblGrid>
      <w:tr>
        <w:trPr/>
        <w:tc>
          <w:tcPr>
            <w:tcW w:w="163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168,536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496,792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32,883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86,424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4,356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26,809</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10,838</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47,868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28,204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68,686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244,817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726,579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expenses, including related party expenses of $6 and $9 in 2025, and $0 and $2 in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57,673</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164,840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37,627</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112,594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6,106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18,317</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35,959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82,570</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47,235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138,234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10,838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45,827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63,216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187,874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(71,326)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13,129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13,601</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23,701</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67,004</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298,487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244,275 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767,469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(9,287)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(30,892)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86,872</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84,926</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11,138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other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units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(6,461)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SLGOP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30,349</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3,417</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SLGOP common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26,611</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(7,796)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74,318</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74,433</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units and common unit equivalents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75,635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74,433</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71"/>
        <w:gridCol w:w="1450"/>
        <w:gridCol w:w="1351"/>
        <w:gridCol w:w="109"/>
        <w:gridCol w:w="109"/>
        <w:gridCol w:w="109"/>
        <w:gridCol w:w="216"/>
        <w:gridCol w:w="732"/>
        <w:gridCol w:w="120"/>
        <w:gridCol w:w="120"/>
        <w:gridCol w:w="120"/>
        <w:gridCol w:w="120"/>
        <w:gridCol w:w="216"/>
        <w:gridCol w:w="765"/>
        <w:gridCol w:w="120"/>
        <w:gridCol w:w="109"/>
        <w:gridCol w:w="109"/>
        <w:gridCol w:w="109"/>
        <w:gridCol w:w="210"/>
        <w:gridCol w:w="742"/>
        <w:gridCol w:w="117"/>
        <w:gridCol w:w="117"/>
        <w:gridCol w:w="117"/>
        <w:gridCol w:w="117"/>
        <w:gridCol w:w="210"/>
        <w:gridCol w:w="742"/>
        <w:gridCol w:w="178"/>
      </w:tblGrid>
      <w:tr>
        <w:trPr/>
        <w:tc>
          <w:tcPr>
            <w:tcW w:w="167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35,161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unrealized value of derivative instruments, including SL Green's share of joint venture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(41,717)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(49,052)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unrealized value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(3,689)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(72,396)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(40,626)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(47,882)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31,472</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(33,827)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(36,798)</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3,079</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SLGOP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29,043</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(75,958)</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(28,102)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(29,551)</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1"/>
        <w:gridCol w:w="629"/>
        <w:gridCol w:w="635"/>
        <w:gridCol w:w="109"/>
        <w:gridCol w:w="109"/>
        <w:gridCol w:w="109"/>
        <w:gridCol w:w="181"/>
        <w:gridCol w:w="616"/>
        <w:gridCol w:w="109"/>
        <w:gridCol w:w="109"/>
        <w:gridCol w:w="109"/>
        <w:gridCol w:w="109"/>
        <w:gridCol w:w="270"/>
        <w:gridCol w:w="271"/>
        <w:gridCol w:w="211"/>
        <w:gridCol w:w="109"/>
        <w:gridCol w:w="109"/>
        <w:gridCol w:w="109"/>
        <w:gridCol w:w="181"/>
        <w:gridCol w:w="721"/>
        <w:gridCol w:w="109"/>
        <w:gridCol w:w="109"/>
        <w:gridCol w:w="109"/>
        <w:gridCol w:w="109"/>
        <w:gridCol w:w="254"/>
        <w:gridCol w:w="782"/>
        <w:gridCol w:w="153"/>
        <w:gridCol w:w="109"/>
        <w:gridCol w:w="109"/>
        <w:gridCol w:w="109"/>
        <w:gridCol w:w="203"/>
        <w:gridCol w:w="694"/>
        <w:gridCol w:w="124"/>
        <w:gridCol w:w="109"/>
        <w:gridCol w:w="109"/>
        <w:gridCol w:w="109"/>
        <w:gridCol w:w="181"/>
        <w:gridCol w:w="721"/>
        <w:gridCol w:w="157"/>
      </w:tblGrid>
      <w:tr>
        <w:trPr/>
        <w:tc>
          <w:tcPr>
            <w:tcW w:w="10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(16,324)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88,599 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3,880,103 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noncontrolling interest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from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($0.773 per common unit,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(54,491)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(19,784)</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3,926,232 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3,428,993 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40,371 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3,757,761 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noncontrolling interest in the 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($0.750 per common unit,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65,235 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3,361,661 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(27,308)</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63,720 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3,620,005 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unit data)</w:t>
      </w:r>
    </w:p>
    <w:tbl>
      <w:tblPr>
        <w:tblW w:w="10205" w:type="dxa"/>
        <w:jc w:val="left"/>
        <w:tblInd w:w="0" w:type="dxa"/>
        <w:tblLayout w:type="fixed"/>
        <w:tblCellMar>
          <w:top w:w="28" w:type="dxa"/>
          <w:left w:w="28" w:type="dxa"/>
          <w:bottom w:w="28" w:type="dxa"/>
          <w:right w:w="28" w:type="dxa"/>
        </w:tblCellMar>
      </w:tblPr>
      <w:tblGrid>
        <w:gridCol w:w="938"/>
        <w:gridCol w:w="595"/>
        <w:gridCol w:w="597"/>
        <w:gridCol w:w="109"/>
        <w:gridCol w:w="109"/>
        <w:gridCol w:w="109"/>
        <w:gridCol w:w="181"/>
        <w:gridCol w:w="616"/>
        <w:gridCol w:w="109"/>
        <w:gridCol w:w="109"/>
        <w:gridCol w:w="109"/>
        <w:gridCol w:w="109"/>
        <w:gridCol w:w="270"/>
        <w:gridCol w:w="271"/>
        <w:gridCol w:w="211"/>
        <w:gridCol w:w="109"/>
        <w:gridCol w:w="109"/>
        <w:gridCol w:w="109"/>
        <w:gridCol w:w="181"/>
        <w:gridCol w:w="721"/>
        <w:gridCol w:w="109"/>
        <w:gridCol w:w="109"/>
        <w:gridCol w:w="109"/>
        <w:gridCol w:w="109"/>
        <w:gridCol w:w="291"/>
        <w:gridCol w:w="897"/>
        <w:gridCol w:w="176"/>
        <w:gridCol w:w="109"/>
        <w:gridCol w:w="109"/>
        <w:gridCol w:w="109"/>
        <w:gridCol w:w="203"/>
        <w:gridCol w:w="694"/>
        <w:gridCol w:w="124"/>
        <w:gridCol w:w="109"/>
        <w:gridCol w:w="109"/>
        <w:gridCol w:w="109"/>
        <w:gridCol w:w="181"/>
        <w:gridCol w:w="721"/>
        <w:gridCol w:w="157"/>
      </w:tblGrid>
      <w:tr>
        <w:trPr/>
        <w:tc>
          <w:tcPr>
            <w:tcW w:w="93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18,196 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118,651 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4,069,951 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(51,654)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(15,631)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Measurement adjustment for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debt fund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($2.318 per common unit, none of which represented a return of capital for federal income tax purposes)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(163,445)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(19,784)</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152,584 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3,926,232 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 Green Operating Partnership 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Partners'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Series I</w:t>
              <w:br/>
              <w:t>Preferred</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3,546,906 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17,477 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69,610 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3,855,925 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of subsidiary interest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Perpetual preferred unit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(11,213)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DRSPP proceeds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Reallocation of noncontrolling interest in the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(77,400)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compensation plan and unit awards, net of forfeitures and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consolidated joint venture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Consolidation of joint venture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distributions declared ($2.250 per common unit, none of which represented a return of capital for federal income tax purposes)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221,932 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65,235 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3,361,661 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(27,308)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63,720 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3,620,005 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9793" w:type="dxa"/>
        <w:jc w:val="left"/>
        <w:tblInd w:w="0" w:type="dxa"/>
        <w:tblLayout w:type="fixed"/>
        <w:tblCellMar>
          <w:top w:w="28" w:type="dxa"/>
          <w:left w:w="28" w:type="dxa"/>
          <w:bottom w:w="28" w:type="dxa"/>
          <w:right w:w="28" w:type="dxa"/>
        </w:tblCellMar>
      </w:tblPr>
      <w:tblGrid>
        <w:gridCol w:w="2512"/>
        <w:gridCol w:w="2212"/>
        <w:gridCol w:w="2221"/>
        <w:gridCol w:w="254"/>
        <w:gridCol w:w="740"/>
        <w:gridCol w:w="141"/>
        <w:gridCol w:w="141"/>
        <w:gridCol w:w="141"/>
        <w:gridCol w:w="141"/>
        <w:gridCol w:w="254"/>
        <w:gridCol w:w="837"/>
        <w:gridCol w:w="199"/>
      </w:tblGrid>
      <w:tr>
        <w:trPr/>
        <w:tc>
          <w:tcPr>
            <w:tcW w:w="2512"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Activities </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6,799</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193,027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158,892 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(income) from unconsolidated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30,892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cumulative earnings from unconsolidated joint ventures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(84,926)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8,090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8,546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reserves and other investment reserves, net of recoveries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(71,326)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(10,232)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rents receivable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15,879</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non-cash adjustments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33,126</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(4,551)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11,677</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(18,649)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other liabilities and security deposits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(10,940)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(6,971)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(21,493)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54,420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 property</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(110,380)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land, buildings and improvements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(182,952)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deposits and deferred purchase price</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joint ventures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(145,583)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(371,948)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cumulative earnings from unconsolidated joint ventures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93,722</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real estate/joint venture interest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212,168</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assumed from consolidation of real estate investment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4,163</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marketable securities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60,107</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marketable securities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(41,413)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loans held by consolidated securitization vehicles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(49,296)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(108,893)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real estate loans held by consolidated securitization vehicles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(231,704)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or redemption of real estate loans held by consolidated securitization vehicles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430,000</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or purchase of debt fund investments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(49,509)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or redemption of debt fund investments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8634" w:type="dxa"/>
        <w:jc w:val="left"/>
        <w:tblInd w:w="0" w:type="dxa"/>
        <w:tblLayout w:type="fixed"/>
        <w:tblCellMar>
          <w:top w:w="28" w:type="dxa"/>
          <w:left w:w="28" w:type="dxa"/>
          <w:bottom w:w="28" w:type="dxa"/>
          <w:right w:w="28" w:type="dxa"/>
        </w:tblCellMar>
      </w:tblPr>
      <w:tblGrid>
        <w:gridCol w:w="2095"/>
        <w:gridCol w:w="1844"/>
        <w:gridCol w:w="1850"/>
        <w:gridCol w:w="226"/>
        <w:gridCol w:w="867"/>
        <w:gridCol w:w="125"/>
        <w:gridCol w:w="125"/>
        <w:gridCol w:w="125"/>
        <w:gridCol w:w="125"/>
        <w:gridCol w:w="226"/>
        <w:gridCol w:w="849"/>
        <w:gridCol w:w="177"/>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Origination of debt and preferred equity investments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or redemption of debt and preferred equity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(41,101)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mortgages and other loans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104,403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mortgages and other loans payable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(17,046)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term loans and unsecured notes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660,000</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term loans and unsecured notes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(590,000)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(745,000)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DRSPP issuance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OP units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(21,558)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other partnerships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in other partnerships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4,635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 to debt fund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85,100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on common and preferred units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(192,669)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(173,332)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restricted share awards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(13,744)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loan costs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12,086</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(54,339)</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25,405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year</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331,638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357,043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of preferred equity investment for real estate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138,954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Measurement adjustment for redeemable noncontrolling interest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14,815</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partner loan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15,632</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joint venture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a subsidiary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mortgage loan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subsidiary interest from noncontrolling interest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51,654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of investments to debt fund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38,422</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to consolidated joint venture interest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Extinguishment of debt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Removal of fully depreciated commercial real estate properties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sale of unconsolidated joint venture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86,635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 repurchase or redemption payable </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issuance receivable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lease liabilities arising from obtaining right-of-use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20,169</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828,143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Consolidation of securitization vehicle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828,143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600,521 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tbl>
      <w:tblPr>
        <w:tblW w:w="6324" w:type="dxa"/>
        <w:jc w:val="center"/>
        <w:tblInd w:w="0" w:type="dxa"/>
        <w:tblLayout w:type="fixed"/>
        <w:tblCellMar>
          <w:top w:w="28" w:type="dxa"/>
          <w:left w:w="28" w:type="dxa"/>
          <w:bottom w:w="28" w:type="dxa"/>
          <w:right w:w="28" w:type="dxa"/>
        </w:tblCellMar>
      </w:tblPr>
      <w:tblGrid>
        <w:gridCol w:w="1262"/>
        <w:gridCol w:w="1105"/>
        <w:gridCol w:w="1112"/>
        <w:gridCol w:w="226"/>
        <w:gridCol w:w="867"/>
        <w:gridCol w:w="125"/>
        <w:gridCol w:w="125"/>
        <w:gridCol w:w="125"/>
        <w:gridCol w:w="125"/>
        <w:gridCol w:w="226"/>
        <w:gridCol w:w="849"/>
        <w:gridCol w:w="177"/>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187,039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170,004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126,909 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357,043</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315,125 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Substantially all of our assets are held by, and all of our operations are conducted through, the Operating Partnership. The Company is the sole managing general partner of the Operating Partnership. As of September 30, 2025, noncontrolling investors held, in the aggregate, a 6.39%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September 30, 2025, we owned the following interests in properties in the New York metropolitan area, primarily in midtown Manhattan. Our investments located outside of Manhattan are referred to as the Suburban properties:</w:t>
      </w:r>
    </w:p>
    <w:tbl>
      <w:tblPr>
        <w:tblW w:w="12185" w:type="dxa"/>
        <w:jc w:val="left"/>
        <w:tblInd w:w="0" w:type="dxa"/>
        <w:tblLayout w:type="fixed"/>
        <w:tblCellMar>
          <w:top w:w="28" w:type="dxa"/>
          <w:left w:w="28" w:type="dxa"/>
          <w:bottom w:w="28" w:type="dxa"/>
          <w:right w:w="28" w:type="dxa"/>
        </w:tblCellMar>
      </w:tblPr>
      <w:tblGrid>
        <w:gridCol w:w="330"/>
        <w:gridCol w:w="291"/>
        <w:gridCol w:w="295"/>
        <w:gridCol w:w="109"/>
        <w:gridCol w:w="109"/>
        <w:gridCol w:w="109"/>
        <w:gridCol w:w="394"/>
        <w:gridCol w:w="394"/>
        <w:gridCol w:w="398"/>
        <w:gridCol w:w="109"/>
        <w:gridCol w:w="109"/>
        <w:gridCol w:w="109"/>
        <w:gridCol w:w="255"/>
        <w:gridCol w:w="255"/>
        <w:gridCol w:w="256"/>
        <w:gridCol w:w="116"/>
        <w:gridCol w:w="116"/>
        <w:gridCol w:w="116"/>
        <w:gridCol w:w="613"/>
        <w:gridCol w:w="348"/>
        <w:gridCol w:w="370"/>
        <w:gridCol w:w="109"/>
        <w:gridCol w:w="109"/>
        <w:gridCol w:w="109"/>
        <w:gridCol w:w="255"/>
        <w:gridCol w:w="255"/>
        <w:gridCol w:w="256"/>
        <w:gridCol w:w="135"/>
        <w:gridCol w:w="135"/>
        <w:gridCol w:w="135"/>
        <w:gridCol w:w="607"/>
        <w:gridCol w:w="354"/>
        <w:gridCol w:w="358"/>
        <w:gridCol w:w="109"/>
        <w:gridCol w:w="109"/>
        <w:gridCol w:w="109"/>
        <w:gridCol w:w="255"/>
        <w:gridCol w:w="255"/>
        <w:gridCol w:w="256"/>
        <w:gridCol w:w="109"/>
        <w:gridCol w:w="109"/>
        <w:gridCol w:w="109"/>
        <w:gridCol w:w="606"/>
        <w:gridCol w:w="355"/>
        <w:gridCol w:w="356"/>
        <w:gridCol w:w="109"/>
        <w:gridCol w:w="109"/>
        <w:gridCol w:w="109"/>
        <w:gridCol w:w="349"/>
        <w:gridCol w:w="207"/>
        <w:gridCol w:w="547"/>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Property </w:t>
              <w:b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Leased Occupancy </w:t>
            </w:r>
            <w:r>
              <w:rPr>
                <w:rFonts w:ascii="Times New Roman;serif" w:hAnsi="Times New Roman;serif"/>
                <w:b/>
                <w:color w:val="000000"/>
                <w:sz w:val="10"/>
              </w:rPr>
              <w:t>(1)</w:t>
            </w:r>
            <w:r>
              <w:rPr>
                <w:color w:val="000000"/>
              </w:rPr>
              <w:t xml:space="preserve"> </w:t>
            </w:r>
            <w:r>
              <w:rPr>
                <w:rFonts w:ascii="Times New Roman;serif" w:hAnsi="Times New Roman;serif"/>
                <w:b/>
                <w:color w:val="000000"/>
                <w:sz w:val="16"/>
              </w:rPr>
              <w:t>(unaudited)</w:t>
            </w:r>
          </w:p>
        </w:tc>
      </w:tr>
      <w:tr>
        <w:trPr/>
        <w:tc>
          <w:tcPr>
            <w:tcW w:w="242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9,788,852 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23,349,485 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844,845 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844,845 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10,664,193 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24,224,826 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862,800 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11,526,993 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25,087,626 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140,382 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362,266 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430" w:type="dxa"/>
            <w:gridSpan w:val="6"/>
            <w:tcBorders/>
          </w:tcPr>
          <w:p>
            <w:pPr>
              <w:pStyle w:val="TableContents"/>
              <w:bidi w:val="0"/>
              <w:spacing w:before="0" w:after="283"/>
              <w:jc w:val="left"/>
              <w:rPr>
                <w:sz w:val="4"/>
                <w:szCs w:val="4"/>
              </w:rPr>
            </w:pPr>
            <w:r>
              <w:rPr>
                <w:sz w:val="4"/>
                <w:szCs w:val="4"/>
              </w:rPr>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core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11,667,375 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13,782,517 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25,449,892 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Strategy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(2)As of September 30, 2025,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also managed one office building and one retail building owned by a third party encompassing approximately 0.4 million square feet (unaudited), and held consolidated debt and preferred equity investments with a book value of $171.4 million, excluding debt and preferred equity investments and other financing receivables totaling $130.5 million that are included in balance sheet line items other than the Debt and preferred equity investments line item.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Partnership Agreement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Basis of Quarterly Presentation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September 30, 2025 and the results of operations for the periods presented have been included. The operating results for the period presented are not necessarily indicative of the results that may be expected for the year ending December 31, 2025. These financial statements should be read in conjunction with the financial statements and accompanying notes included in the Annual Report on Form 10-K for the year ended December 31, 2024 of the Company and the Operating Partnership.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balance sheet at December 31, 2024 has been derived from the audited financial statements as of that date but does not include all the information and footnotes required by accounting principles generally accepted in the United States for complete financial statements.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closed on the acquisitions of 346 Madison Avenue and the adjacent site at 11 East 44th Street, which together comprise a single development site. The gross asset valuation for the combined site was $160.0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our accounts and those of our subsidiaries, which are wholly-owned or controlled by us. Entities which we have significant influence, but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consolidate a variable interest entity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 in Commercial Real Estate Properties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the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Accounting Standards Codification, or ASC Topic 820, </w:t>
      </w:r>
      <w:r>
        <w:rPr>
          <w:rFonts w:ascii="Times New Roman;serif" w:hAnsi="Times New Roman;serif"/>
          <w:b w:val="false"/>
          <w:i/>
          <w:color w:val="000000"/>
          <w:sz w:val="20"/>
        </w:rPr>
        <w:t xml:space="preserve">Fair Value Measurement </w:t>
      </w:r>
      <w:r>
        <w:rPr>
          <w:rFonts w:ascii="Times New Roman;serif" w:hAnsi="Times New Roman;serif"/>
          <w:b w:val="false"/>
          <w:color w:val="000000"/>
          <w:sz w:val="20"/>
        </w:rPr>
        <w:t xml:space="preserve">("ASC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the Company recorded a $8.5 million charge to reduce the carrying value of the residential condominium units at 760 Madison Avenue based on the total of the sales contracts that the Company entered into for these units. This charge is included in "Depreciable real estate reserves and impairments" in the consolidated statements of operations.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we recognized a reduction of rental revenues of ($1.5 million) and ($4.6 million), respectively, for the amortization of aggregate above-market leases in excess of below-market leases resulting from the allocation of the purchase price of the applicable properties. For the three and nine months ended September 30, 2024, we recognized a reduction of rental revenue of ($0.8 million) and ($1.7 million), respectively, for the amortization of aggregate above-market leases in excess of below-market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identified intangible assets (acquired above-market leases and in-place leases) and intangible liabilities (acquired below-market leases) as of September 30, 2025 and December 31, 2024 (in thousands):</w:t>
      </w:r>
    </w:p>
    <w:tbl>
      <w:tblPr>
        <w:tblW w:w="7946" w:type="dxa"/>
        <w:jc w:val="left"/>
        <w:tblInd w:w="0" w:type="dxa"/>
        <w:tblLayout w:type="fixed"/>
        <w:tblCellMar>
          <w:top w:w="28" w:type="dxa"/>
          <w:left w:w="28" w:type="dxa"/>
          <w:bottom w:w="28" w:type="dxa"/>
          <w:right w:w="28" w:type="dxa"/>
        </w:tblCellMar>
      </w:tblPr>
      <w:tblGrid>
        <w:gridCol w:w="1604"/>
        <w:gridCol w:w="1407"/>
        <w:gridCol w:w="1413"/>
        <w:gridCol w:w="298"/>
        <w:gridCol w:w="1142"/>
        <w:gridCol w:w="165"/>
        <w:gridCol w:w="109"/>
        <w:gridCol w:w="109"/>
        <w:gridCol w:w="109"/>
        <w:gridCol w:w="287"/>
        <w:gridCol w:w="1078"/>
        <w:gridCol w:w="225"/>
      </w:tblGrid>
      <w:tr>
        <w:trPr/>
        <w:tc>
          <w:tcPr>
            <w:tcW w:w="1604"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assets (included in other assets):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amount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433,336</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(225,676)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207,660</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liabilities (included in deferred revenue):</w:t>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amount</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254,210</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243,703 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(208,488)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(204,092)</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45,722</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all highly liquid investments with maturity of three months or less when purchased to be cash equivalents.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Restricted cash primarily consists of security deposits held on behalf of our tenants, interest reserves, as well as capital improvement and real estate tax escrows required under certain loan agreements.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See Note 16, "Fair Value Measurements."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Fund Investments</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We, through wholly-owned subsidiaries, are the general partner and investment manager of SLG Opportunistic Debt Fund LP and SLG Opportunistic Debt Parallel Fund LP (collectively, the "Fund"). The Fund is accounted for under ASC Topic 946, </w:t>
      </w:r>
      <w:r>
        <w:rPr>
          <w:rFonts w:ascii="Times New Roman;serif" w:hAnsi="Times New Roman;serif"/>
          <w:b w:val="false"/>
          <w:i/>
          <w:color w:val="000000"/>
          <w:sz w:val="20"/>
        </w:rPr>
        <w:t xml:space="preserve">Financial Services - Investment Companies </w:t>
      </w:r>
      <w:r>
        <w:rPr>
          <w:rFonts w:ascii="Times New Roman;serif" w:hAnsi="Times New Roman;serif"/>
          <w:b w:val="false"/>
          <w:color w:val="000000"/>
          <w:sz w:val="20"/>
        </w:rPr>
        <w:t>("ASC 946") and its investments are reported on our balance sheet at fair value, with changes in value each period recognized on the income statement. We consolidate the accounts of the Fund into our consolidated financial statements, retaining the fair value basis of accounting. See Note 7, "Debt Fund."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 in Marketable Securities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At acquisition, we designate a debt security as held-to-maturity, available-for-sale, or trading. As of September 30, 2025, we did not have any debt securities designated as trading. We account for our available-for-sale securities at fair value pursuant to ASC 820,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We account for held-to-maturity securities at amortized cost basis. Credit losses for our debt securities are recognized in accordance with ASC Topic 326, </w:t>
      </w:r>
      <w:r>
        <w:rPr>
          <w:rFonts w:ascii="Times New Roman;serif" w:hAnsi="Times New Roman;serif"/>
          <w:b w:val="false"/>
          <w:i/>
          <w:color w:val="000000"/>
          <w:sz w:val="20"/>
        </w:rPr>
        <w:t xml:space="preserve">Financial Instruments — Credit Losses </w:t>
      </w:r>
      <w:r>
        <w:rPr>
          <w:rFonts w:ascii="Times New Roman;serif" w:hAnsi="Times New Roman;serif"/>
          <w:b w:val="false"/>
          <w:color w:val="000000"/>
          <w:sz w:val="20"/>
        </w:rPr>
        <w:t>("ASC 326"). No allowance for loan losses were recognized for the nine months ended September 30, 2025 and 2024. We account for marketable equity securities at fair value pursuant to ASC 820, with the net unrealized gains or losses reported in net income.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held the following marketable securities (in thousands):</w:t>
      </w:r>
    </w:p>
    <w:tbl>
      <w:tblPr>
        <w:tblW w:w="7824" w:type="dxa"/>
        <w:jc w:val="left"/>
        <w:tblInd w:w="0" w:type="dxa"/>
        <w:tblLayout w:type="fixed"/>
        <w:tblCellMar>
          <w:top w:w="28" w:type="dxa"/>
          <w:left w:w="28" w:type="dxa"/>
          <w:bottom w:w="28" w:type="dxa"/>
          <w:right w:w="28" w:type="dxa"/>
        </w:tblCellMar>
      </w:tblPr>
      <w:tblGrid>
        <w:gridCol w:w="1559"/>
        <w:gridCol w:w="1371"/>
        <w:gridCol w:w="1374"/>
        <w:gridCol w:w="325"/>
        <w:gridCol w:w="1098"/>
        <w:gridCol w:w="181"/>
        <w:gridCol w:w="109"/>
        <w:gridCol w:w="109"/>
        <w:gridCol w:w="109"/>
        <w:gridCol w:w="313"/>
        <w:gridCol w:w="1031"/>
        <w:gridCol w:w="245"/>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 available-for-sale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16,099</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mortgage-backed securities - held-to-maturity</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 marketable securities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16,099</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22,812 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cost basis of the available-for-sale commercial mortgage-backed securities ("CMBS") was $16.4 million and $18.3 million as of September 30, 2025 and December 31, 2024, respectively. These securities mature at various times through 2030. As of September 30, 2025, three securities were in an unrealized gain position of $0.1 million with a fair market value of $7.2 million, and three securities were in an unrealized loss position of $0.4 million with a fair market value of $8.9 million. These marketable securities were in a continuous unrealized loss position for less than 12 months. As of December 31, 2024, one security was in an unrealized gain position of $0.2 million with a fair market value of $5.5 million, and two securities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an unrealized loss position of $1.5 million and fair market value of $11.8 million with one of the securities being in a continuous unrealized loss position for more than 12 months.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we received aggregate net proceeds of $7.0 million from the sale of one available-for-sale CMBS and $20.4 million from the sale of three available-for-sale CMBS, respectively. We did not dispose of any CMBS during the nine months ended September 30, 2024.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cost basis of the held-to-maturity CMBS was $5.5 million as of December 31, 2024 and was purchased at a $0.2 million discount. During the nine months ended September 30, 2025, we received aggregate net proceeds of $5.7 million from the repayment of this security.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acquired marketable equity securities totaling $25.1 million and received aggregate net proceeds of $34.0 million from the sale of these marketable equity securities.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 in CMBS Securitization Trusts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be contracted to provide special servicing activities for CMBS securitization trusts and, in certain cases, we may also acquire securities in these trusts either directly or indirectly through the Fund. In certain cases, we may acquire the controlling class of the trust and we may have the right to designate, and remove, the special servicer for these trusts. These circumstances may result in our consolidating of the securitization trusts in our financial statements. We evaluate all of our positions and special servicer appointments for consolidation, which are considered to be VIEs to the Company.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 The Company has not provided any guarantees with respect to the performance or repayment of the senior CMBS obligations.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consolidated the following CMBS securitization trusts (in thousands): </w:t>
      </w:r>
    </w:p>
    <w:tbl>
      <w:tblPr>
        <w:tblW w:w="10205" w:type="dxa"/>
        <w:jc w:val="left"/>
        <w:tblInd w:w="0" w:type="dxa"/>
        <w:tblLayout w:type="fixed"/>
        <w:tblCellMar>
          <w:top w:w="28" w:type="dxa"/>
          <w:left w:w="28" w:type="dxa"/>
          <w:bottom w:w="28" w:type="dxa"/>
          <w:right w:w="28" w:type="dxa"/>
        </w:tblCellMar>
      </w:tblPr>
      <w:tblGrid>
        <w:gridCol w:w="916"/>
        <w:gridCol w:w="802"/>
        <w:gridCol w:w="815"/>
        <w:gridCol w:w="204"/>
        <w:gridCol w:w="923"/>
        <w:gridCol w:w="113"/>
        <w:gridCol w:w="113"/>
        <w:gridCol w:w="198"/>
        <w:gridCol w:w="899"/>
        <w:gridCol w:w="110"/>
        <w:gridCol w:w="247"/>
        <w:gridCol w:w="247"/>
        <w:gridCol w:w="247"/>
        <w:gridCol w:w="250"/>
        <w:gridCol w:w="200"/>
        <w:gridCol w:w="752"/>
        <w:gridCol w:w="111"/>
        <w:gridCol w:w="196"/>
        <w:gridCol w:w="736"/>
        <w:gridCol w:w="109"/>
        <w:gridCol w:w="109"/>
        <w:gridCol w:w="294"/>
        <w:gridCol w:w="294"/>
        <w:gridCol w:w="295"/>
        <w:gridCol w:w="214"/>
        <w:gridCol w:w="214"/>
        <w:gridCol w:w="215"/>
        <w:gridCol w:w="109"/>
        <w:gridCol w:w="109"/>
        <w:gridCol w:w="164"/>
      </w:tblGrid>
      <w:tr>
        <w:trPr/>
        <w:tc>
          <w:tcPr>
            <w:tcW w:w="9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4"/>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1908" w:type="dxa"/>
            <w:gridSpan w:val="9"/>
            <w:tcBorders/>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Type</w:t>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113" w:type="dxa"/>
            <w:tcBorders/>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Value</w:t>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Fair Value </w:t>
            </w:r>
            <w:r>
              <w:rPr>
                <w:rFonts w:ascii="Times New Roman;serif" w:hAnsi="Times New Roman;serif"/>
                <w:b/>
                <w:color w:val="000000"/>
                <w:sz w:val="12"/>
              </w:rPr>
              <w:t>(2)</w:t>
            </w:r>
            <w:r>
              <w:rPr>
                <w:color w:val="000000"/>
              </w:rPr>
              <w:t xml:space="preserve"> </w:t>
            </w:r>
          </w:p>
        </w:tc>
        <w:tc>
          <w:tcPr>
            <w:tcW w:w="1150" w:type="dxa"/>
            <w:gridSpan w:val="4"/>
            <w:vMerge w:val="continue"/>
            <w:tcBorders/>
            <w:tcMar>
              <w:top w:w="0" w:type="dxa"/>
              <w:left w:w="0" w:type="dxa"/>
              <w:bottom w:w="0" w:type="dxa"/>
              <w:right w:w="0" w:type="dxa"/>
            </w:tcMar>
            <w:vAlign w:val="center"/>
          </w:tcPr>
          <w:p>
            <w:pPr>
              <w:pStyle w:val="Normal"/>
              <w:bidi w:val="0"/>
              <w:jc w:val="left"/>
              <w:rPr/>
            </w:pPr>
            <w:r>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Value</w:t>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Real estate loans held by consolidated securitization vehicles </w:t>
            </w:r>
            <w:r>
              <w:rPr>
                <w:rFonts w:ascii="Times New Roman;serif" w:hAnsi="Times New Roman;serif"/>
                <w:b w:val="false"/>
                <w:color w:val="000000"/>
                <w:sz w:val="12"/>
              </w:rPr>
              <w:t>(1)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1,119,044</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2023 - 2025</w:t>
            </w:r>
          </w:p>
        </w:tc>
        <w:tc>
          <w:tcPr>
            <w:tcW w:w="3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1,013,273</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1,119,044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2023 - 2025</w:t>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(3)</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 in excess of senior obligations of consolidated securitization vehicles</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(1)Excludes real estate loans held by the Fund.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(2)Includes $134.8 million and $34.2 million of assets and liabilities, respectively, for a loan that is accounted for on an amortized cost basis.</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(3)The Company is in discussions with the respective borrowers on the resolution of the past maturities.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elected to record the associated interest income and interest expense for these investments as separate line items on our consolidated statements of operations. The amounts recorded in "Interest income from real estate loans held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consolidated securitization vehicles" on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on our consolidated statements of operations. As a result, the net impact is limited to the interest income on the CMBS we own directly and not the gross consolidated interest income and interest expense. For CMBS positions held by the Fund the interest income allocated to noncontrolling interests in the Fund is a component of "Net loss (income) attributable to noncontrolling interests in other partnerships" in our consolidated statements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Investments in Unconsolidated Joint Ventures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"Investments in Unconsolidated Joint Ventures," we do not believe that the values of any of our equity investments were impaired at September 30,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Deferred Lease Costs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Deferred lease costs consist of incremental fees and direct costs that would not have been incurred if the lease had not been obtained and are amortized on a straight-line basis over the related lease term.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Lease Classification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Rental revenue for operating leases is recognized on a straight-line basis over the term of the lease. Rental revenue recognition commences when the leased space is available for its intended use by the lessee.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excess of rents recognized over amounts contractually due pursuant to the underlying leases are included in deferred rents receivable on the consolidated balance sheets.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Topic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("ASC 842").</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record a gain or loss on sale of real estate assets when we no longer have a controlling financial interest in the entity owning the real estate, a contract exists with a third party and that third party has control of the assets acquired.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Asset management fees are recognized on a straight-line basis over the term of the asset management agreement.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Revenues from the sale of SUMMIT tickets are recognized upon admission or ticket expirations. Deferred revenue related to unused and unexpired tickets as of September 30, 2025 and December 31, 2024 was $3.9 million and $3.1 million, respectively, and is included in Deferred revenue on the consolidated balance sheets.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and Preferred Equity Investments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the amount expected to be collected based on current market and economic conditions, historical loss information, and reasonable and supportable forecasts. The Company's assumptions are derived from both internal data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 As circumstances change, management may conclude not to sell an investment designated as held for sale. In such situations, the investment will be reclassified at its expected amount to be collected.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financing receivables that are included in balance sheet line items other than the Debt and preferred equity investments line are also measured at the net amount expected to be collected.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pStyle w:val="TextBody"/>
        <w:bidi w:val="0"/>
        <w:spacing w:lineRule="auto" w:line="288" w:before="0" w:after="120"/>
        <w:ind w:left="0" w:right="0" w:firstLine="495"/>
        <w:jc w:val="both"/>
        <w:rPr/>
      </w:pPr>
      <w:r>
        <w:rPr>
          <w:rFonts w:ascii="Times New Roman;serif" w:hAnsi="Times New Roman;serif"/>
          <w:b w:val="false"/>
          <w:color w:val="000000"/>
          <w:sz w:val="20"/>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three months ended September 30, 2025, we recorded Federal, state, and local tax benefits totaling $0.1 million and during the nine months ended September 30, 2025</w:t>
      </w:r>
      <w:r>
        <w:rPr>
          <w:rFonts w:ascii="Arial;sans-serif" w:hAnsi="Arial;sans-serif"/>
          <w:b w:val="false"/>
          <w:color w:val="000000"/>
          <w:sz w:val="16"/>
        </w:rPr>
        <w:t xml:space="preserve">, </w:t>
      </w:r>
      <w:r>
        <w:rPr>
          <w:rFonts w:ascii="Times New Roman;serif" w:hAnsi="Times New Roman;serif"/>
          <w:b w:val="false"/>
          <w:color w:val="000000"/>
          <w:sz w:val="20"/>
        </w:rPr>
        <w:t>we recorded Federal, state, and local tax provisions totaling $1.6 million, for these entities. During the three and nine months ended September 30, 2024, we recorded Federal, state, and local tax provisions totaling $1.1 million and $2.7 million, respectively, for these entities.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SUMMIT is held in a TRS and pays Federal, state and local taxes. During the three and nine months ended September 30, 2025, we recorded Federal, state and local tax expense for SUMMIT of $1.3 million and $2.8 million, respectively. During the three and nine months ended September 30, 2024, we recorded Federal, state and local tax benefit for SUMMIT of $1.8 million and $1.2 million, respectively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which accounted for 5.3% of our share of annualized cash rent as of September 30, 2025, no other tenant in our portfolio accounted for more than 5.0% of our share of annualized cash rent, including our share of joint venture annualized cash rent, for the three months ended September 30, 2025.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following properties contributed more than 5.0% of our annualized cash rent from office properties, including our share of annualized cash rent from joint venture office properties:</w:t>
      </w:r>
    </w:p>
    <w:tbl>
      <w:tblPr>
        <w:tblW w:w="5534" w:type="dxa"/>
        <w:jc w:val="center"/>
        <w:tblInd w:w="0" w:type="dxa"/>
        <w:tblLayout w:type="fixed"/>
        <w:tblCellMar>
          <w:top w:w="28" w:type="dxa"/>
          <w:left w:w="28" w:type="dxa"/>
          <w:bottom w:w="28" w:type="dxa"/>
          <w:right w:w="28" w:type="dxa"/>
        </w:tblCellMar>
      </w:tblPr>
      <w:tblGrid>
        <w:gridCol w:w="814"/>
        <w:gridCol w:w="713"/>
        <w:gridCol w:w="723"/>
        <w:gridCol w:w="959"/>
        <w:gridCol w:w="959"/>
        <w:gridCol w:w="1366"/>
      </w:tblGrid>
      <w:tr>
        <w:trPr/>
        <w:tc>
          <w:tcPr>
            <w:tcW w:w="81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Vanderbilt Avenue</w:t>
            </w:r>
          </w:p>
        </w:tc>
        <w:tc>
          <w:tcPr>
            <w:tcW w:w="3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 Madison Avenue</w:t>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420 Lexington Ave</w:t>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245 Park Avenue</w:t>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1515 Broadway</w:t>
            </w:r>
          </w:p>
        </w:tc>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1185 Avenue of the Americas</w:t>
            </w:r>
          </w:p>
        </w:tc>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May 2025, the Financial Accounting Standards Board ("FASB") issued Accounting Standards Update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20"/>
        </w:rPr>
        <w:t>("ASU 2025-03"). The objective of this amendment is to improve the requirements for identifying the accounting acquirer in a transaction where the legal acquiree is a VIE and improve comparability between business combinations that involve VIEs and those that do not. The amendment replaces the prior GAAP requirement that the primary beneficiary of the legal acquiree is always the accounting acquirer with an assessment to determine the accounting acquirer in business combinations effected primarily by the exchange of equity interests. ASU 2025-03 is effective for fiscal years beginning after December 15, 2026, including interim periods within those fiscal years. Early adoption is permitted. The amendments in ASU 2025-03 must be applied prospectively to any business combination that occurs after the initial adoption date. We are currently evaluating the impact of ASU 2025-03 on our consolidated financial statements and do not believe it will have a material impact.</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The objective of this amendment is to help investors better understand 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and interim reporting periods beginning after December 15, 2027. Early adoption is permitted. We are currently evaluating the impact of ASU 2024-03 on our consolidated financial statements and will adopt this standard for the year ended December 31, 2027.</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 Improvements to Income Tax Disclosures</w:t>
      </w:r>
      <w:r>
        <w:rPr>
          <w:color w:val="000000"/>
        </w:rPr>
        <w:t xml:space="preserve"> </w:t>
      </w:r>
      <w:r>
        <w:rPr>
          <w:rFonts w:ascii="Times New Roman;serif" w:hAnsi="Times New Roman;serif"/>
          <w:b w:val="false"/>
          <w:color w:val="000000"/>
          <w:sz w:val="20"/>
        </w:rPr>
        <w:t>("ASU 2023-09"). The objective of the amendments in ASU 2023-09 related to the rate reconciliation and income taxes paid disclosures are to improve transparency of income tax disclosures by requiring consistent categories and greater disaggregation of information in the rate reconciliation, and income taxes paid disaggregated by jurisdiction. The amendment will require that public entities on an annual basis disclose specific categories in the rate reconciliation and provide additional information for reconciling items that meet a quantitative threshold. Additionally, the amendment will require that all entities disclose on an annual basis the amount of taxes paid (net of refunds received) disaggregated by federal, state and foreign taxes as well as disaggregated by individual jurisdictions that meet a quantitative threshold. ASU 2023-09 is effective prospectively for annual periods beginning after December 15, 2024. We adopted this guidance on January 1, 2025 and do not believe it will have a material impact on our consolidated financial statements.</w:t>
      </w:r>
    </w:p>
    <w:p>
      <w:pPr>
        <w:pStyle w:val="TextBody"/>
        <w:bidi w:val="0"/>
        <w:spacing w:lineRule="auto" w:line="288" w:before="0" w:after="120"/>
        <w:ind w:left="0" w:right="0" w:firstLine="450"/>
        <w:jc w:val="both"/>
        <w:rPr/>
      </w:pPr>
      <w:r>
        <w:rPr>
          <w:rFonts w:ascii="Times New Roman;serif" w:hAnsi="Times New Roman;serif"/>
          <w:b w:val="false"/>
          <w:color w:val="000000"/>
          <w:sz w:val="20"/>
        </w:rPr>
        <w:t xml:space="preserve">In August 2023, the FASB issued ASU No. 2023-05, </w:t>
      </w:r>
      <w:r>
        <w:rPr>
          <w:rFonts w:ascii="Times New Roman;serif" w:hAnsi="Times New Roman;serif"/>
          <w:b w:val="false"/>
          <w:i/>
          <w:color w:val="000000"/>
          <w:sz w:val="20"/>
        </w:rPr>
        <w:t xml:space="preserve">Business Combinations - Joint Venture Formations (Subtopic 805-60) Recognition and Initial Measurement </w:t>
      </w:r>
      <w:r>
        <w:rPr>
          <w:rFonts w:ascii="Times New Roman;serif" w:hAnsi="Times New Roman;serif"/>
          <w:b w:val="false"/>
          <w:color w:val="000000"/>
          <w:sz w:val="20"/>
        </w:rPr>
        <w:t>("ASU 2023-05"). ASU 2023-05 addresses the accounting for contributions made to a joint venture, upon formation, in a joint venture's separate financial statements. The objectives of the amendments are to provide decision-useful information to investors and other allocators of capital in a joint venture's financial statements and reduce diversity in practice. The amendments require that a joint venture apply the following key adaptations from the business combinations guidance upon formation: (i) a joint venture is the formation of a new entity without an accounting acquirer, (ii) a joint venture measures its identifiable net assets and goodwill, if any, at the formation date, (iii) initial measurement of a joint venture's total net assets is equal to the fair value of 100 percent of the joint venture's equity, and (iv) a joint venture provides relevant disclosures. ASU 2023-05 is effective prospectively for all joint venture formations with a formation date on or after January 1, 2025. We adopted this guidance on January 1, 2025 and do not believe it will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3. Property Acquisitions and Consolidations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Property Acquisitions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properties acquired during the nine months ended September 30, 2025:</w:t>
      </w:r>
    </w:p>
    <w:tbl>
      <w:tblPr>
        <w:tblW w:w="9239" w:type="dxa"/>
        <w:jc w:val="center"/>
        <w:tblInd w:w="0" w:type="dxa"/>
        <w:tblLayout w:type="fixed"/>
        <w:tblCellMar>
          <w:top w:w="28" w:type="dxa"/>
          <w:left w:w="28" w:type="dxa"/>
          <w:bottom w:w="28" w:type="dxa"/>
          <w:right w:w="28" w:type="dxa"/>
        </w:tblCellMar>
      </w:tblPr>
      <w:tblGrid>
        <w:gridCol w:w="494"/>
        <w:gridCol w:w="434"/>
        <w:gridCol w:w="437"/>
        <w:gridCol w:w="109"/>
        <w:gridCol w:w="109"/>
        <w:gridCol w:w="109"/>
        <w:gridCol w:w="464"/>
        <w:gridCol w:w="464"/>
        <w:gridCol w:w="466"/>
        <w:gridCol w:w="109"/>
        <w:gridCol w:w="109"/>
        <w:gridCol w:w="109"/>
        <w:gridCol w:w="404"/>
        <w:gridCol w:w="404"/>
        <w:gridCol w:w="406"/>
        <w:gridCol w:w="109"/>
        <w:gridCol w:w="109"/>
        <w:gridCol w:w="109"/>
        <w:gridCol w:w="694"/>
        <w:gridCol w:w="694"/>
        <w:gridCol w:w="696"/>
        <w:gridCol w:w="109"/>
        <w:gridCol w:w="109"/>
        <w:gridCol w:w="109"/>
        <w:gridCol w:w="405"/>
        <w:gridCol w:w="1150"/>
        <w:gridCol w:w="319"/>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Asset Valuation</w:t>
            </w:r>
          </w:p>
          <w:p>
            <w:pPr>
              <w:pStyle w:val="TableContents"/>
              <w:bidi w:val="0"/>
              <w:spacing w:lineRule="auto" w:line="240" w:before="0" w:after="0"/>
              <w:jc w:val="center"/>
              <w:rPr/>
            </w:pPr>
            <w:r>
              <w:rPr>
                <w:rFonts w:ascii="Times New Roman;serif" w:hAnsi="Times New Roman;serif"/>
                <w:b/>
                <w:color w:val="000000"/>
                <w:sz w:val="18"/>
              </w:rPr>
              <w:t xml:space="preserve">(in millions) </w:t>
            </w:r>
            <w:r>
              <w:rPr>
                <w:rFonts w:ascii="Times New Roman;serif" w:hAnsi="Times New Roman;serif"/>
                <w:b/>
                <w:color w:val="000000"/>
                <w:sz w:val="12"/>
              </w:rPr>
              <w:t>(1)</w:t>
            </w:r>
          </w:p>
        </w:tc>
      </w:tr>
      <w:tr>
        <w:trPr/>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500 Park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gross asset valuation of the property net of closing costs and adjustments.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Property Consolidations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properties consolidated during the nine months ended September 30, 2025:</w:t>
      </w:r>
    </w:p>
    <w:tbl>
      <w:tblPr>
        <w:tblW w:w="9884" w:type="dxa"/>
        <w:jc w:val="left"/>
        <w:tblInd w:w="0" w:type="dxa"/>
        <w:tblLayout w:type="fixed"/>
        <w:tblCellMar>
          <w:top w:w="28" w:type="dxa"/>
          <w:left w:w="28" w:type="dxa"/>
          <w:bottom w:w="28" w:type="dxa"/>
          <w:right w:w="28" w:type="dxa"/>
        </w:tblCellMar>
      </w:tblPr>
      <w:tblGrid>
        <w:gridCol w:w="657"/>
        <w:gridCol w:w="577"/>
        <w:gridCol w:w="581"/>
        <w:gridCol w:w="109"/>
        <w:gridCol w:w="109"/>
        <w:gridCol w:w="109"/>
        <w:gridCol w:w="529"/>
        <w:gridCol w:w="529"/>
        <w:gridCol w:w="531"/>
        <w:gridCol w:w="109"/>
        <w:gridCol w:w="109"/>
        <w:gridCol w:w="109"/>
        <w:gridCol w:w="404"/>
        <w:gridCol w:w="404"/>
        <w:gridCol w:w="406"/>
        <w:gridCol w:w="109"/>
        <w:gridCol w:w="109"/>
        <w:gridCol w:w="109"/>
        <w:gridCol w:w="694"/>
        <w:gridCol w:w="694"/>
        <w:gridCol w:w="696"/>
        <w:gridCol w:w="109"/>
        <w:gridCol w:w="109"/>
        <w:gridCol w:w="109"/>
        <w:gridCol w:w="405"/>
        <w:gridCol w:w="1150"/>
        <w:gridCol w:w="31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Gross Asset Valuation</w:t>
            </w:r>
          </w:p>
          <w:p>
            <w:pPr>
              <w:pStyle w:val="TableContents"/>
              <w:bidi w:val="0"/>
              <w:spacing w:lineRule="auto" w:line="240" w:before="0" w:after="0"/>
              <w:jc w:val="center"/>
              <w:rPr/>
            </w:pPr>
            <w:r>
              <w:rPr>
                <w:rFonts w:ascii="Times New Roman;serif" w:hAnsi="Times New Roman;serif"/>
                <w:b/>
                <w:color w:val="000000"/>
                <w:sz w:val="18"/>
              </w:rPr>
              <w:t xml:space="preserve">(in millions) </w:t>
            </w:r>
            <w:r>
              <w:rPr>
                <w:rFonts w:ascii="Times New Roman;serif" w:hAnsi="Times New Roman;serif"/>
                <w:b/>
                <w:color w:val="000000"/>
                <w:sz w:val="12"/>
              </w:rPr>
              <w:t>(2)</w:t>
            </w:r>
          </w:p>
        </w:tc>
      </w:tr>
      <w:tr>
        <w:trPr/>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315 West 33rd Street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(1)In September 2025, the Company, as the holder of the preferred equity interest in the entity, took control over the management of the underlying property. As a result, it was concluded that the entity is a VIE in which the Company is the primary beneficiary, and the entity was consolidated in our financial statements. Upon consolidating the entity, the assets and liabilities of the entity were recorded at fair value. See Note 16, "Fair Value Measurements". Prior to September 2025, the preferred equity interest was included in "Debt and preferred equity investments" in our consolidated balance sheet.</w:t>
      </w:r>
    </w:p>
    <w:p>
      <w:pPr>
        <w:pStyle w:val="TextBody"/>
        <w:bidi w:val="0"/>
        <w:spacing w:lineRule="auto" w:line="288" w:before="0" w:after="1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(2)Represents the gross asset valuation of the property net of closing costs and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Acquisition of Subsidiary Interest from Noncontrolling Interest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amended the 100 Park Avenue joint venture agreement with its partner. As a result of the amended terms, it was concluded that the joint venture is a VIE in which the Company is the primary beneficiary, and the investment was consolidated in our financial statements. In April 2025, pursuant to a purchase option in the amended joint venture agreement, the Company closed on the acquisition of its joint venture partner's 49.9% interest, primarily through the conversion of the joint venture partner's outstanding loan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Properties Held for Sale and Property Dispositions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Properties Held for Sale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no properties were classified as held for sale.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Dispositions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properties sold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953"/>
        <w:gridCol w:w="837"/>
        <w:gridCol w:w="848"/>
        <w:gridCol w:w="109"/>
        <w:gridCol w:w="109"/>
        <w:gridCol w:w="109"/>
        <w:gridCol w:w="431"/>
        <w:gridCol w:w="431"/>
        <w:gridCol w:w="433"/>
        <w:gridCol w:w="109"/>
        <w:gridCol w:w="109"/>
        <w:gridCol w:w="109"/>
        <w:gridCol w:w="308"/>
        <w:gridCol w:w="308"/>
        <w:gridCol w:w="309"/>
        <w:gridCol w:w="109"/>
        <w:gridCol w:w="109"/>
        <w:gridCol w:w="109"/>
        <w:gridCol w:w="642"/>
        <w:gridCol w:w="642"/>
        <w:gridCol w:w="644"/>
        <w:gridCol w:w="109"/>
        <w:gridCol w:w="109"/>
        <w:gridCol w:w="109"/>
        <w:gridCol w:w="224"/>
        <w:gridCol w:w="534"/>
        <w:gridCol w:w="125"/>
        <w:gridCol w:w="109"/>
        <w:gridCol w:w="109"/>
        <w:gridCol w:w="109"/>
        <w:gridCol w:w="239"/>
        <w:gridCol w:w="460"/>
        <w:gridCol w:w="202"/>
      </w:tblGrid>
      <w:tr>
        <w:trPr/>
        <w:tc>
          <w:tcPr>
            <w:tcW w:w="95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Disposition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Approximate Usable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Sales Price </w:t>
            </w:r>
            <w:r>
              <w:rPr>
                <w:rFonts w:ascii="Times New Roman;serif" w:hAnsi="Times New Roman;serif"/>
                <w:b/>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Gain on Sale </w:t>
              <w:br/>
              <w:t>(in millions)</w:t>
            </w:r>
          </w:p>
        </w:tc>
      </w:tr>
      <w:tr>
        <w:trPr/>
        <w:tc>
          <w:tcPr>
            <w:tcW w:w="26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Giorgio Armani Residences at 760 Madison Avenue (6 Condominium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Multiple During Q1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(1)Sales price represents the gross sales price for a property or the gross asset valuation for interests in a property.</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Debt and Preferred Equity Investments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in our consolidated debt and preferred equity investments for the nine months ended September 30, 2025 and the twelve months ended December 31, 2024 (in thousands):</w:t>
      </w:r>
    </w:p>
    <w:tbl>
      <w:tblPr>
        <w:tblW w:w="8081" w:type="dxa"/>
        <w:jc w:val="center"/>
        <w:tblInd w:w="0" w:type="dxa"/>
        <w:tblLayout w:type="fixed"/>
        <w:tblCellMar>
          <w:top w:w="28" w:type="dxa"/>
          <w:left w:w="28" w:type="dxa"/>
          <w:bottom w:w="28" w:type="dxa"/>
          <w:right w:w="28" w:type="dxa"/>
        </w:tblCellMar>
      </w:tblPr>
      <w:tblGrid>
        <w:gridCol w:w="1650"/>
        <w:gridCol w:w="1452"/>
        <w:gridCol w:w="1457"/>
        <w:gridCol w:w="298"/>
        <w:gridCol w:w="1142"/>
        <w:gridCol w:w="165"/>
        <w:gridCol w:w="109"/>
        <w:gridCol w:w="109"/>
        <w:gridCol w:w="109"/>
        <w:gridCol w:w="287"/>
        <w:gridCol w:w="1078"/>
        <w:gridCol w:w="225"/>
      </w:tblGrid>
      <w:tr>
        <w:trPr/>
        <w:tc>
          <w:tcPr>
            <w:tcW w:w="165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at beginning of year </w:t>
            </w:r>
            <w:r>
              <w:rPr>
                <w:rFonts w:ascii="Times New Roman;serif" w:hAnsi="Times New Roman;serif"/>
                <w:b w:val="false"/>
                <w:color w:val="000000"/>
                <w:sz w:val="12"/>
              </w:rPr>
              <w:t>(1)</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303,726</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investment originations/fundings/accretion </w:t>
            </w:r>
            <w:r>
              <w:rPr>
                <w:rFonts w:ascii="Times New Roman;serif" w:hAnsi="Times New Roman;serif"/>
                <w:b w:val="false"/>
                <w:color w:val="000000"/>
                <w:sz w:val="12"/>
              </w:rPr>
              <w:t>(2)</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13,921</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Preferred equity investment originations/accretion </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2"/>
              </w:rPr>
              <w:t>(3)</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Redemptions/sales/syndications/equity ownership/amortization</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(148,168)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loan loss reserves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at end of period </w:t>
            </w:r>
            <w:r>
              <w:rPr>
                <w:rFonts w:ascii="Times New Roman;serif" w:hAnsi="Times New Roman;serif"/>
                <w:b w:val="false"/>
                <w:color w:val="000000"/>
                <w:sz w:val="12"/>
              </w:rPr>
              <w:t>(1) (4)</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(1)Net of unamortized fees, discounts, and premiums.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(2)Accretion includes amortization of fees and discounts and paid-in-kind investment income.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(3)Excludes a $118.3 million preferred equity investment that is included in "Investment in unconsolidated joint ventures" in our consolidated balance sheet. See Note 6, "Investments in Unconsolidated Joint Ventures". Also excludes a preferred equity investment in an entity in which the Company is the primary beneficiary, and the underlying property is consolidated in our financial statements. See Note 3, "Property Acquisitions and Consolidations".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(4)Includes one investment with a total carrying value of $53.5 million that is included in the Company's alternative strategy portfolio.</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our consolidated debt and preferred equity investments as of September 30, 2025 (dollars in thousands):</w:t>
      </w:r>
    </w:p>
    <w:tbl>
      <w:tblPr>
        <w:tblW w:w="10261" w:type="dxa"/>
        <w:jc w:val="center"/>
        <w:tblInd w:w="0" w:type="dxa"/>
        <w:tblLayout w:type="fixed"/>
        <w:tblCellMar>
          <w:top w:w="28" w:type="dxa"/>
          <w:left w:w="28" w:type="dxa"/>
          <w:bottom w:w="28" w:type="dxa"/>
          <w:right w:w="28" w:type="dxa"/>
        </w:tblCellMar>
      </w:tblPr>
      <w:tblGrid>
        <w:gridCol w:w="315"/>
        <w:gridCol w:w="276"/>
        <w:gridCol w:w="280"/>
        <w:gridCol w:w="196"/>
        <w:gridCol w:w="751"/>
        <w:gridCol w:w="109"/>
        <w:gridCol w:w="196"/>
        <w:gridCol w:w="751"/>
        <w:gridCol w:w="109"/>
        <w:gridCol w:w="235"/>
        <w:gridCol w:w="235"/>
        <w:gridCol w:w="236"/>
        <w:gridCol w:w="109"/>
        <w:gridCol w:w="109"/>
        <w:gridCol w:w="109"/>
        <w:gridCol w:w="196"/>
        <w:gridCol w:w="661"/>
        <w:gridCol w:w="109"/>
        <w:gridCol w:w="196"/>
        <w:gridCol w:w="661"/>
        <w:gridCol w:w="109"/>
        <w:gridCol w:w="235"/>
        <w:gridCol w:w="235"/>
        <w:gridCol w:w="236"/>
        <w:gridCol w:w="109"/>
        <w:gridCol w:w="109"/>
        <w:gridCol w:w="109"/>
        <w:gridCol w:w="196"/>
        <w:gridCol w:w="751"/>
        <w:gridCol w:w="109"/>
        <w:gridCol w:w="109"/>
        <w:gridCol w:w="109"/>
        <w:gridCol w:w="109"/>
        <w:gridCol w:w="196"/>
        <w:gridCol w:w="751"/>
        <w:gridCol w:w="109"/>
        <w:gridCol w:w="246"/>
        <w:gridCol w:w="246"/>
        <w:gridCol w:w="349"/>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Floating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Financing</w:t>
            </w:r>
          </w:p>
        </w:tc>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Maturity </w:t>
            </w:r>
            <w:r>
              <w:rPr>
                <w:rFonts w:ascii="Times New Roman;serif" w:hAnsi="Times New Roman;serif"/>
                <w:b/>
                <w:color w:val="000000"/>
                <w:sz w:val="12"/>
              </w:rPr>
              <w:t>(2)</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Type </w:t>
            </w:r>
            <w:r>
              <w:rPr>
                <w:rFonts w:ascii="Times New Roman;serif" w:hAnsi="Times New Roman;serif"/>
                <w:b/>
                <w:color w:val="000000"/>
                <w:sz w:val="12"/>
              </w:rPr>
              <w:t>(4)</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Interest Rate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Mezzanine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131,290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 + 5.06% - 11.63%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0.00% - 11.63%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2025 - 2029</w:t>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131,290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40,486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171,412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713,528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(1)Floating interest rates are presented with the stated spread over Term SOFR ("S").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(2)Excludes available extension options to the extent they have not been exercised as of the date of this filing.</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(3)Includes one investment with a total carrying value of $53.5 million that is included in the Company's alternative strategy portfolio.</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(4)Excludes a $118.3 million preferred equity investment that is included in "Investment in unconsolidated joint ventures" in our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sheet. See Note 6, "Investments in Unconsolidated Joint Ventures." Also excludes a preferred equity investment in an entity in which the Company is the primary beneficiary, and the underlying property is consolidated in our financial statements. See Note 3, "Property Acquisitions and Consolidations".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 forward of our total allowance for loan losses for the nine months ended September 30, 2025 and the twelve months ended December 31, 2024 (in thousands):</w:t>
      </w:r>
    </w:p>
    <w:tbl>
      <w:tblPr>
        <w:tblW w:w="9969" w:type="dxa"/>
        <w:jc w:val="left"/>
        <w:tblInd w:w="0" w:type="dxa"/>
        <w:tblLayout w:type="fixed"/>
        <w:tblCellMar>
          <w:top w:w="28" w:type="dxa"/>
          <w:left w:w="28" w:type="dxa"/>
          <w:bottom w:w="28" w:type="dxa"/>
          <w:right w:w="28" w:type="dxa"/>
        </w:tblCellMar>
      </w:tblPr>
      <w:tblGrid>
        <w:gridCol w:w="2334"/>
        <w:gridCol w:w="2053"/>
        <w:gridCol w:w="2062"/>
        <w:gridCol w:w="325"/>
        <w:gridCol w:w="1098"/>
        <w:gridCol w:w="181"/>
        <w:gridCol w:w="109"/>
        <w:gridCol w:w="109"/>
        <w:gridCol w:w="109"/>
        <w:gridCol w:w="313"/>
        <w:gridCol w:w="1031"/>
        <w:gridCol w:w="245"/>
      </w:tblGrid>
      <w:tr>
        <w:trPr/>
        <w:tc>
          <w:tcPr>
            <w:tcW w:w="2334"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13,520</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period provision for loan loss</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Initial allowance for credit losses on loans purchased with credit deterioration ("PCD") </w:t>
            </w:r>
            <w:r>
              <w:rPr>
                <w:rFonts w:ascii="Times New Roman;serif" w:hAnsi="Times New Roman;serif"/>
                <w:b w:val="false"/>
                <w:color w:val="000000"/>
                <w:sz w:val="12"/>
              </w:rPr>
              <w:t>(1)</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99,039</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Writeoffs </w:t>
            </w:r>
            <w:r>
              <w:rPr>
                <w:rFonts w:ascii="Times New Roman;serif" w:hAnsi="Times New Roman;serif"/>
                <w:b w:val="false"/>
                <w:color w:val="000000"/>
                <w:sz w:val="12"/>
              </w:rPr>
              <w:t>(1)(2)</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period recoveries </w:t>
            </w:r>
            <w:r>
              <w:rPr>
                <w:rFonts w:ascii="Times New Roman;serif" w:hAnsi="Times New Roman;serif"/>
                <w:b w:val="false"/>
                <w:color w:val="000000"/>
                <w:sz w:val="12"/>
              </w:rPr>
              <w:t>(1)</w:t>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(71,626)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9"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at end of period </w:t>
            </w:r>
            <w:r>
              <w:rPr>
                <w:rFonts w:ascii="Times New Roman;serif" w:hAnsi="Times New Roman;serif"/>
                <w:b w:val="false"/>
                <w:color w:val="000000"/>
                <w:sz w:val="12"/>
              </w:rPr>
              <w:t>(3)</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13,520 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(1)During the first quarter of 2025, we completed a series of transactions to acquire 100% of a commercial mortgage investment that was in maturity default. These transactions were consummated at various discounts. Once the commercial mortgage investment was wholly-owned, an initial allowance of $99.0 million was established. Subsequent to the final transaction, we entered into a modification with the borrower to reduce the loan principal by $24.0 million with the remaining principal to be repaid by a specified date. As a result of the modification and the collection of $10.0 million, we recognized a $25.0 million reversal of the established allowance during the three months ended March 31, 2025. In May 2025, the commercial mortgage investment was repaid, which resulted in an additional $46.6 million reversal of the established allowance during the three months ended June 30, 2025. </w:t>
      </w:r>
    </w:p>
    <w:p>
      <w:pPr>
        <w:pStyle w:val="TextBody"/>
        <w:bidi w:val="0"/>
        <w:spacing w:lineRule="auto" w:line="26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(2)The Company held a debt investment which was on non-accrual status and fully reserved. During the nine months ended September 30, 2025, the Company wrote off the balance of $13.4 million.</w:t>
      </w:r>
    </w:p>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(3)As of September 30, 2025, all financing receivables on non-accrual had an allowance for loan loss except for one debt investment with a carrying value of $53.5 million, which is included in the Company's alternative strategy portfolio.</w:t>
      </w:r>
    </w:p>
    <w:p>
      <w:pPr>
        <w:pStyle w:val="TextBody"/>
        <w:bidi w:val="0"/>
        <w:spacing w:before="0" w:after="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one investment, which is fully reserved, was not performing in accordance with its respective terms. This is further discussed in the Debt Investments table below.</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other financing receivables were 90 days past due as of September 30, 2025 and December 31, 2024.</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value of our consolidated debt and preferred equity investment portfolio by risk rating as of September 30, 2025 and December 31, 2024 (dollars in thousands):</w:t>
      </w:r>
    </w:p>
    <w:tbl>
      <w:tblPr>
        <w:tblW w:w="7568" w:type="dxa"/>
        <w:jc w:val="left"/>
        <w:tblInd w:w="0" w:type="dxa"/>
        <w:tblLayout w:type="fixed"/>
        <w:tblCellMar>
          <w:top w:w="28" w:type="dxa"/>
          <w:left w:w="28" w:type="dxa"/>
          <w:bottom w:w="28" w:type="dxa"/>
          <w:right w:w="28" w:type="dxa"/>
        </w:tblCellMar>
      </w:tblPr>
      <w:tblGrid>
        <w:gridCol w:w="1347"/>
        <w:gridCol w:w="1181"/>
        <w:gridCol w:w="1191"/>
        <w:gridCol w:w="109"/>
        <w:gridCol w:w="109"/>
        <w:gridCol w:w="109"/>
        <w:gridCol w:w="298"/>
        <w:gridCol w:w="1142"/>
        <w:gridCol w:w="165"/>
        <w:gridCol w:w="109"/>
        <w:gridCol w:w="109"/>
        <w:gridCol w:w="109"/>
        <w:gridCol w:w="287"/>
        <w:gridCol w:w="1078"/>
        <w:gridCol w:w="225"/>
      </w:tblGrid>
      <w:tr>
        <w:trPr/>
        <w:tc>
          <w:tcPr>
            <w:tcW w:w="134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Risk 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1 - Low Risk Assets - Low probability of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8"/>
              </w:rPr>
              <w:t xml:space="preserve">2 - Watch List Assets - Higher potential for loss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151,412</w:t>
            </w: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3 - High Risk Assets - Loss more likely than not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(1)Includes one investment with a total carrying value of $53.5 million that is included in the Company's alternative strategy portfolio.</w:t>
      </w:r>
    </w:p>
    <w:p>
      <w:pPr>
        <w:pStyle w:val="TextBody"/>
        <w:bidi w:val="0"/>
        <w:spacing w:lineRule="auto" w:line="288" w:before="12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value of our consolidated debt and preferred equity investment portfolio by year of origination and risk rating as of September 30, 2025 (dollars in thousands):</w:t>
      </w:r>
    </w:p>
    <w:tbl>
      <w:tblPr>
        <w:tblW w:w="9479" w:type="dxa"/>
        <w:jc w:val="left"/>
        <w:tblInd w:w="0" w:type="dxa"/>
        <w:tblLayout w:type="fixed"/>
        <w:tblCellMar>
          <w:top w:w="28" w:type="dxa"/>
          <w:left w:w="28" w:type="dxa"/>
          <w:bottom w:w="28" w:type="dxa"/>
          <w:right w:w="28" w:type="dxa"/>
        </w:tblCellMar>
      </w:tblPr>
      <w:tblGrid>
        <w:gridCol w:w="1293"/>
        <w:gridCol w:w="1133"/>
        <w:gridCol w:w="1143"/>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736"/>
        <w:gridCol w:w="109"/>
        <w:gridCol w:w="109"/>
        <w:gridCol w:w="109"/>
        <w:gridCol w:w="109"/>
        <w:gridCol w:w="196"/>
        <w:gridCol w:w="75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27"/>
            <w:tcBorders/>
            <w:tcMar>
              <w:top w:w="0" w:type="dxa"/>
              <w:left w:w="0" w:type="dxa"/>
              <w:bottom w:w="0" w:type="dxa"/>
              <w:right w:w="0" w:type="dxa"/>
            </w:tcMar>
            <w:vAlign w:val="center"/>
          </w:tcPr>
          <w:p>
            <w:pPr>
              <w:pStyle w:val="TableContents"/>
              <w:bidi w:val="0"/>
              <w:spacing w:lineRule="auto" w:line="240" w:before="0" w:after="0"/>
              <w:ind w:left="0" w:right="0" w:firstLine="495"/>
              <w:jc w:val="center"/>
              <w:rPr>
                <w:rFonts w:ascii="Times New Roman;serif" w:hAnsi="Times New Roman;serif"/>
                <w:b/>
                <w:color w:val="000000"/>
                <w:sz w:val="18"/>
              </w:rPr>
            </w:pPr>
            <w:r>
              <w:rPr>
                <w:rFonts w:ascii="Times New Roman;serif" w:hAnsi="Times New Roman;serif"/>
                <w:b/>
                <w:color w:val="000000"/>
                <w:sz w:val="18"/>
              </w:rPr>
              <w:t>As of September 30,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Risk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2024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2023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2022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Prior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1 - Low Risk Assets - Low probability of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2 - Watch List Assets - Higher potential for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151,412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 High Risk Assets - Loss more likely than not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(1)Year in which the investment was originated or acquired by us or in which a material modification occurred.</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(2)Includes one investment with a total carrying value of $53.5 million that is included in the Company's alternative strategy portfolio.</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determined that we have one portfolio segment of financing receivables as of September 30, 2025 and December 31, 2024 comprised of commercial real estate which is primarily recorded in debt and preferred equity investments.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Other assets is an additional amount of financing receivables representing loans to joint venture partners totaling $15.4 million and $23.7 million as of September 30, 2025 and December 31, 2024, respectively.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recorded no provisions for loan losses related to these financing receivables for the nine months ended September 30, 2025 and 2024. All of the loans with a carrying value as of September 30, 2025 have a risk rating of 2 and were performing in accordance with their respective terms.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Investments</w:t>
      </w:r>
    </w:p>
    <w:p>
      <w:pPr>
        <w:pStyle w:val="TextBody"/>
        <w:bidi w:val="0"/>
        <w:spacing w:lineRule="auto" w:line="288" w:before="0" w:after="120"/>
        <w:jc w:val="both"/>
        <w:rPr/>
      </w:pPr>
      <w:r>
        <w:rPr>
          <w:color w:val="000000"/>
        </w:rPr>
        <w:t>    </w:t>
      </w:r>
      <w:r>
        <w:rPr>
          <w:rFonts w:ascii="Times New Roman;serif" w:hAnsi="Times New Roman;serif"/>
          <w:b w:val="false"/>
          <w:color w:val="000000"/>
          <w:sz w:val="20"/>
        </w:rPr>
        <w:t>As of September 30, 2025 and December 31, 2024, we held the following consolidated debt investments with an aggregate weighted average current yield of 5.13% as of September 30, 2025 (dollars in thousands):</w:t>
      </w:r>
    </w:p>
    <w:tbl>
      <w:tblPr>
        <w:tblW w:w="10205" w:type="dxa"/>
        <w:jc w:val="left"/>
        <w:tblInd w:w="0" w:type="dxa"/>
        <w:tblLayout w:type="fixed"/>
        <w:tblCellMar>
          <w:top w:w="28" w:type="dxa"/>
          <w:left w:w="28" w:type="dxa"/>
          <w:bottom w:w="28" w:type="dxa"/>
          <w:right w:w="28" w:type="dxa"/>
        </w:tblCellMar>
      </w:tblPr>
      <w:tblGrid>
        <w:gridCol w:w="595"/>
        <w:gridCol w:w="522"/>
        <w:gridCol w:w="530"/>
        <w:gridCol w:w="109"/>
        <w:gridCol w:w="109"/>
        <w:gridCol w:w="109"/>
        <w:gridCol w:w="314"/>
        <w:gridCol w:w="916"/>
        <w:gridCol w:w="176"/>
        <w:gridCol w:w="109"/>
        <w:gridCol w:w="109"/>
        <w:gridCol w:w="109"/>
        <w:gridCol w:w="310"/>
        <w:gridCol w:w="1197"/>
        <w:gridCol w:w="175"/>
        <w:gridCol w:w="109"/>
        <w:gridCol w:w="109"/>
        <w:gridCol w:w="109"/>
        <w:gridCol w:w="259"/>
        <w:gridCol w:w="1000"/>
        <w:gridCol w:w="146"/>
        <w:gridCol w:w="109"/>
        <w:gridCol w:w="109"/>
        <w:gridCol w:w="109"/>
        <w:gridCol w:w="252"/>
        <w:gridCol w:w="952"/>
        <w:gridCol w:w="142"/>
        <w:gridCol w:w="109"/>
        <w:gridCol w:w="109"/>
        <w:gridCol w:w="109"/>
        <w:gridCol w:w="314"/>
        <w:gridCol w:w="314"/>
        <w:gridCol w:w="456"/>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Future Funding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 Senior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p>
            <w:pPr>
              <w:pStyle w:val="TableContents"/>
              <w:bidi w:val="0"/>
              <w:spacing w:lineRule="auto" w:line="240" w:before="0" w:after="0"/>
              <w:jc w:val="center"/>
              <w:rPr/>
            </w:pPr>
            <w:r>
              <w:rPr>
                <w:rFonts w:ascii="Times New Roman;serif" w:hAnsi="Times New Roman;serif"/>
                <w:b/>
                <w:color w:val="000000"/>
                <w:sz w:val="18"/>
              </w:rPr>
              <w:t xml:space="preserve">Carrying Value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December 31, 2024</w:t>
              <w:br/>
              <w:t xml:space="preserve">Carrying Value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Maturity</w:t>
              <w:br/>
              <w:t xml:space="preserve">Date </w:t>
            </w:r>
            <w:r>
              <w:rPr>
                <w:rFonts w:ascii="Times New Roman;serif" w:hAnsi="Times New Roman;serif"/>
                <w:b/>
                <w:color w:val="000000"/>
                <w:sz w:val="12"/>
              </w:rPr>
              <w:t>(2)</w:t>
            </w:r>
          </w:p>
        </w:tc>
      </w:tr>
      <w:tr>
        <w:trPr/>
        <w:tc>
          <w:tcPr>
            <w:tcW w:w="1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Fixed Rate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Mezzanine Loan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95,000</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20,786</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2027</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85,000</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20,000</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2029</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180,000</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40,786</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Floating Rate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Mezzanine Loan</w:t>
            </w:r>
            <w:r>
              <w:rPr>
                <w:color w:val="000000"/>
              </w:rPr>
              <w:t xml:space="preserve">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54,000</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9,268</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2025</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Mezzanine Loan </w:t>
            </w:r>
            <w:r>
              <w:rPr>
                <w:rFonts w:ascii="Times New Roman;serif" w:hAnsi="Times New Roman;serif"/>
                <w:b w:val="false"/>
                <w:color w:val="000000"/>
                <w:sz w:val="12"/>
              </w:rPr>
              <w:t>(5)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283,000</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53,687</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2025</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2,999</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196,528</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68,125</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2026</w:t>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2,999</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533,528</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131,080</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117,160 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Allowance for loan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2,999</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713,528</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167,006 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(1)Carrying value is net of discounts, premiums, original issue discounts and deferred origination fees.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(2)Represents contractual maturity, excluding any extension options to the extent they have not been exercised as of the date of this filing.</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(3)This loan went into default and was put on non-accrual in June 2020. In the first quarter of 2023, the Company fully reserved the balance of the investment. As of September 30, 2025, the loan was written off.</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(4)This loan was put on non-accrual in January 2025 and went into default in August 2025. It remains on non-accrual as of September 30, 2025. No investment income has been recognized subsequent to it being put on non-accrual.</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(5)Included in the Company's alternative strategy portfolio.</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(6)This loan went into default and was put on non-accrual in January 2023 and remains on non-accrual as of September 30, 2025. No investment income has been recognized subsequent to it being put on non-accrual. In December 2024, the maturity date of the loan was extended to December 2025. The Company is in discussions with the borrower with respect to the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Investments in Unconsolidated Joint Ventures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investments in several real estate joint ventures with various third-party partners. As of September 30, 2025, the book value of these investments was $2.6 billion, net of investments with negative book values totaling $191.2 million for which we have an implicit commitment to fund future capital needs.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800 Third Avenue is a VIE in which we are not the primary beneficiary. As of December 31, 2024, 800 Third Avenue and our preferred equity investment in 625 Madison Avenue were VIEs in which we are not the primary beneficiary. Our net equity investment in these VIEs was $45.0 million and $263.8 million as of September 30, 2025 and December 31, 2024, respectively. Our maximum loss is limited to the amount of our equity investment in these VIEs. See the "Principles of Consolidation" section of Note 2, "Significant Accounting Policies." All other investments below are voting interest entities. As we have the ability to exercise significant influence over, but do not control, the joint ventures listed below, we account for them under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provides general information on each of our joint ventures as of September 30, 2025:</w:t>
      </w:r>
    </w:p>
    <w:tbl>
      <w:tblPr>
        <w:tblW w:w="10205" w:type="dxa"/>
        <w:jc w:val="left"/>
        <w:tblInd w:w="0" w:type="dxa"/>
        <w:tblLayout w:type="fixed"/>
        <w:tblCellMar>
          <w:top w:w="28" w:type="dxa"/>
          <w:left w:w="28" w:type="dxa"/>
          <w:bottom w:w="28" w:type="dxa"/>
          <w:right w:w="28" w:type="dxa"/>
        </w:tblCellMar>
      </w:tblPr>
      <w:tblGrid>
        <w:gridCol w:w="706"/>
        <w:gridCol w:w="599"/>
        <w:gridCol w:w="603"/>
        <w:gridCol w:w="1584"/>
        <w:gridCol w:w="1518"/>
        <w:gridCol w:w="1539"/>
        <w:gridCol w:w="109"/>
        <w:gridCol w:w="296"/>
        <w:gridCol w:w="296"/>
        <w:gridCol w:w="297"/>
        <w:gridCol w:w="805"/>
        <w:gridCol w:w="766"/>
        <w:gridCol w:w="1087"/>
      </w:tblGrid>
      <w:tr>
        <w:trPr/>
        <w:tc>
          <w:tcPr>
            <w:tcW w:w="70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4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Partner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Economic</w:t>
              <w:br/>
              <w:t xml:space="preserve">Interest </w:t>
            </w:r>
            <w:r>
              <w:rPr>
                <w:rFonts w:ascii="Times New Roman;serif" w:hAnsi="Times New Roman;serif"/>
                <w:b/>
                <w:color w:val="000000"/>
                <w:sz w:val="12"/>
              </w:rPr>
              <w:t>(1)</w:t>
            </w:r>
          </w:p>
        </w:tc>
        <w:tc>
          <w:tcPr>
            <w:tcW w:w="2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 Approximate Square Feet</w:t>
            </w:r>
          </w:p>
        </w:tc>
      </w:tr>
      <w:tr>
        <w:trPr/>
        <w:tc>
          <w:tcPr>
            <w:tcW w:w="1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800 Third Avenue</w:t>
            </w:r>
          </w:p>
        </w:tc>
        <w:tc>
          <w:tcPr>
            <w:tcW w:w="4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Investors</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60.52%</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526,000 </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919 Third Avenue</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State Teacher's Retirement System</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11 West 34th Street </w:t>
            </w:r>
            <w:r>
              <w:rPr>
                <w:rFonts w:ascii="Times New Roman;serif" w:hAnsi="Times New Roman;serif"/>
                <w:b w:val="false"/>
                <w:color w:val="000000"/>
                <w:sz w:val="12"/>
              </w:rPr>
              <w:t>(2)</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Investor / Wharton Properties</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280 Park Avenue</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Vornado Realty Trust</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1,219,158 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1552-1560 Broadway </w:t>
            </w:r>
            <w:r>
              <w:rPr>
                <w:rFonts w:ascii="Times New Roman;serif" w:hAnsi="Times New Roman;serif"/>
                <w:b w:val="false"/>
                <w:color w:val="000000"/>
                <w:sz w:val="12"/>
              </w:rPr>
              <w:t>(2) (3)</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Wharton Properties</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57,718 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650 Fifth Avenue </w:t>
            </w:r>
            <w:r>
              <w:rPr>
                <w:rFonts w:ascii="Times New Roman;serif" w:hAnsi="Times New Roman;serif"/>
                <w:b w:val="false"/>
                <w:color w:val="000000"/>
                <w:sz w:val="12"/>
              </w:rPr>
              <w:t>(2) (4)</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Wharton Properties</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69,214 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11 Madison Avenue</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PGIM Real Estate</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2,314,000 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One Vanderbilt Avenue</w:t>
            </w:r>
            <w:r>
              <w:rPr>
                <w:color w:val="000000"/>
              </w:rPr>
              <w:t xml:space="preserve"> </w:t>
            </w:r>
            <w:r>
              <w:rPr>
                <w:rFonts w:ascii="Times New Roman;serif" w:hAnsi="Times New Roman;serif"/>
                <w:b w:val="false"/>
                <w:color w:val="000000"/>
                <w:sz w:val="12"/>
              </w:rPr>
              <w:t>(5)(6)</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Pension Service of Korea / Hines Interest LP</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55.01%</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1,657,198 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Worldwide Plaza </w:t>
            </w:r>
            <w:r>
              <w:rPr>
                <w:rFonts w:ascii="Times New Roman;serif" w:hAnsi="Times New Roman;serif"/>
                <w:b w:val="false"/>
                <w:color w:val="000000"/>
                <w:sz w:val="12"/>
              </w:rPr>
              <w:t>(2)</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RXR Realty / New York REIT</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25.05%</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2,048,725 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1515 Broadway</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Allianz Real Estate of America</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56.87%</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2 Herald Square </w:t>
            </w:r>
            <w:r>
              <w:rPr>
                <w:rFonts w:ascii="Times New Roman;serif" w:hAnsi="Times New Roman;serif"/>
                <w:b w:val="false"/>
                <w:color w:val="000000"/>
                <w:sz w:val="12"/>
              </w:rPr>
              <w:t>(2)</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Israeli Institutional Investor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369,000 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115 Spring Street </w:t>
            </w:r>
            <w:r>
              <w:rPr>
                <w:rFonts w:ascii="Times New Roman;serif" w:hAnsi="Times New Roman;serif"/>
                <w:b w:val="false"/>
                <w:color w:val="000000"/>
                <w:sz w:val="12"/>
              </w:rPr>
              <w:t>(2)</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Investor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5,218 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15 Beekman </w:t>
            </w:r>
            <w:r>
              <w:rPr>
                <w:rFonts w:ascii="Times New Roman;serif" w:hAnsi="Times New Roman;serif"/>
                <w:b w:val="false"/>
                <w:color w:val="000000"/>
                <w:sz w:val="12"/>
              </w:rPr>
              <w:t>(5)</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fund managed by Meritz Alternative Investment Management</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221,884 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One Madison Avenue </w:t>
            </w:r>
            <w:r>
              <w:rPr>
                <w:rFonts w:ascii="Times New Roman;serif" w:hAnsi="Times New Roman;serif"/>
                <w:b w:val="false"/>
                <w:color w:val="000000"/>
                <w:sz w:val="12"/>
              </w:rPr>
              <w:t>(7)</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Pension Service of Korea / Hines Interest LP / International Investor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25.50%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 East 42nd Street</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 fund managed by Meritz Alternative Investment Management</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51.00%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1,135,000 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450 Park Avenue </w:t>
            </w:r>
            <w:r>
              <w:rPr>
                <w:rFonts w:ascii="Times New Roman;serif" w:hAnsi="Times New Roman;serif"/>
                <w:b w:val="false"/>
                <w:color w:val="000000"/>
                <w:sz w:val="12"/>
              </w:rPr>
              <w:t>(8)</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Korean Institutional Investor / Israeli Institutional Investor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25.10%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245 Park Avenue</w:t>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Affiliate of Mori Trust Co., Ltd</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50.10%</w:t>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1,782,793 </w:t>
            </w:r>
          </w:p>
        </w:tc>
        <w:tc>
          <w:tcPr>
            <w:tcW w:w="10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625 Madison Avenue </w:t>
            </w:r>
            <w:r>
              <w:rPr>
                <w:rFonts w:ascii="Times New Roman;serif" w:hAnsi="Times New Roman;serif"/>
                <w:b w:val="false"/>
                <w:color w:val="000000"/>
                <w:sz w:val="12"/>
              </w:rPr>
              <w:t>(9)</w:t>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Investor</w:t>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563,000 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(1)Economic interest represent the Company's interests in the joint venture as of September 30, 2025. Changes in ownership or economic interests within the current year are disclosed in the notes below.</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(2)Included in the Company's alternative strategy portfolio.</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 September 2025, the leasehold interest in the retail space and certain other spaces at 1560 Broadway, which is adjacent to 1552 Broadway, was terminated. Subsequently, a sign bracing agreement was entered into at 1560 Broadway.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(4)The joint venture owns a long-term leasehold interest in the retail space at 650 Fifth Avenue.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(5)In 2020, the Company formed a joint venture, which then entered into a long-term sublease with the Company.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(6)In September 2025, the Company sold a 5% interest in the joint venture, retaining a 55.01% ownership interest in the investment. As a result of the transaction, the Company recognized a $87.3 million gain in "Equity in net gain (loss) on sale of interest in unconsolidated joint venture/real estate". The sale resulted in a receivable from the buyer, which is included in "Tenant and other receivables" on our consolidated balance sheet. </w:t>
      </w:r>
    </w:p>
    <w:p>
      <w:pPr>
        <w:pStyle w:val="TextBody"/>
        <w:bidi w:val="0"/>
        <w:spacing w:lineRule="auto" w:line="288" w:before="0" w:after="0"/>
        <w:ind w:left="0" w:right="0" w:hanging="450"/>
        <w:jc w:val="both"/>
        <w:rPr/>
      </w:pPr>
      <w:r>
        <w:rPr>
          <w:rFonts w:ascii="Times New Roman;serif" w:hAnsi="Times New Roman;serif"/>
          <w:b w:val="false"/>
          <w:color w:val="000000"/>
          <w:sz w:val="16"/>
        </w:rPr>
        <w:t xml:space="preserve">(7)In 2021, the Company admitted an additional partner to the development project with the partner's indirect ownership in the joint venture totaling 25.0%. The transaction did not meet sale accounting under ASC Topic 860, </w:t>
      </w:r>
      <w:r>
        <w:rPr>
          <w:rFonts w:ascii="Times New Roman;serif" w:hAnsi="Times New Roman;serif"/>
          <w:b w:val="false"/>
          <w:i/>
          <w:color w:val="000000"/>
          <w:sz w:val="16"/>
        </w:rPr>
        <w:t>Transfers and Servicing</w:t>
      </w:r>
      <w:r>
        <w:rPr>
          <w:color w:val="000000"/>
        </w:rPr>
        <w:t xml:space="preserve"> </w:t>
      </w:r>
      <w:r>
        <w:rPr>
          <w:rFonts w:ascii="Times New Roman;serif" w:hAnsi="Times New Roman;serif"/>
          <w:b w:val="false"/>
          <w:color w:val="000000"/>
          <w:sz w:val="16"/>
        </w:rPr>
        <w:t>("ASC 860") and, as a result, was treated as a secured borrowing for accounting purposes and is included in Other liabilities in our consolidated balance sheets at September 30, 2025 and December 31, 2024.</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(8)The 25.1% economic interest reflected in this table is net of a 25.0% economic interest held by a third party. The third-party's economic interest is held in a joint venture that we consolidate as a 50.1% ownership interest. The third-party's 25.0% economic interest is recognized in "Noncontrolling interests in other partnerships" on our consolidated balance sheet. A separate third-party owns the remaining 49.9% economic interest in the property.</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(9)In connection with the sale of the fee ownership in the property, which closed in May 2024, the Company, together with its joint venture partner, originated a $235.4 million preferred equity investment in the property with a mandatory redemption date of December 2026. In July 2025, the Company sold 50.0% of the joint venture entity that originated the preferred equity investment for $104.9 million. In conjunction with this transaction, the Company also acquired the remaining interest in the joint venture for $23.7 million and sold 50.0% of that interest for $10.9 million. The Company's share of the investment, net of unamortized discounts and loan loss reserves, is $118.3 million with an aggregate weighted average current yield of 14.07%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Disposition of Joint Venture Interests or Properties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investments in unconsolidated joint ventures sold during the nine months ended September 30, 2025.</w:t>
      </w:r>
    </w:p>
    <w:tbl>
      <w:tblPr>
        <w:tblW w:w="10205" w:type="dxa"/>
        <w:jc w:val="left"/>
        <w:tblInd w:w="0" w:type="dxa"/>
        <w:tblLayout w:type="fixed"/>
        <w:tblCellMar>
          <w:top w:w="28" w:type="dxa"/>
          <w:left w:w="28" w:type="dxa"/>
          <w:bottom w:w="28" w:type="dxa"/>
          <w:right w:w="28" w:type="dxa"/>
        </w:tblCellMar>
      </w:tblPr>
      <w:tblGrid>
        <w:gridCol w:w="563"/>
        <w:gridCol w:w="472"/>
        <w:gridCol w:w="477"/>
        <w:gridCol w:w="109"/>
        <w:gridCol w:w="109"/>
        <w:gridCol w:w="109"/>
        <w:gridCol w:w="554"/>
        <w:gridCol w:w="554"/>
        <w:gridCol w:w="555"/>
        <w:gridCol w:w="109"/>
        <w:gridCol w:w="109"/>
        <w:gridCol w:w="109"/>
        <w:gridCol w:w="416"/>
        <w:gridCol w:w="416"/>
        <w:gridCol w:w="417"/>
        <w:gridCol w:w="109"/>
        <w:gridCol w:w="109"/>
        <w:gridCol w:w="109"/>
        <w:gridCol w:w="552"/>
        <w:gridCol w:w="1315"/>
        <w:gridCol w:w="309"/>
        <w:gridCol w:w="109"/>
        <w:gridCol w:w="109"/>
        <w:gridCol w:w="109"/>
        <w:gridCol w:w="589"/>
        <w:gridCol w:w="1234"/>
        <w:gridCol w:w="474"/>
      </w:tblGrid>
      <w:tr>
        <w:trPr/>
        <w:tc>
          <w:tcPr>
            <w:tcW w:w="56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Interest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Disposition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Asset Valuation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(Loss) Gain on Sale (in millions) </w:t>
            </w:r>
            <w:r>
              <w:rPr>
                <w:rFonts w:ascii="Times New Roman;serif" w:hAnsi="Times New Roman;serif"/>
                <w:b/>
                <w:color w:val="000000"/>
                <w:sz w:val="12"/>
              </w:rPr>
              <w:t>(1) (2)</w:t>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85 Fifth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625 Madison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One Vanderbilt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(1)Represents the Company's share of the loss.</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(2)For the nine months ended September 30, 2025, the gain on sale is net of $11.0 million of employee compensation recognized in connection with the investment dispositions. Amounts do not include adjustments for expenses recorded in subsequent periods.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Acquisition of Joint Venture Interests or Properties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did not acquire any investments in unconsolidated joint ventures during the nine months ended September 30,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Joint Venture Mortgages and Other Loans Payable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September 30, 2025 and December 31, 2024, respectively, are as follows (dollars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896" w:type="dxa"/>
        <w:jc w:val="left"/>
        <w:tblInd w:w="0" w:type="dxa"/>
        <w:tblLayout w:type="fixed"/>
        <w:tblCellMar>
          <w:top w:w="28" w:type="dxa"/>
          <w:left w:w="28" w:type="dxa"/>
          <w:bottom w:w="28" w:type="dxa"/>
          <w:right w:w="28" w:type="dxa"/>
        </w:tblCellMar>
      </w:tblPr>
      <w:tblGrid>
        <w:gridCol w:w="388"/>
        <w:gridCol w:w="248"/>
        <w:gridCol w:w="250"/>
        <w:gridCol w:w="278"/>
        <w:gridCol w:w="278"/>
        <w:gridCol w:w="427"/>
        <w:gridCol w:w="330"/>
        <w:gridCol w:w="255"/>
        <w:gridCol w:w="256"/>
        <w:gridCol w:w="330"/>
        <w:gridCol w:w="255"/>
        <w:gridCol w:w="256"/>
        <w:gridCol w:w="109"/>
        <w:gridCol w:w="109"/>
        <w:gridCol w:w="109"/>
        <w:gridCol w:w="110"/>
        <w:gridCol w:w="110"/>
        <w:gridCol w:w="110"/>
        <w:gridCol w:w="139"/>
        <w:gridCol w:w="139"/>
        <w:gridCol w:w="143"/>
        <w:gridCol w:w="109"/>
        <w:gridCol w:w="109"/>
        <w:gridCol w:w="109"/>
        <w:gridCol w:w="196"/>
        <w:gridCol w:w="976"/>
        <w:gridCol w:w="109"/>
        <w:gridCol w:w="109"/>
        <w:gridCol w:w="109"/>
        <w:gridCol w:w="109"/>
        <w:gridCol w:w="196"/>
        <w:gridCol w:w="886"/>
        <w:gridCol w:w="109"/>
        <w:gridCol w:w="109"/>
        <w:gridCol w:w="109"/>
        <w:gridCol w:w="109"/>
        <w:gridCol w:w="196"/>
        <w:gridCol w:w="961"/>
        <w:gridCol w:w="109"/>
        <w:gridCol w:w="109"/>
        <w:gridCol w:w="109"/>
        <w:gridCol w:w="109"/>
        <w:gridCol w:w="196"/>
        <w:gridCol w:w="871"/>
        <w:gridCol w:w="154"/>
      </w:tblGrid>
      <w:tr>
        <w:trPr/>
        <w:tc>
          <w:tcPr>
            <w:tcW w:w="3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Maturity</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Final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w:t>
            </w:r>
            <w:r>
              <w:rPr>
                <w:rFonts w:ascii="Times New Roman;serif" w:hAnsi="Times New Roman;serif"/>
                <w:b/>
                <w:color w:val="000000"/>
                <w:sz w:val="10"/>
              </w:rPr>
              <w:t>(1)</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Date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SLG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SLG Share</w:t>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Debt:</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650 Fifth Avenue ⁽⁴⁾</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2026 ⁽⁴⁾</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 ⁽⁴⁾</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 Beekman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120,000 </w:t>
            </w:r>
          </w:p>
        </w:tc>
        <w:tc>
          <w:tcPr>
            <w:tcW w:w="109" w:type="dxa"/>
            <w:tcBorders/>
            <w:shd w:fill="CCEEFF" w:val="clear"/>
            <w:tcMar>
              <w:top w:w="0" w:type="dxa"/>
              <w:left w:w="0" w:type="dxa"/>
              <w:bottom w:w="0" w:type="dxa"/>
              <w:right w:w="0" w:type="dxa"/>
            </w:tcMar>
            <w:vAlign w:val="center"/>
          </w:tcPr>
          <w:p>
            <w:pPr>
              <w:pStyle w:val="TableContents"/>
              <w:bidi w:val="0"/>
              <w:spacing w:before="0" w:after="283"/>
              <w:ind w:left="0" w:right="0" w:hanging="45"/>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115 Spring Street ⁽⁴⁾</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33,431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800 Third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1515 Broadway</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724,550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412,044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919 Third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April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450 Park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289,256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72,604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280 Park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537,500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245 Park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1,768,000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Madison Avenue ⁽⁵⁾</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685,455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Worldwide Plaza ⁽⁴⁾</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220 East 42nd Street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2027</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496,412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 Madison Avenue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2030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Vanderbilt Avenue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2031</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1,650,300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6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debt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11,566,223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5,578,828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5,728,933 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Floating Rate Debt:</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11 West 34th Street ⁽⁴⁾</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2023 ⁽⁶⁾</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February 2023 ⁽⁶⁾</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650 Fifth Avenue ⁽⁴⁾</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w:t>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One Madison Avenue ⁽⁵⁾</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448,808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114,446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1552 Broadway ⁽⁴⁾⁽⁷⁾</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floating rate debt</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681,808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226,346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joint venture mortgages and other loans payable</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12,248,031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5,805,174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 net</w:t>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joint venture mortgages and other loans payable, net</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12,145,070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5,753,383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12,234,261 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(1)Economic interest represents the Company's interests in the joint venture as of September 30, 2025. Changes in ownership or economic interests, if any, within the current year are disclosed in the notes to the investment in unconsolidated joint ventures table above.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(2)Reflects exercise of all available extension options. The ability to exercise extension options may be subject to certain conditions, including the operating performance of the property.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(3)Interest rates as of September 30, 2025, taking into account interest rate hedges at the joint venture. Corporate interest rate hedges are not taken into consideration. Floating rate debt is presented with the stated spread over Term or Alternative SOFR ("S").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(4)Included in the Company's alternative strategy portfolio.</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(5)The loan is a $1.25 billion construction facility, which was fully extended to November 2027. Advances under the loan are subject to costs incurred. In conjunction with the loan, the Company provided partial guarantees for interest and principal payments, the amounts of which are based on certain construction milestones and operating metrics.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(6)The Company's joint venture partner is in discussions with the lender on resolution of the past maturity.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(7)In September, an affiliate of the Company and a joint venture partner extinguished the outstanding mortgage loan at 1552 Broadway.</w:t>
      </w:r>
    </w:p>
    <w:p>
      <w:pPr>
        <w:pStyle w:val="TextBody"/>
        <w:bidi w:val="0"/>
        <w:spacing w:before="0" w:after="0"/>
        <w:ind w:left="0" w:right="0" w:hanging="90"/>
        <w:jc w:val="both"/>
        <w:rPr/>
      </w:pPr>
      <w:r>
        <w:rPr/>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receive fees for providing management, leasing, construction supervision and asset management services to certain of our joint ventures. We recognized $4.3 million and $9.8 million from these services, net of our ownership share of the joint ventures, for the three and nine months ended September 30, 2025, respectively. We recognized $6.1 million and $12.7 million from these services, net of our ownership share of the joint ventures, for the three and nine months ended September 30, 2024, respectively. In addition, we have the ability to earn incentive fees based on the ultimate financial performance of certain of the joint venture properties.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combined balance sheets for the unconsolidated joint ventures, at September 30, 2025 and December 31, 2024 are as follows (in thousands):</w:t>
      </w:r>
    </w:p>
    <w:tbl>
      <w:tblPr>
        <w:tblW w:w="9549" w:type="dxa"/>
        <w:jc w:val="left"/>
        <w:tblInd w:w="0" w:type="dxa"/>
        <w:tblLayout w:type="fixed"/>
        <w:tblCellMar>
          <w:top w:w="28" w:type="dxa"/>
          <w:left w:w="28" w:type="dxa"/>
          <w:bottom w:w="28" w:type="dxa"/>
          <w:right w:w="28" w:type="dxa"/>
        </w:tblCellMar>
      </w:tblPr>
      <w:tblGrid>
        <w:gridCol w:w="2181"/>
        <w:gridCol w:w="1908"/>
        <w:gridCol w:w="1940"/>
        <w:gridCol w:w="245"/>
        <w:gridCol w:w="1223"/>
        <w:gridCol w:w="136"/>
        <w:gridCol w:w="109"/>
        <w:gridCol w:w="109"/>
        <w:gridCol w:w="109"/>
        <w:gridCol w:w="237"/>
        <w:gridCol w:w="1166"/>
        <w:gridCol w:w="186"/>
      </w:tblGrid>
      <w:tr>
        <w:trPr/>
        <w:tc>
          <w:tcPr>
            <w:tcW w:w="2181"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Assets </w:t>
            </w:r>
            <w:r>
              <w:rPr>
                <w:rFonts w:ascii="Times New Roman;serif" w:hAnsi="Times New Roman;serif"/>
                <w:b/>
                <w:i/>
                <w:color w:val="000000"/>
                <w:sz w:val="12"/>
              </w:rPr>
              <w:t>(1)</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property, net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15,251,863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15,327,542 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601,748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Tenant and other receivables, related party receivables, and deferred rents receivable</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735,504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621,748 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 net</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253,983</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828,181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1,611,396</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1,739,549 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19,282,675</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19,494,435 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Liabilities and equity </w:t>
            </w:r>
            <w:r>
              <w:rPr>
                <w:rFonts w:ascii="Times New Roman;serif" w:hAnsi="Times New Roman;serif"/>
                <w:b/>
                <w:i/>
                <w:color w:val="000000"/>
                <w:sz w:val="12"/>
              </w:rPr>
              <w:t>(1)</w:t>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Mortgages and other loans payable, net</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12,145,070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12,234,261 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879,137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956,217 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910,160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1,008,085 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434,761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4,913,547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4,776,290 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19,282,675</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19,494,435 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Company's investments in unconsolidated joint ventures</w:t>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2,627,443</w:t>
            </w:r>
            <w:r>
              <w:rPr>
                <w:color w:val="000000"/>
              </w:rPr>
              <w:t>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2,690,138 </w:t>
            </w:r>
          </w:p>
        </w:tc>
        <w:tc>
          <w:tcPr>
            <w:tcW w:w="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(1)At September 30, 2025, $435.6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combined statements of operations for the unconsolidated joint ventures, from acquisition date through the three and nine months ended September 30, 2025 and 2024, are as follows (in thousands):</w:t>
      </w:r>
    </w:p>
    <w:tbl>
      <w:tblPr>
        <w:tblW w:w="10205" w:type="dxa"/>
        <w:jc w:val="left"/>
        <w:tblInd w:w="0" w:type="dxa"/>
        <w:tblLayout w:type="fixed"/>
        <w:tblCellMar>
          <w:top w:w="28" w:type="dxa"/>
          <w:left w:w="28" w:type="dxa"/>
          <w:bottom w:w="28" w:type="dxa"/>
          <w:right w:w="28" w:type="dxa"/>
        </w:tblCellMar>
      </w:tblPr>
      <w:tblGrid>
        <w:gridCol w:w="1624"/>
        <w:gridCol w:w="1326"/>
        <w:gridCol w:w="1332"/>
        <w:gridCol w:w="224"/>
        <w:gridCol w:w="859"/>
        <w:gridCol w:w="124"/>
        <w:gridCol w:w="124"/>
        <w:gridCol w:w="124"/>
        <w:gridCol w:w="124"/>
        <w:gridCol w:w="224"/>
        <w:gridCol w:w="842"/>
        <w:gridCol w:w="124"/>
        <w:gridCol w:w="109"/>
        <w:gridCol w:w="109"/>
        <w:gridCol w:w="109"/>
        <w:gridCol w:w="201"/>
        <w:gridCol w:w="912"/>
        <w:gridCol w:w="111"/>
        <w:gridCol w:w="111"/>
        <w:gridCol w:w="111"/>
        <w:gridCol w:w="111"/>
        <w:gridCol w:w="201"/>
        <w:gridCol w:w="897"/>
        <w:gridCol w:w="172"/>
      </w:tblGrid>
      <w:tr>
        <w:trPr/>
        <w:tc>
          <w:tcPr>
            <w:tcW w:w="162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405,636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1,159,738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1,107,295 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71,447</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202,659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192,587 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71,117</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214,279</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9,458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111,539</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370,771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6,693</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18,590</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128,565</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375,405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407,429 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386,991</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432,471 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1,193,295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1,296,638 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129,068</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129,068</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147,713</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(55,522)</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95,511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Company's equity in net (loss) income from unconsolidated joint ventures</w:t>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(9,287)</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(15,428)</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(30,892)</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100,057 </w:t>
            </w:r>
          </w:p>
        </w:tc>
        <w:tc>
          <w:tcPr>
            <w:tcW w:w="1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7. Debt Fund </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capital committed to the Fund was $1.0 billion, of which $93.3 million had been contributed. As of September 30, 2025, the Company's share of the total capital committed to the Fund was $100.0 million, of which $8.5 million had been contributed.</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Fund acquired CMBS investments with an aggregate fair value of $87.7 million. During the nine months ended September 30, 2025, one investment was repaid.</w:t>
      </w:r>
    </w:p>
    <w:p>
      <w:pPr>
        <w:pStyle w:val="TextBody"/>
        <w:bidi w:val="0"/>
        <w:spacing w:lineRule="auto" w:line="26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Fund has a term of 7 years from its initial closing in November 2024. The term may be extended for up to three consecutive one-year periods. The Fund has an investment period of 3.5 years from its initial closing, which may be extended for one year. During the investment period, the Fund is our primary investment vehicle for all investments that fit within the Fund's investment parameters, as set forth in the Fund's operating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Mortgages and Other Loans Payable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mortgages and other loans payable collateralized by the respective properties and assignment of leases, debt investments or the Fund's investor capital commitments as of September 30, 2025 and December 31, 2024, respectively, were as follows (dollars in thousands):</w:t>
      </w:r>
    </w:p>
    <w:tbl>
      <w:tblPr>
        <w:tblW w:w="10205" w:type="dxa"/>
        <w:jc w:val="left"/>
        <w:tblInd w:w="0" w:type="dxa"/>
        <w:tblLayout w:type="fixed"/>
        <w:tblCellMar>
          <w:top w:w="28" w:type="dxa"/>
          <w:left w:w="28" w:type="dxa"/>
          <w:bottom w:w="28" w:type="dxa"/>
          <w:right w:w="28" w:type="dxa"/>
        </w:tblCellMar>
      </w:tblPr>
      <w:tblGrid>
        <w:gridCol w:w="887"/>
        <w:gridCol w:w="707"/>
        <w:gridCol w:w="712"/>
        <w:gridCol w:w="109"/>
        <w:gridCol w:w="109"/>
        <w:gridCol w:w="109"/>
        <w:gridCol w:w="497"/>
        <w:gridCol w:w="472"/>
        <w:gridCol w:w="473"/>
        <w:gridCol w:w="489"/>
        <w:gridCol w:w="463"/>
        <w:gridCol w:w="465"/>
        <w:gridCol w:w="109"/>
        <w:gridCol w:w="109"/>
        <w:gridCol w:w="109"/>
        <w:gridCol w:w="117"/>
        <w:gridCol w:w="117"/>
        <w:gridCol w:w="117"/>
        <w:gridCol w:w="166"/>
        <w:gridCol w:w="166"/>
        <w:gridCol w:w="174"/>
        <w:gridCol w:w="109"/>
        <w:gridCol w:w="109"/>
        <w:gridCol w:w="109"/>
        <w:gridCol w:w="235"/>
        <w:gridCol w:w="1063"/>
        <w:gridCol w:w="130"/>
        <w:gridCol w:w="109"/>
        <w:gridCol w:w="109"/>
        <w:gridCol w:w="109"/>
        <w:gridCol w:w="228"/>
        <w:gridCol w:w="1032"/>
        <w:gridCol w:w="187"/>
      </w:tblGrid>
      <w:tr>
        <w:trPr/>
        <w:tc>
          <w:tcPr>
            <w:tcW w:w="88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Maturity Date</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Final Maturity Date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Fixed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 Dey / 185 Broadway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2025</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190,148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East 53rd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2026</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204,663</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Church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365,000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Landmark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2027</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315 W 33rd 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250,000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485 Lexington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450,000</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500 Park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2028</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80,000</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420 Lexington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2040</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264,055</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1,903,866</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1,587,474</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Floating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Park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2025</w:t>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w:t>
            </w:r>
          </w:p>
        </w:tc>
        <w:tc>
          <w:tcPr>
            <w:tcW w:w="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382,872</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 subscription line ⁽³⁾</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2027</w:t>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w:t>
            </w:r>
          </w:p>
        </w:tc>
        <w:tc>
          <w:tcPr>
            <w:tcW w:w="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1,644</w:t>
            </w: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CMBS Repurchase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floating 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384,516 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2" w:type="dxa"/>
            <w:gridSpan w:val="9"/>
            <w:tcBorders/>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and other 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2,288,382</w:t>
            </w: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1,951,024 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 net of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(8,287)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and other loans payable,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2,280,095</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1,944,635 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(1)Reflects exercise of all available extension options. The ability to exercise extension options may be subject to certain conditions, including the operating performance of the property.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(2)Interest rate as of September 30, 2025, taking into account interest rate hedges in effect during the period. Floating rate debt is presented with the stated spread over Term or Alternative SOFR ("S"), unless otherwise specified.</w:t>
      </w:r>
    </w:p>
    <w:p>
      <w:pPr>
        <w:pStyle w:val="TextBody"/>
        <w:bidi w:val="0"/>
        <w:spacing w:lineRule="auto" w:line="276"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(3)The Fund has access to a subscription line of credit with a maximum commitment of $100 million, secured by investor capital commitments. The facility is used to fund acquisitions prior to capital calls and is repaid through capital contributions. The subscription line of credit is non-recourse to the Company.</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gross book value of the properties collateralizing the mortgages and other loans payable was approximately $2.7 billion and $2.2 billion,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333333"/>
          <w:sz w:val="20"/>
        </w:rPr>
      </w:pPr>
      <w:r>
        <w:rPr>
          <w:rFonts w:ascii="Times New Roman;serif" w:hAnsi="Times New Roman;serif"/>
          <w:b/>
          <w:color w:val="333333"/>
          <w:sz w:val="20"/>
        </w:rPr>
        <w:t>CMBS Repurchase Facility</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September 30, 2025, there have been no margin calls on the CMBS Repurchase Facility. At September 30, 2025, there was no outstanding balance on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Corporate Indebtedness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2021 Credit Facility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December 2021, we entered into an amended and restated credit facility, referred to as the 2021 credit facility, that was previously amended by the Company in November 2017, and was originally entered into by the Company in November 2012. As of September 30, 2025, the 2021 credit facility consisted of a $1.25 billion revolving credit facility, a $1.05 billion term loan (or "Term Loan A"), and a $100.0 million term loan (or "Term Loan B") with maturity dates of May 15, 2026, May 15, 2027, and November 19, 2025, respectively. Term Loan B has two six-month, as-of-right extension options to November 19, 2026.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 term indebtedness of the Company. As of September 30, 2025, the facility fee was 30 basis points.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$7.5 million of outstanding letters of credit, $390.0 million drawn under the revolving credit facility and $1.15 billion of outstanding term loans, with total undrawn capacity of $852.5 million under the 2021 credit facility. As of September 30, 2025 and December 31, 2024, the revolving credit facility had a carrying value of $387.4 million and $316.2 million, respectively, net of deferred financing costs. As of September 30, 2025 and December 31, 2024, the term loans had a carrying value of $1.1 billion and $1.1 billion, respectively, net of deferred financing costs.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and the Operating Partnership are borrowers jointly and severally obligated under the 2021 credit facility.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2021 credit facility includes certain restrictions and covenants (see Restrictive Covenants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Senior Unsecured Notes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senior unsecured notes and other related disclosures as of September 30, 2025 and December 31, 2024, respectively, by scheduled maturity date (dollars in thousands):</w:t>
      </w:r>
    </w:p>
    <w:tbl>
      <w:tblPr>
        <w:tblW w:w="10205" w:type="dxa"/>
        <w:jc w:val="left"/>
        <w:tblInd w:w="0" w:type="dxa"/>
        <w:tblLayout w:type="fixed"/>
        <w:tblCellMar>
          <w:top w:w="28" w:type="dxa"/>
          <w:left w:w="28" w:type="dxa"/>
          <w:bottom w:w="28" w:type="dxa"/>
          <w:right w:w="28" w:type="dxa"/>
        </w:tblCellMar>
      </w:tblPr>
      <w:tblGrid>
        <w:gridCol w:w="513"/>
        <w:gridCol w:w="452"/>
        <w:gridCol w:w="457"/>
        <w:gridCol w:w="109"/>
        <w:gridCol w:w="109"/>
        <w:gridCol w:w="109"/>
        <w:gridCol w:w="244"/>
        <w:gridCol w:w="939"/>
        <w:gridCol w:w="137"/>
        <w:gridCol w:w="109"/>
        <w:gridCol w:w="109"/>
        <w:gridCol w:w="109"/>
        <w:gridCol w:w="244"/>
        <w:gridCol w:w="939"/>
        <w:gridCol w:w="137"/>
        <w:gridCol w:w="109"/>
        <w:gridCol w:w="109"/>
        <w:gridCol w:w="109"/>
        <w:gridCol w:w="236"/>
        <w:gridCol w:w="891"/>
        <w:gridCol w:w="133"/>
        <w:gridCol w:w="109"/>
        <w:gridCol w:w="109"/>
        <w:gridCol w:w="109"/>
        <w:gridCol w:w="109"/>
        <w:gridCol w:w="109"/>
        <w:gridCol w:w="109"/>
        <w:gridCol w:w="233"/>
        <w:gridCol w:w="233"/>
        <w:gridCol w:w="256"/>
        <w:gridCol w:w="109"/>
        <w:gridCol w:w="109"/>
        <w:gridCol w:w="109"/>
        <w:gridCol w:w="292"/>
        <w:gridCol w:w="292"/>
        <w:gridCol w:w="293"/>
        <w:gridCol w:w="109"/>
        <w:gridCol w:w="109"/>
        <w:gridCol w:w="109"/>
        <w:gridCol w:w="304"/>
        <w:gridCol w:w="283"/>
        <w:gridCol w:w="408"/>
      </w:tblGrid>
      <w:tr>
        <w:trPr/>
        <w:tc>
          <w:tcPr>
            <w:tcW w:w="5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Unpaid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Principal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Accreted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Accreted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w:t>
            </w:r>
          </w:p>
          <w:p>
            <w:pPr>
              <w:pStyle w:val="TableContents"/>
              <w:bidi w:val="0"/>
              <w:spacing w:lineRule="auto" w:line="240"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r>
      <w:tr>
        <w:trPr/>
        <w:tc>
          <w:tcPr>
            <w:tcW w:w="1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17, 2015 ⁽²⁾</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2025</w:t>
            </w:r>
          </w:p>
        </w:tc>
      </w:tr>
      <w:tr>
        <w:trPr/>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99,974</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(1)Interest rate as of September 30, 2025.</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(2)Issued by the Company and the Operating Partnership as co-obligors in a private placement.</w: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Restrictive Covenants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September 30, 2025 and December 31, 2024, we were in compliance with all such covenants.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Junior Subordinated Deferrable Interest Debentures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Principal Maturities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Combined aggregate principal maturities of mortgages and other loans payable, the 2021 credit facility, trust preferred securities, senior unsecured notes and our share of joint venture debt as of September 30, 2025, including as-of-right extension options but excluding other extension options, were as follows (in thousands):</w:t>
      </w:r>
    </w:p>
    <w:tbl>
      <w:tblPr>
        <w:tblW w:w="12128" w:type="dxa"/>
        <w:jc w:val="left"/>
        <w:tblInd w:w="0" w:type="dxa"/>
        <w:tblLayout w:type="fixed"/>
        <w:tblCellMar>
          <w:top w:w="28" w:type="dxa"/>
          <w:left w:w="28" w:type="dxa"/>
          <w:bottom w:w="28" w:type="dxa"/>
          <w:right w:w="28" w:type="dxa"/>
        </w:tblCellMar>
      </w:tblPr>
      <w:tblGrid>
        <w:gridCol w:w="321"/>
        <w:gridCol w:w="282"/>
        <w:gridCol w:w="283"/>
        <w:gridCol w:w="297"/>
        <w:gridCol w:w="617"/>
        <w:gridCol w:w="167"/>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Scheduled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w:t>
              <w:br/>
              <w:t>Credit</w:t>
              <w:b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Unsecured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Trust</w:t>
              <w:br/>
              <w:t>Preferred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w:t>
              <w:br/>
              <w:t>Unsecured</w:t>
              <w:br/>
              <w: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Joint</w:t>
              <w:br/>
              <w:t>Venture</w:t>
              <w:br/>
              <w:t>Debt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2025</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Consolidated interest expense, excluding capitalized interest, was comprised of the following (in thousands):</w:t>
      </w:r>
    </w:p>
    <w:tbl>
      <w:tblPr>
        <w:tblW w:w="9181" w:type="dxa"/>
        <w:jc w:val="left"/>
        <w:tblInd w:w="0" w:type="dxa"/>
        <w:tblLayout w:type="fixed"/>
        <w:tblCellMar>
          <w:top w:w="28" w:type="dxa"/>
          <w:left w:w="28" w:type="dxa"/>
          <w:bottom w:w="28" w:type="dxa"/>
          <w:right w:w="28" w:type="dxa"/>
        </w:tblCellMar>
      </w:tblPr>
      <w:tblGrid>
        <w:gridCol w:w="1130"/>
        <w:gridCol w:w="991"/>
        <w:gridCol w:w="998"/>
        <w:gridCol w:w="252"/>
        <w:gridCol w:w="853"/>
        <w:gridCol w:w="140"/>
        <w:gridCol w:w="140"/>
        <w:gridCol w:w="140"/>
        <w:gridCol w:w="140"/>
        <w:gridCol w:w="252"/>
        <w:gridCol w:w="833"/>
        <w:gridCol w:w="140"/>
        <w:gridCol w:w="109"/>
        <w:gridCol w:w="109"/>
        <w:gridCol w:w="109"/>
        <w:gridCol w:w="226"/>
        <w:gridCol w:w="867"/>
        <w:gridCol w:w="125"/>
        <w:gridCol w:w="125"/>
        <w:gridCol w:w="125"/>
        <w:gridCol w:w="125"/>
        <w:gridCol w:w="226"/>
        <w:gridCol w:w="849"/>
        <w:gridCol w:w="177"/>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before capitalized interest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54,122</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158,762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financing leases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1,141</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3,413</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(6,841)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(19,948)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on assumed debt</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w:t>
            </w: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(1,497)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47,235</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138,234</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10. Related Party Transactions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One Vanderbilt Avenue Investment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December 2016, we entered into agreements with entities owned and controlled by our Chairman, Chief Executive Officer ("CEO")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 party appraisal that we obtained.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Holiday and Mathias exercised their rights to tender 50% of their interests in the property (excluding SUMMIT One Vanderbilt) in July 2022. In 2023, stabilization of SUMMIT One Vanderbilt was achieved.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Messrs. Holiday's and Mathias's remaining interests in the One Vanderbilt project are included in Preferred units and redeemable equity in the mezzanine equity section of the Company's consolidated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One Vanderbilt Avenue Leases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November 2018, we entered into a lease agreement with the One Vanderbilt Avenue joint venture covering certain floors at the property. In March 2021, the lease commenced and we relocated our corporate headquarters to the leased space. For the three and nine months ended September 30, 2025, we recorded $0.9 million and $2.7 million, respectively, of rent expense under the lease. For the three and nine months ended September 30, 2024, we recorded $0.7 million and $2.2 million, respectively, of rent expense under the lease.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June 2021, we, through a consolidated subsidiary, entered into a lease agreement with the One Vanderbilt Avenue joint venture for SUMMIT One Vanderbilt, which commenced operations in October 2021. In June 2025, we, through a consolidated subsidiary, entered into a second lease agreement with the One Vanderbilt Avenue joint venture for SUMMIT One Vanderbilt for special event space. For the three and nine months ended September 30, 2025, we recorded $17.7 million and $30.3 million, respectively, of rent expense under the leases, including percentage rent, of which $10.1 million and $17.1 million, respectively, was recognized as income as a component of Equity in net income (loss) from unconsolidated joint ventures in our consolidated statements of operations. For the three and nine months ended September 30, 2024, we recorded $20.8 million and $33.4 million, respectively, of rent expense under the lease, including percentage rent, of which $14.4 million and $22.7 million, respectively, was recognized as income as a component of Equity in net income (loss) from unconsolidated joint ventures in our consolidated statements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760 Madison Avenue Giorgio Armani Residence Condominium Unit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July 2024, the Company entered into an agreement to sell one of the Giorgio Armani Residence condominium units located at 760 Madison Avenue to an entity owned by a trust of which the beneficiaries are the family members of our Chairman, CEO and Interim President, Marc Holliday, for $8.4 million. The transaction closed in February 2025.</w:t>
      </w:r>
    </w:p>
    <w:p>
      <w:pPr>
        <w:pStyle w:val="TextBody"/>
        <w:bidi w:val="0"/>
        <w:spacing w:before="0" w:after="12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receive fees for providing management, leasing, construction supervision and asset management services to certain of our joint ventures as further described in Note 6, "Investments in Unconsolidated Joint Ventures." Amounts due from joint ventures, inclusive of our ownership share of the joint ventures, and related parties as of September 30, 2025 and December 31, 2024 consisted of the following (in thousands):</w:t>
      </w:r>
    </w:p>
    <w:tbl>
      <w:tblPr>
        <w:tblW w:w="5395" w:type="dxa"/>
        <w:jc w:val="left"/>
        <w:tblInd w:w="0" w:type="dxa"/>
        <w:tblLayout w:type="fixed"/>
        <w:tblCellMar>
          <w:top w:w="28" w:type="dxa"/>
          <w:left w:w="28" w:type="dxa"/>
          <w:bottom w:w="28" w:type="dxa"/>
          <w:right w:w="28" w:type="dxa"/>
        </w:tblCellMar>
      </w:tblPr>
      <w:tblGrid>
        <w:gridCol w:w="679"/>
        <w:gridCol w:w="595"/>
        <w:gridCol w:w="600"/>
        <w:gridCol w:w="325"/>
        <w:gridCol w:w="1098"/>
        <w:gridCol w:w="181"/>
        <w:gridCol w:w="109"/>
        <w:gridCol w:w="109"/>
        <w:gridCol w:w="109"/>
        <w:gridCol w:w="308"/>
        <w:gridCol w:w="1040"/>
        <w:gridCol w:w="242"/>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joint ventures</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14,802</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15,287</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26,865</w:t>
            </w: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Noncontrolling Interests on the Company's Consolidated Financial Statements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Common Units of Limited Partnership Interest in the Operating Partnership</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noncontrolling interest unit holders owned 6.39%, or 4,849,771 units, and 5.97%, or 4,509,953 units, of the Operating Partnership, respectively. As of September 30, 2025, 4,849,771 shares of our common stock were reserved for issuance upon the redemption of units of limited partnership interest of the Operating Partnership.</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interests in the Operating Partnership is recorded at the greater of its cost basis or fair market value based on the closing stock price of our common stock at the end of the reporting period.</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relating to the noncontrolling interests in the Operating Partnership for the nine months ended September 30, 2025 and the twelve months ended December 31, 2024 (in thousands):</w:t>
      </w:r>
    </w:p>
    <w:tbl>
      <w:tblPr>
        <w:tblW w:w="7812" w:type="dxa"/>
        <w:jc w:val="left"/>
        <w:tblInd w:w="0" w:type="dxa"/>
        <w:tblLayout w:type="fixed"/>
        <w:tblCellMar>
          <w:top w:w="28" w:type="dxa"/>
          <w:left w:w="28" w:type="dxa"/>
          <w:bottom w:w="28" w:type="dxa"/>
          <w:right w:w="28" w:type="dxa"/>
        </w:tblCellMar>
      </w:tblPr>
      <w:tblGrid>
        <w:gridCol w:w="1553"/>
        <w:gridCol w:w="1366"/>
        <w:gridCol w:w="1371"/>
        <w:gridCol w:w="298"/>
        <w:gridCol w:w="1142"/>
        <w:gridCol w:w="165"/>
        <w:gridCol w:w="109"/>
        <w:gridCol w:w="109"/>
        <w:gridCol w:w="109"/>
        <w:gridCol w:w="287"/>
        <w:gridCol w:w="1078"/>
        <w:gridCol w:w="225"/>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288,941</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238,051 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units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14,083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and conversion of common units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(21,558)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 allocation</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14,243</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280,873</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20" w:after="120"/>
        <w:jc w:val="both"/>
        <w:rPr>
          <w:rFonts w:ascii="Times New Roman;serif" w:hAnsi="Times New Roman;serif"/>
          <w:b/>
          <w:color w:val="000000"/>
          <w:sz w:val="20"/>
        </w:rPr>
      </w:pPr>
      <w:r>
        <w:rPr>
          <w:rFonts w:ascii="Times New Roman;serif" w:hAnsi="Times New Roman;serif"/>
          <w:b/>
          <w:color w:val="000000"/>
          <w:sz w:val="20"/>
        </w:rPr>
        <w:t>Preferred Units of Limited Partnership Interest in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preferred units of limited partnership interest in the Operating Partnership as of September 30, 2025:</w:t>
      </w:r>
    </w:p>
    <w:tbl>
      <w:tblPr>
        <w:tblW w:w="11958" w:type="dxa"/>
        <w:jc w:val="center"/>
        <w:tblInd w:w="0" w:type="dxa"/>
        <w:tblLayout w:type="fixed"/>
        <w:tblCellMar>
          <w:top w:w="28" w:type="dxa"/>
          <w:left w:w="28" w:type="dxa"/>
          <w:bottom w:w="28" w:type="dxa"/>
          <w:right w:w="28" w:type="dxa"/>
        </w:tblCellMar>
      </w:tblPr>
      <w:tblGrid>
        <w:gridCol w:w="288"/>
        <w:gridCol w:w="253"/>
        <w:gridCol w:w="255"/>
        <w:gridCol w:w="109"/>
        <w:gridCol w:w="109"/>
        <w:gridCol w:w="109"/>
        <w:gridCol w:w="241"/>
        <w:gridCol w:w="241"/>
        <w:gridCol w:w="569"/>
        <w:gridCol w:w="109"/>
        <w:gridCol w:w="109"/>
        <w:gridCol w:w="109"/>
        <w:gridCol w:w="546"/>
        <w:gridCol w:w="325"/>
        <w:gridCol w:w="326"/>
        <w:gridCol w:w="109"/>
        <w:gridCol w:w="109"/>
        <w:gridCol w:w="109"/>
        <w:gridCol w:w="621"/>
        <w:gridCol w:w="250"/>
        <w:gridCol w:w="251"/>
        <w:gridCol w:w="109"/>
        <w:gridCol w:w="109"/>
        <w:gridCol w:w="109"/>
        <w:gridCol w:w="511"/>
        <w:gridCol w:w="360"/>
        <w:gridCol w:w="361"/>
        <w:gridCol w:w="109"/>
        <w:gridCol w:w="109"/>
        <w:gridCol w:w="109"/>
        <w:gridCol w:w="196"/>
        <w:gridCol w:w="736"/>
        <w:gridCol w:w="109"/>
        <w:gridCol w:w="109"/>
        <w:gridCol w:w="109"/>
        <w:gridCol w:w="109"/>
        <w:gridCol w:w="196"/>
        <w:gridCol w:w="781"/>
        <w:gridCol w:w="109"/>
        <w:gridCol w:w="109"/>
        <w:gridCol w:w="109"/>
        <w:gridCol w:w="109"/>
        <w:gridCol w:w="273"/>
        <w:gridCol w:w="565"/>
        <w:gridCol w:w="153"/>
        <w:gridCol w:w="109"/>
        <w:gridCol w:w="109"/>
        <w:gridCol w:w="109"/>
        <w:gridCol w:w="242"/>
        <w:gridCol w:w="242"/>
        <w:gridCol w:w="342"/>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Stated Distribution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Annual Dividend Per Unit</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Liquidation Preference Per Unit</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Conversion Price Per Unit</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Issuance</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A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109,161 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2007</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341,677 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2014</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272,783 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2014</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1,077,280 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2015</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V </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2019</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Series W </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2020</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(1)Dividends are cumulative, subject to certain provisions.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(2)Units are redeemable at any time at par for cash at the option of the unit holder unless otherwise specified.</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(4)Issued through a consolidated subsidiary. The units are redeemable at any time after December 13, 2024 at par for cash at the option of the unit holder.</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(5)The Series V Preferred Units are redeemable at any time after January 1, 2025 at par for cash at the option of the unit holder.</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(6)The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pStyle w:val="TextBody"/>
        <w:bidi w:val="0"/>
        <w:spacing w:before="0" w:after="0"/>
        <w:ind w:left="0" w:right="0" w:hanging="9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summary of the activity relating to the preferred units in the Operating Partnership for the nine months ended September 30, 2025 and the twelve months ended December 31, 2024 (in thousands):</w:t>
      </w:r>
    </w:p>
    <w:tbl>
      <w:tblPr>
        <w:tblW w:w="6281" w:type="dxa"/>
        <w:jc w:val="left"/>
        <w:tblInd w:w="0" w:type="dxa"/>
        <w:tblLayout w:type="fixed"/>
        <w:tblCellMar>
          <w:top w:w="28" w:type="dxa"/>
          <w:left w:w="28" w:type="dxa"/>
          <w:bottom w:w="28" w:type="dxa"/>
          <w:right w:w="28" w:type="dxa"/>
        </w:tblCellMar>
      </w:tblPr>
      <w:tblGrid>
        <w:gridCol w:w="998"/>
        <w:gridCol w:w="878"/>
        <w:gridCol w:w="883"/>
        <w:gridCol w:w="298"/>
        <w:gridCol w:w="1142"/>
        <w:gridCol w:w="165"/>
        <w:gridCol w:w="109"/>
        <w:gridCol w:w="109"/>
        <w:gridCol w:w="109"/>
        <w:gridCol w:w="287"/>
        <w:gridCol w:w="1078"/>
        <w:gridCol w:w="22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164,210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preferred units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preferred units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on preferred units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(4,299)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 on preferred units</w:t>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4,308</w:t>
            </w: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164,219</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12. Stockholders' Equity of the Company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September 30, 2025, 71,028,166 shares of common stock and no shares of excess stock were issued and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in place a share repurchase program of $3.5 billion under which we can buy shares of our common stock.</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36,107,719 shares have been repurchased under the program, excluding the redemption of OP units. We did not repurchase any shares under the program during the nine months ended September 30, 2025.</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Perpetual Preferred Stock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 Reinvestment and Stock Purchase Plan ("DRSPP")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SL Green common stock issued, and proceeds received from dividend reinvestments and/or stock purchases under the DRSPP for the three and nine months ended September 30, 2025 and 2024, respectively (dollars in thousands):</w:t>
      </w:r>
    </w:p>
    <w:tbl>
      <w:tblPr>
        <w:tblW w:w="10205" w:type="dxa"/>
        <w:jc w:val="left"/>
        <w:tblInd w:w="0" w:type="dxa"/>
        <w:tblLayout w:type="fixed"/>
        <w:tblCellMar>
          <w:top w:w="28" w:type="dxa"/>
          <w:left w:w="28" w:type="dxa"/>
          <w:bottom w:w="28" w:type="dxa"/>
          <w:right w:w="28" w:type="dxa"/>
        </w:tblCellMar>
      </w:tblPr>
      <w:tblGrid>
        <w:gridCol w:w="1523"/>
        <w:gridCol w:w="1328"/>
        <w:gridCol w:w="1341"/>
        <w:gridCol w:w="291"/>
        <w:gridCol w:w="513"/>
        <w:gridCol w:w="161"/>
        <w:gridCol w:w="161"/>
        <w:gridCol w:w="161"/>
        <w:gridCol w:w="161"/>
        <w:gridCol w:w="291"/>
        <w:gridCol w:w="959"/>
        <w:gridCol w:w="161"/>
        <w:gridCol w:w="109"/>
        <w:gridCol w:w="109"/>
        <w:gridCol w:w="109"/>
        <w:gridCol w:w="267"/>
        <w:gridCol w:w="596"/>
        <w:gridCol w:w="148"/>
        <w:gridCol w:w="148"/>
        <w:gridCol w:w="148"/>
        <w:gridCol w:w="148"/>
        <w:gridCol w:w="267"/>
        <w:gridCol w:w="884"/>
        <w:gridCol w:w="221"/>
      </w:tblGrid>
      <w:tr>
        <w:trPr/>
        <w:tc>
          <w:tcPr>
            <w:tcW w:w="15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issued</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341,180 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reinvestments/stock purchases under the DRSPP</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Earnings per Share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SL Green's earnings per share for the three and nine months ended September 30, 2025 and 2024 are computed as follows (in thousands):</w:t>
      </w:r>
    </w:p>
    <w:tbl>
      <w:tblPr>
        <w:tblW w:w="10205" w:type="dxa"/>
        <w:jc w:val="left"/>
        <w:tblInd w:w="0" w:type="dxa"/>
        <w:tblLayout w:type="fixed"/>
        <w:tblCellMar>
          <w:top w:w="28" w:type="dxa"/>
          <w:left w:w="28" w:type="dxa"/>
          <w:bottom w:w="28" w:type="dxa"/>
          <w:right w:w="28" w:type="dxa"/>
        </w:tblCellMar>
      </w:tblPr>
      <w:tblGrid>
        <w:gridCol w:w="1723"/>
        <w:gridCol w:w="1500"/>
        <w:gridCol w:w="1506"/>
        <w:gridCol w:w="223"/>
        <w:gridCol w:w="753"/>
        <w:gridCol w:w="124"/>
        <w:gridCol w:w="124"/>
        <w:gridCol w:w="124"/>
        <w:gridCol w:w="124"/>
        <w:gridCol w:w="223"/>
        <w:gridCol w:w="795"/>
        <w:gridCol w:w="124"/>
        <w:gridCol w:w="109"/>
        <w:gridCol w:w="109"/>
        <w:gridCol w:w="109"/>
        <w:gridCol w:w="225"/>
        <w:gridCol w:w="700"/>
        <w:gridCol w:w="125"/>
        <w:gridCol w:w="125"/>
        <w:gridCol w:w="125"/>
        <w:gridCol w:w="125"/>
        <w:gridCol w:w="225"/>
        <w:gridCol w:w="700"/>
        <w:gridCol w:w="185"/>
      </w:tblGrid>
      <w:tr>
        <w:trPr/>
        <w:tc>
          <w:tcPr>
            <w:tcW w:w="1723"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SL Green common stockholders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24,874</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distributed earnings allocated to participating securities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 Green common stockholders (numerator for basic earnings per share)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24,355</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(8,854)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dilutive effect of earnings allocated to participating securities and contingently issuable shares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rPr/>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effect of dilutive securities (redemption of units to common shares)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SL Green common stockholders (numerator for diluted earnings per share)</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24,355</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(13,714)</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(8,854)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(3,607)</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14"/>
        <w:gridCol w:w="1243"/>
        <w:gridCol w:w="1250"/>
        <w:gridCol w:w="459"/>
        <w:gridCol w:w="305"/>
        <w:gridCol w:w="293"/>
        <w:gridCol w:w="293"/>
        <w:gridCol w:w="293"/>
        <w:gridCol w:w="293"/>
        <w:gridCol w:w="448"/>
        <w:gridCol w:w="305"/>
        <w:gridCol w:w="293"/>
        <w:gridCol w:w="109"/>
        <w:gridCol w:w="109"/>
        <w:gridCol w:w="109"/>
        <w:gridCol w:w="459"/>
        <w:gridCol w:w="289"/>
        <w:gridCol w:w="277"/>
        <w:gridCol w:w="277"/>
        <w:gridCol w:w="277"/>
        <w:gridCol w:w="277"/>
        <w:gridCol w:w="448"/>
        <w:gridCol w:w="288"/>
        <w:gridCol w:w="397"/>
      </w:tblGrid>
      <w:tr>
        <w:trPr/>
        <w:tc>
          <w:tcPr>
            <w:tcW w:w="141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Shares: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stock outstanding</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70,443</w:t>
            </w: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70,434</w:t>
            </w: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Partnership units redeemable for common shares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stock outstanding</w:t>
            </w:r>
          </w:p>
        </w:tc>
        <w:tc>
          <w:tcPr>
            <w:tcW w:w="7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71,148</w:t>
            </w:r>
            <w:r>
              <w:rPr>
                <w:color w:val="000000"/>
              </w:rPr>
              <w:t>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64,388 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70,434</w:t>
            </w: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64,355 </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excluded 5,633,308 and 6,358,175 common stock equivalents from the calculation of diluted shares outstanding for the three and nine months ended September 30, 2025, respectively, as they were anti-dilutive. The Company has excluded 5,345,430 and 5,155,662 common stock equivalents from the calculation of diluted shares outstanding for the three and nine months ended September 30, 2024, respectively, as they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13. Partners' Capital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is the sole managing general partner of the Operating Partnership and at September 30, 2025 owned 71,028,166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(loss) allocated to the preferred unitholders and common unitholders reflects their pro rata share of net income (loss) and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Limited Partner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limited partners, other than SL Green, owned 6.39%, or 4,849,771 common units, of the Operating Partnership.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Preferred Units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Preferred units not owned by SL Green are further described in Note 11, “Noncontrolling Interests on the Company's Consolidated Financial Statements - Preferred Units of Limited Partnership Interest in the Operating Partnership.”</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Earnings per Unit</w:t>
      </w:r>
    </w:p>
    <w:p>
      <w:pPr>
        <w:pStyle w:val="TextBody"/>
        <w:bidi w:val="0"/>
        <w:spacing w:lineRule="auto" w:line="288" w:before="16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Operating Partnership's earnings per unit for the three and nine months ended September 30, 2025 and 2024, respectively, are computed as follows (in thousands):</w:t>
      </w:r>
    </w:p>
    <w:tbl>
      <w:tblPr>
        <w:tblW w:w="10205" w:type="dxa"/>
        <w:jc w:val="center"/>
        <w:tblInd w:w="0" w:type="dxa"/>
        <w:tblLayout w:type="fixed"/>
        <w:tblCellMar>
          <w:top w:w="28" w:type="dxa"/>
          <w:left w:w="28" w:type="dxa"/>
          <w:bottom w:w="28" w:type="dxa"/>
          <w:right w:w="28" w:type="dxa"/>
        </w:tblCellMar>
      </w:tblPr>
      <w:tblGrid>
        <w:gridCol w:w="1698"/>
        <w:gridCol w:w="1490"/>
        <w:gridCol w:w="1494"/>
        <w:gridCol w:w="223"/>
        <w:gridCol w:w="754"/>
        <w:gridCol w:w="124"/>
        <w:gridCol w:w="124"/>
        <w:gridCol w:w="124"/>
        <w:gridCol w:w="124"/>
        <w:gridCol w:w="223"/>
        <w:gridCol w:w="796"/>
        <w:gridCol w:w="124"/>
        <w:gridCol w:w="109"/>
        <w:gridCol w:w="109"/>
        <w:gridCol w:w="109"/>
        <w:gridCol w:w="220"/>
        <w:gridCol w:w="785"/>
        <w:gridCol w:w="122"/>
        <w:gridCol w:w="122"/>
        <w:gridCol w:w="122"/>
        <w:gridCol w:w="122"/>
        <w:gridCol w:w="220"/>
        <w:gridCol w:w="684"/>
        <w:gridCol w:w="183"/>
      </w:tblGrid>
      <w:tr>
        <w:trPr/>
        <w:tc>
          <w:tcPr>
            <w:tcW w:w="169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SLGOP common unitholders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26,611</w:t>
            </w: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distributed earnings allocated to participating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SLGOP common unitholders (numerator for basic earnings per unit)</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25,372</w:t>
            </w: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(15,340)</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(11,521)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dilutive effect of earnings allocated to participating securities and contingently issuable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attributable to SLGOP common unitholders (numerator for diluted earnings per unit)</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25,585</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(15,340)</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(11,521)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1341"/>
        <w:gridCol w:w="1179"/>
        <w:gridCol w:w="1184"/>
        <w:gridCol w:w="459"/>
        <w:gridCol w:w="315"/>
        <w:gridCol w:w="310"/>
        <w:gridCol w:w="310"/>
        <w:gridCol w:w="310"/>
        <w:gridCol w:w="310"/>
        <w:gridCol w:w="448"/>
        <w:gridCol w:w="314"/>
        <w:gridCol w:w="310"/>
        <w:gridCol w:w="109"/>
        <w:gridCol w:w="109"/>
        <w:gridCol w:w="109"/>
        <w:gridCol w:w="459"/>
        <w:gridCol w:w="297"/>
        <w:gridCol w:w="292"/>
        <w:gridCol w:w="292"/>
        <w:gridCol w:w="292"/>
        <w:gridCol w:w="292"/>
        <w:gridCol w:w="448"/>
        <w:gridCol w:w="296"/>
        <w:gridCol w:w="420"/>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units: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units outstanding</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74,318</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74,433</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Contingently issuable units </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units outstanding</w:t>
            </w:r>
          </w:p>
        </w:tc>
        <w:tc>
          <w:tcPr>
            <w:tcW w:w="7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75,635</w:t>
            </w:r>
            <w:r>
              <w:rPr>
                <w:color w:val="000000"/>
              </w:rPr>
              <w:t>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67,999 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74,433</w:t>
            </w:r>
            <w:r>
              <w:rPr>
                <w:color w:val="000000"/>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68,092 </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has excluded 1,145,802 and 2,360,021 common unit equivalents from the diluted units outstanding for the three and nine months ended September 30, 2025, respectively, as they were anti-dilutive. The Operating Partnership has excluded 1,734,283 and 1,418,306 common unit equivalents from the diluted units outstanding for the three and nine months ended September 30, 2024, respectively, as they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14. Share-based Compensation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Sixth Amended and Restated 2005 Stock Option and Incentive Plan, or the 2005 Plan, was approved by the Company's Board of Directors in April 2025 and its stockholders in June 2025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39,890,000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3.20 Fungible Units per share subject to such awards, (2) stock options, stock appreciation rights, Class O LTIP units and other awards that do not deliver full value of the underlying shares and expire five years from the date of grant counting as 0.87 fungible units per share subject to such awards, and (3) all other awards (e.g., 10-year stock options) counting as 1.0 fungible units per share subject to such awards. Awards granted under the 2005 Plan prior to the approval of the sixth amendment and restatement in June 2025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39,890,000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3, 2035, which is the tenth anniversary of the date that the 2005 Plan was most recently approved by the Company's stockholders. As of September 30, 2025, 9.3 million fungible units were available for issuance under the 2005 Plan after reserving for shares underlying outstanding restricted stock units, phantom stock units granted pursuant to our Non-Employee Directors' Deferral Program and LTIP Units.</w:t>
      </w:r>
    </w:p>
    <w:p>
      <w:pPr>
        <w:pStyle w:val="TextBody"/>
        <w:bidi w:val="0"/>
        <w:spacing w:lineRule="auto" w:line="268" w:before="0" w:after="120"/>
        <w:jc w:val="left"/>
        <w:rPr>
          <w:rFonts w:ascii="Times New Roman;serif" w:hAnsi="Times New Roman;serif"/>
          <w:b/>
          <w:color w:val="000000"/>
          <w:sz w:val="20"/>
        </w:rPr>
      </w:pPr>
      <w:r>
        <w:rPr>
          <w:rFonts w:ascii="Times New Roman;serif" w:hAnsi="Times New Roman;serif"/>
          <w:b/>
          <w:color w:val="000000"/>
          <w:sz w:val="20"/>
        </w:rPr>
        <w:t>Stock Options and Class O LTIP Units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our Chairman, CEO and Interim President,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2025, December 31, 2026, and December 31, 2027.</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or LTIP Unit granted is estimated on the date of grant using the Black-Scholes option pricing model based on historical information with the following weighted average assumptions for grants during the nine months ended September 30, 2025 and the year ended December 31, 2024.</w:t>
      </w:r>
    </w:p>
    <w:tbl>
      <w:tblPr>
        <w:tblW w:w="5755" w:type="dxa"/>
        <w:jc w:val="left"/>
        <w:tblInd w:w="0" w:type="dxa"/>
        <w:tblLayout w:type="fixed"/>
        <w:tblCellMar>
          <w:top w:w="28" w:type="dxa"/>
          <w:left w:w="28" w:type="dxa"/>
          <w:bottom w:w="28" w:type="dxa"/>
          <w:right w:w="28" w:type="dxa"/>
        </w:tblCellMar>
      </w:tblPr>
      <w:tblGrid>
        <w:gridCol w:w="810"/>
        <w:gridCol w:w="709"/>
        <w:gridCol w:w="715"/>
        <w:gridCol w:w="534"/>
        <w:gridCol w:w="534"/>
        <w:gridCol w:w="536"/>
        <w:gridCol w:w="109"/>
        <w:gridCol w:w="109"/>
        <w:gridCol w:w="109"/>
        <w:gridCol w:w="314"/>
        <w:gridCol w:w="314"/>
        <w:gridCol w:w="962"/>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life</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zero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 years</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w:t>
            </w:r>
            <w:r>
              <w:rPr>
                <w:color w:val="000000"/>
              </w:rPr>
              <w:t> </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stock price volatility</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w:t>
            </w:r>
            <w:r>
              <w:rPr>
                <w:color w:val="000000"/>
              </w:rPr>
              <w:t> </w:t>
            </w:r>
          </w:p>
        </w:tc>
        <w:tc>
          <w:tcPr>
            <w:tcW w:w="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status of the Company's stock options as of September 30, 2025 and December 31, 2024, and changes during the nine months ended September 30, 2025 and year ended December 31, 2024 are as follows:</w:t>
      </w:r>
    </w:p>
    <w:tbl>
      <w:tblPr>
        <w:tblW w:w="10204" w:type="dxa"/>
        <w:jc w:val="left"/>
        <w:tblInd w:w="0" w:type="dxa"/>
        <w:tblLayout w:type="fixed"/>
        <w:tblCellMar>
          <w:top w:w="28" w:type="dxa"/>
          <w:left w:w="28" w:type="dxa"/>
          <w:bottom w:w="28" w:type="dxa"/>
          <w:right w:w="28" w:type="dxa"/>
        </w:tblCellMar>
      </w:tblPr>
      <w:tblGrid>
        <w:gridCol w:w="966"/>
        <w:gridCol w:w="850"/>
        <w:gridCol w:w="854"/>
        <w:gridCol w:w="579"/>
        <w:gridCol w:w="579"/>
        <w:gridCol w:w="581"/>
        <w:gridCol w:w="109"/>
        <w:gridCol w:w="109"/>
        <w:gridCol w:w="109"/>
        <w:gridCol w:w="307"/>
        <w:gridCol w:w="1037"/>
        <w:gridCol w:w="171"/>
        <w:gridCol w:w="109"/>
        <w:gridCol w:w="109"/>
        <w:gridCol w:w="109"/>
        <w:gridCol w:w="579"/>
        <w:gridCol w:w="579"/>
        <w:gridCol w:w="581"/>
        <w:gridCol w:w="109"/>
        <w:gridCol w:w="109"/>
        <w:gridCol w:w="109"/>
        <w:gridCol w:w="307"/>
        <w:gridCol w:w="1012"/>
        <w:gridCol w:w="241"/>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Exercise Price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333,897</w:t>
            </w:r>
            <w:r>
              <w:rPr>
                <w:color w:val="000000"/>
              </w:rPr>
              <w:t>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81.63</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115,980 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217,917 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Lapsed or canceled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333,897</w:t>
            </w:r>
            <w:r>
              <w:rPr>
                <w:color w:val="000000"/>
              </w:rPr>
              <w:t>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81.63</w:t>
            </w: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333,897 </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exercisable at end of period</w:t>
            </w:r>
          </w:p>
        </w:tc>
        <w:tc>
          <w:tcPr>
            <w:tcW w:w="11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115,980</w:t>
            </w:r>
            <w:r>
              <w:rPr>
                <w:color w:val="000000"/>
              </w:rPr>
              <w:t> </w:t>
            </w:r>
          </w:p>
        </w:tc>
        <w:tc>
          <w:tcPr>
            <w:tcW w:w="5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103.52</w:t>
            </w: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115,980 </w:t>
            </w:r>
          </w:p>
        </w:tc>
        <w:tc>
          <w:tcPr>
            <w:tcW w:w="5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remaining weighted average contractual life of the options outstanding was 6.2 years and the remaining average contractual life of the options exercisable was 1.2 years.</w:t>
      </w:r>
    </w:p>
    <w:p>
      <w:pPr>
        <w:pStyle w:val="TextBody"/>
        <w:bidi w:val="0"/>
        <w:spacing w:lineRule="auto" w:line="288" w:before="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we recognized $0.4 million and $1.1 million compensation expense related to options. As of September 30, 2025, there was $3.4 million unrecognized compensation cost related to unvested stock options.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Restricted Shares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as of September 30, 2025 and December 31, 2024 and changes during the nine months ended September 30, 2025 and the year ended December 31, 2024, are as follows:</w:t>
      </w:r>
    </w:p>
    <w:tbl>
      <w:tblPr>
        <w:tblW w:w="8058" w:type="dxa"/>
        <w:jc w:val="center"/>
        <w:tblInd w:w="0" w:type="dxa"/>
        <w:tblLayout w:type="fixed"/>
        <w:tblCellMar>
          <w:top w:w="28" w:type="dxa"/>
          <w:left w:w="28" w:type="dxa"/>
          <w:bottom w:w="28" w:type="dxa"/>
          <w:right w:w="28" w:type="dxa"/>
        </w:tblCellMar>
      </w:tblPr>
      <w:tblGrid>
        <w:gridCol w:w="1563"/>
        <w:gridCol w:w="1375"/>
        <w:gridCol w:w="1381"/>
        <w:gridCol w:w="245"/>
        <w:gridCol w:w="1223"/>
        <w:gridCol w:w="136"/>
        <w:gridCol w:w="109"/>
        <w:gridCol w:w="109"/>
        <w:gridCol w:w="109"/>
        <w:gridCol w:w="239"/>
        <w:gridCol w:w="1173"/>
        <w:gridCol w:w="133"/>
        <w:gridCol w:w="109"/>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4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4,449,709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4,089,174 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7,300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w:t>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4,447,374</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4,449,709 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during the period</w:t>
            </w:r>
          </w:p>
        </w:tc>
        <w:tc>
          <w:tcPr>
            <w:tcW w:w="146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226,806</w:t>
            </w: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143,453 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recorded</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11,170,088</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10,939,602 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restricted stock granted during the period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453,532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24,676,422 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fair value of restricted stock that vested during the nine months ended September 30, 2025 and the year ended December 31, 2024 was $11.0 million and $7.4 million, respectively. As of September 30, 2025, there was $19.6 million of total unrecognized compensation cost related to restricted stock, which is expected to be recognized over a weighted average period of 1.8 years.</w:t>
      </w:r>
    </w:p>
    <w:p>
      <w:pPr>
        <w:pStyle w:val="TextBody"/>
        <w:bidi w:val="0"/>
        <w:spacing w:lineRule="auto" w:line="288" w:before="0" w:after="120"/>
        <w:ind w:left="0" w:right="0" w:firstLine="495"/>
        <w:jc w:val="both"/>
        <w:rPr/>
      </w:pPr>
      <w:r>
        <w:rPr>
          <w:rFonts w:ascii="Times New Roman;serif" w:hAnsi="Times New Roman;serif"/>
          <w:b w:val="false"/>
          <w:color w:val="000000"/>
          <w:sz w:val="20"/>
        </w:rPr>
        <w:t xml:space="preserve">We granted LTIP Units, which include bonus, time-based and performance-based awards, with a fair value of $24.5 million and $34.1 million as of September 30, 2025 and December 31, 2024, respectively. The grant date fair value of the LTIP Unit awards was calculated in accordance with ASC Topic 718, </w:t>
      </w:r>
      <w:r>
        <w:rPr>
          <w:rFonts w:ascii="Times New Roman;serif" w:hAnsi="Times New Roman;serif"/>
          <w:b w:val="false"/>
          <w:i/>
          <w:color w:val="000000"/>
          <w:sz w:val="20"/>
        </w:rPr>
        <w:t>Compensation - Stock Compensation</w:t>
      </w:r>
      <w:r>
        <w:rPr>
          <w:color w:val="000000"/>
        </w:rPr>
        <w:t xml:space="preserve"> </w:t>
      </w:r>
      <w:r>
        <w:rPr>
          <w:rFonts w:ascii="Times New Roman;serif" w:hAnsi="Times New Roman;serif"/>
          <w:b w:val="false"/>
          <w:color w:val="000000"/>
          <w:sz w:val="20"/>
        </w:rPr>
        <w:t xml:space="preserve">("ASC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September 30, 2025, there was $31.0 million of total unrecognized compensation expense related to the time-based and performance-based awards, which is expected to be recognized over a weighted average period of 1.6 years.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we recorded compensation expense related to bonus, time-based and performance-based awards of $6.8 million and $17.9 million, respectively. During the three and nine months ended September 30, 2024, we recorded compensation expense related to bonus, time-based and performance-based awards of $6.7 million and $19.7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$0.4 million and $1.3 million, respectively, was capitalized to assets associated with compensation expense related to our long-term compensation plans, restricted stock and stock options. For the three and nine months ended September 30, 2024, $0.4 million and $1.3 million, respectively, was capitalized to assets associated with compensation expense related to our long-term compensation plans, restricted stock and stock options.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Deferred Compensation Plan for Directors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14,501 phantom stock units and 10,311 shares of common stock were issued to our Board of Directors. We recorded compensation expense of $0.2 million and $2.3 million during the three and nine months ended September 30, 2025 respectively, related to the Deferred Compensation Plan. We recorded compensation expense of $0.2 million and $2.6 million during the three and nine months ended September 30, 2024, respectively, related to the Deferred Compensation Plan.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were 92,805 phantom stock units outstanding pursuant to our Non-Employee Director's Deferral Program.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September 30, 2025, 262,757 shares of our common stock had been issued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15. Accumulated Other Comprehensive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changes in accumulated other comprehensive income by component as of September 30, 2025 (in thousands):</w:t>
      </w:r>
    </w:p>
    <w:tbl>
      <w:tblPr>
        <w:tblW w:w="10205" w:type="dxa"/>
        <w:jc w:val="left"/>
        <w:tblInd w:w="0" w:type="dxa"/>
        <w:tblLayout w:type="fixed"/>
        <w:tblCellMar>
          <w:top w:w="28" w:type="dxa"/>
          <w:left w:w="28" w:type="dxa"/>
          <w:bottom w:w="28" w:type="dxa"/>
          <w:right w:w="28" w:type="dxa"/>
        </w:tblCellMar>
      </w:tblPr>
      <w:tblGrid>
        <w:gridCol w:w="1158"/>
        <w:gridCol w:w="790"/>
        <w:gridCol w:w="794"/>
        <w:gridCol w:w="418"/>
        <w:gridCol w:w="1378"/>
        <w:gridCol w:w="232"/>
        <w:gridCol w:w="109"/>
        <w:gridCol w:w="109"/>
        <w:gridCol w:w="109"/>
        <w:gridCol w:w="291"/>
        <w:gridCol w:w="1034"/>
        <w:gridCol w:w="162"/>
        <w:gridCol w:w="109"/>
        <w:gridCol w:w="109"/>
        <w:gridCol w:w="109"/>
        <w:gridCol w:w="404"/>
        <w:gridCol w:w="1300"/>
        <w:gridCol w:w="225"/>
        <w:gridCol w:w="109"/>
        <w:gridCol w:w="109"/>
        <w:gridCol w:w="109"/>
        <w:gridCol w:w="196"/>
        <w:gridCol w:w="682"/>
        <w:gridCol w:w="160"/>
      </w:tblGrid>
      <w:tr>
        <w:trPr/>
        <w:tc>
          <w:tcPr>
            <w:tcW w:w="115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unrealized gain (loss) on derivative instruments </w:t>
            </w:r>
            <w:r>
              <w:rPr>
                <w:rFonts w:ascii="Times New Roman;serif" w:hAnsi="Times New Roman;serif"/>
                <w:b/>
                <w:color w:val="000000"/>
                <w:sz w:val="10"/>
              </w:rPr>
              <w:t>(</w:t>
            </w:r>
            <w:r>
              <w:rPr>
                <w:rFonts w:ascii="Times New Roman;serif" w:hAnsi="Times New Roman;serif"/>
                <w:b/>
                <w:color w:val="000000"/>
                <w:sz w:val="9"/>
              </w:rPr>
              <w:t>1</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SL Green’s share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of joint venture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loss on derivative</w:t>
            </w:r>
          </w:p>
          <w:p>
            <w:pPr>
              <w:pStyle w:val="TableContents"/>
              <w:bidi w:val="0"/>
              <w:spacing w:lineRule="auto" w:line="240" w:before="0" w:after="0"/>
              <w:jc w:val="center"/>
              <w:rPr/>
            </w:pPr>
            <w:r>
              <w:rPr>
                <w:rFonts w:ascii="Times New Roman;serif" w:hAnsi="Times New Roman;serif"/>
                <w:b/>
                <w:color w:val="000000"/>
                <w:sz w:val="16"/>
              </w:rPr>
              <w:t xml:space="preserve">instruments </w:t>
            </w:r>
            <w:r>
              <w:rPr>
                <w:rFonts w:ascii="Times New Roman;serif" w:hAnsi="Times New Roman;serif"/>
                <w:b/>
                <w:color w:val="000000"/>
                <w:sz w:val="10"/>
              </w:rPr>
              <w:t>(</w:t>
            </w:r>
            <w:r>
              <w:rPr>
                <w:rFonts w:ascii="Times New Roman;serif" w:hAnsi="Times New Roman;serif"/>
                <w:b/>
                <w:color w:val="000000"/>
                <w:sz w:val="9"/>
              </w:rPr>
              <w:t>2</w:t>
            </w:r>
            <w:r>
              <w:rPr>
                <w:rFonts w:ascii="Times New Roman;serif" w:hAnsi="Times New Roman;serif"/>
                <w:b/>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unrealized (loss) gain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before reclassifications</w:t>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income</w:t>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(1)Amount reclassified from accumulated other comprehensive (loss) income is included in interest expense in the respective consolidated statements of operations. As of September 30, 2025 and December 31, 2024, the deferred net gains from these terminated hedges, which is included in accumulated other comprehensive (loss) income relating to net unrealized gain (loss) on derivative instruments, was ($0.1 million) and ($0.2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(2)Amount reclassified from accumulated other comprehensive (loss) income is included in equity in net (loss) income from unconsolidated joint ventures in the respective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Measured at Fair Value on a Recurring Basis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assets and liabilities that we measure at fair value on a recurring basis by their levels in the fair value hierarchy as of September 30, 2025 and December 31, 2024 (in thousands):</w:t>
      </w:r>
    </w:p>
    <w:tbl>
      <w:tblPr>
        <w:tblW w:w="9854" w:type="dxa"/>
        <w:jc w:val="left"/>
        <w:tblInd w:w="0" w:type="dxa"/>
        <w:tblLayout w:type="fixed"/>
        <w:tblCellMar>
          <w:top w:w="28" w:type="dxa"/>
          <w:left w:w="28" w:type="dxa"/>
          <w:bottom w:w="28" w:type="dxa"/>
          <w:right w:w="28" w:type="dxa"/>
        </w:tblCellMar>
      </w:tblPr>
      <w:tblGrid>
        <w:gridCol w:w="1757"/>
        <w:gridCol w:w="1546"/>
        <w:gridCol w:w="1556"/>
        <w:gridCol w:w="196"/>
        <w:gridCol w:w="871"/>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and swap agreements (included in Other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Debt fund investments</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and swap agreements (included in 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Secured borrowing (included in Other liabilities) </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(1)During the nine months ended September 30, 2025 the Fund purchased $5.3 million of investments classified as Level 3 and recognized $0.1 million of unrealized gains on those investments. </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(2)The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w:t>
      </w:r>
    </w:p>
    <w:p>
      <w:pPr>
        <w:pStyle w:val="TextBody"/>
        <w:bidi w:val="0"/>
        <w:spacing w:before="0" w:after="0"/>
        <w:ind w:left="0" w:right="0" w:hanging="90"/>
        <w:jc w:val="both"/>
        <w:rPr/>
      </w:pPr>
      <w:r>
        <w:rPr/>
      </w:r>
    </w:p>
    <w:tbl>
      <w:tblPr>
        <w:tblW w:w="9719" w:type="dxa"/>
        <w:jc w:val="center"/>
        <w:tblInd w:w="0" w:type="dxa"/>
        <w:tblLayout w:type="fixed"/>
        <w:tblCellMar>
          <w:top w:w="28" w:type="dxa"/>
          <w:left w:w="28" w:type="dxa"/>
          <w:bottom w:w="28" w:type="dxa"/>
          <w:right w:w="28" w:type="dxa"/>
        </w:tblCellMar>
      </w:tblPr>
      <w:tblGrid>
        <w:gridCol w:w="1757"/>
        <w:gridCol w:w="1546"/>
        <w:gridCol w:w="1556"/>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available-for-sale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and swap agreements (included in Other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loans held by consolidated securitization vehicles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 and swap agreements (included in Other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obligations of consolidated securitization vehicles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 (included in Other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pStyle w:val="TextBody"/>
        <w:bidi w:val="0"/>
        <w:spacing w:lineRule="auto" w:line="288" w:before="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senior obligations of consolidated securitization vehicles represent CMBS that are not owned by the Company. A majority of these securities are either traded in the marketplace or are similar to other securities that are traded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pStyle w:val="TextBody"/>
        <w:bidi w:val="0"/>
        <w:spacing w:lineRule="auto" w:line="288" w:before="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 on a Nonrecurring Basis</w:t>
      </w:r>
    </w:p>
    <w:p>
      <w:pPr>
        <w:pStyle w:val="TextBody"/>
        <w:bidi w:val="0"/>
        <w:spacing w:lineRule="auto" w:line="288" w:before="20" w:after="120"/>
        <w:ind w:left="0" w:right="0" w:firstLine="495"/>
        <w:jc w:val="both"/>
        <w:rPr/>
      </w:pPr>
      <w:r>
        <w:rPr>
          <w:rFonts w:ascii="Times New Roman;serif" w:hAnsi="Times New Roman;serif"/>
          <w:b w:val="false"/>
          <w:color w:val="000000"/>
          <w:sz w:val="20"/>
        </w:rPr>
        <w:t>In July 2025, the Company sold 50.0% of the joint venture entity that holds the preferred equity investment in 625 Madison Avenue for $104.9 million, which had a carrying value of $112.1 million as of June 30, 2025. In conjunction with this transaction, the Compan</w:t>
      </w:r>
      <w:r>
        <w:rPr>
          <w:rFonts w:ascii="Times New Roman;serif" w:hAnsi="Times New Roman;serif"/>
          <w:b w:val="false"/>
          <w:color w:val="000000"/>
          <w:sz w:val="20"/>
          <w:shd w:fill="FFFFFF" w:val="clear"/>
        </w:rPr>
        <w:t>y also acquired the remaining interest in the joint venture for $23.7 million and sold 50.0% of that interest for $10.9 million. In June 2025, the Company recorded a charge of $14.5 million, which is included in "</w:t>
      </w:r>
      <w:r>
        <w:rPr>
          <w:rFonts w:ascii="Times New Roman;serif" w:hAnsi="Times New Roman;serif"/>
          <w:b w:val="false"/>
          <w:color w:val="000000"/>
          <w:sz w:val="20"/>
        </w:rPr>
        <w:t>Equity in net (loss) income from unconsolidated joint ventures</w:t>
      </w:r>
      <w:r>
        <w:rPr>
          <w:rFonts w:ascii="Times New Roman;serif" w:hAnsi="Times New Roman;serif"/>
          <w:b w:val="false"/>
          <w:color w:val="000000"/>
          <w:sz w:val="20"/>
          <w:shd w:fill="FFFFFF" w:val="clear"/>
        </w:rPr>
        <w:t>" in the consolidated statements of operations. The fair value of our investment was determined by the terms of the purchase and sale agreement.</w:t>
      </w:r>
    </w:p>
    <w:p>
      <w:pPr>
        <w:pStyle w:val="TextBody"/>
        <w:bidi w:val="0"/>
        <w:spacing w:lineRule="auto" w:line="288" w:before="20" w:after="120"/>
        <w:ind w:left="0" w:right="0" w:firstLine="495"/>
        <w:jc w:val="both"/>
        <w:rPr/>
      </w:pPr>
      <w:r>
        <w:rPr>
          <w:rFonts w:ascii="Times New Roman;serif" w:hAnsi="Times New Roman;serif"/>
          <w:b w:val="false"/>
          <w:color w:val="000000"/>
          <w:sz w:val="20"/>
          <w:shd w:fill="FFFFFF" w:val="clear"/>
        </w:rPr>
        <w:t xml:space="preserve">In September 2025, the Company, as the holder of the preferred equity interest in the entity that owns 315 West 33rd Street, took control over the management of the entity and the underlying property. As a result, it was concluded that the entity is a VIE in which the Company is the primary beneficiary, and the entity was consolidated in our financial statements. Upon consolidating the entity, the assets and liabilities of the entity were recorded at fair value.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 Prior to </w:t>
      </w:r>
      <w:r>
        <w:rPr>
          <w:rFonts w:ascii="Times New Roman;serif" w:hAnsi="Times New Roman;serif"/>
          <w:b w:val="false"/>
          <w:color w:val="000000"/>
          <w:sz w:val="20"/>
        </w:rPr>
        <w:t>September 2025</w:t>
      </w:r>
      <w:r>
        <w:rPr>
          <w:rFonts w:ascii="Times New Roman;serif" w:hAnsi="Times New Roman;serif"/>
          <w:b w:val="false"/>
          <w:color w:val="000000"/>
          <w:sz w:val="20"/>
          <w:shd w:fill="FFFFFF" w:val="clear"/>
        </w:rPr>
        <w:t>, the preferred equity interest was included in "Debt and preferred equity investments" in our consolidated balance sheet.</w:t>
      </w:r>
    </w:p>
    <w:p>
      <w:pPr>
        <w:pStyle w:val="TextBody"/>
        <w:bidi w:val="0"/>
        <w:spacing w:lineRule="auto" w:line="288" w:before="20" w:after="12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Financial Assets and Liabilities not Measured at Fair Value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carrying value and fair value of these financial instruments as of September 30, 2025 and December 31, 2024 (in thousands):</w:t>
      </w:r>
    </w:p>
    <w:tbl>
      <w:tblPr>
        <w:tblW w:w="9241" w:type="dxa"/>
        <w:jc w:val="center"/>
        <w:tblInd w:w="0" w:type="dxa"/>
        <w:tblLayout w:type="fixed"/>
        <w:tblCellMar>
          <w:top w:w="28" w:type="dxa"/>
          <w:left w:w="28" w:type="dxa"/>
          <w:bottom w:w="28" w:type="dxa"/>
          <w:right w:w="28" w:type="dxa"/>
        </w:tblCellMar>
      </w:tblPr>
      <w:tblGrid>
        <w:gridCol w:w="1018"/>
        <w:gridCol w:w="895"/>
        <w:gridCol w:w="907"/>
        <w:gridCol w:w="249"/>
        <w:gridCol w:w="1127"/>
        <w:gridCol w:w="138"/>
        <w:gridCol w:w="109"/>
        <w:gridCol w:w="109"/>
        <w:gridCol w:w="109"/>
        <w:gridCol w:w="196"/>
        <w:gridCol w:w="886"/>
        <w:gridCol w:w="109"/>
        <w:gridCol w:w="109"/>
        <w:gridCol w:w="109"/>
        <w:gridCol w:w="109"/>
        <w:gridCol w:w="252"/>
        <w:gridCol w:w="1122"/>
        <w:gridCol w:w="140"/>
        <w:gridCol w:w="109"/>
        <w:gridCol w:w="109"/>
        <w:gridCol w:w="109"/>
        <w:gridCol w:w="196"/>
        <w:gridCol w:w="871"/>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Carrying Value</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Carrying Value</w:t>
            </w:r>
            <w:r>
              <w:rPr>
                <w:color w:val="000000"/>
              </w:rPr>
              <w:t xml:space="preserv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Assets: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investments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171,412</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2"/>
              </w:rPr>
            </w:pPr>
            <w:r>
              <w:rPr>
                <w:rFonts w:ascii="Times New Roman;serif" w:hAnsi="Times New Roman;serif"/>
                <w:b/>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2"/>
              </w:rPr>
            </w:pPr>
            <w:r>
              <w:rPr>
                <w:rFonts w:ascii="Times New Roman;serif" w:hAnsi="Times New Roman;serif"/>
                <w:b/>
                <w:color w:val="000000"/>
                <w:sz w:val="12"/>
              </w:rPr>
              <w:t>(2)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Liabilities:</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 debt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3,603,866</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3,508,294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Variable rate debt</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424,516</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523,448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4,028,382</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4,031,742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3,621,024 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(1)Amounts exclude net deferred financing costs.</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(2)As of September 30, 2025, debt and preferred equity investments had an estimated fair value range of approximately $0.1 billion to $0.2 billion. As of December 31, 2024, debt and preferred equity investments had an estimated fair value of approximately $0.3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Disclosures regarding fair value of financial instruments was based on pertinent information available to us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17. Financial Instruments: Derivatives and Hedging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use a variety of commonly used derivative instruments, including, but not limited to, interest rate swaps, caps, collars and floors, to manage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value at inception and fair value of our consolidated derivative financial instruments as of September 30, 2025 based on Level 2 information. The notional value is an indication of the extent of our involvement in these instruments at that time, but does not represent exposure to credit, interest rate or market risks (dollars in thousands).</w:t>
      </w:r>
    </w:p>
    <w:tbl>
      <w:tblPr>
        <w:tblW w:w="10205" w:type="dxa"/>
        <w:jc w:val="center"/>
        <w:tblInd w:w="0" w:type="dxa"/>
        <w:tblLayout w:type="fixed"/>
        <w:tblCellMar>
          <w:top w:w="28" w:type="dxa"/>
          <w:left w:w="28" w:type="dxa"/>
          <w:bottom w:w="28" w:type="dxa"/>
          <w:right w:w="28" w:type="dxa"/>
        </w:tblCellMar>
      </w:tblPr>
      <w:tblGrid>
        <w:gridCol w:w="507"/>
        <w:gridCol w:w="444"/>
        <w:gridCol w:w="448"/>
        <w:gridCol w:w="196"/>
        <w:gridCol w:w="736"/>
        <w:gridCol w:w="109"/>
        <w:gridCol w:w="109"/>
        <w:gridCol w:w="109"/>
        <w:gridCol w:w="109"/>
        <w:gridCol w:w="278"/>
        <w:gridCol w:w="278"/>
        <w:gridCol w:w="309"/>
        <w:gridCol w:w="109"/>
        <w:gridCol w:w="109"/>
        <w:gridCol w:w="109"/>
        <w:gridCol w:w="410"/>
        <w:gridCol w:w="408"/>
        <w:gridCol w:w="414"/>
        <w:gridCol w:w="109"/>
        <w:gridCol w:w="109"/>
        <w:gridCol w:w="109"/>
        <w:gridCol w:w="411"/>
        <w:gridCol w:w="411"/>
        <w:gridCol w:w="413"/>
        <w:gridCol w:w="109"/>
        <w:gridCol w:w="109"/>
        <w:gridCol w:w="109"/>
        <w:gridCol w:w="605"/>
        <w:gridCol w:w="604"/>
        <w:gridCol w:w="606"/>
        <w:gridCol w:w="109"/>
        <w:gridCol w:w="109"/>
        <w:gridCol w:w="109"/>
        <w:gridCol w:w="196"/>
        <w:gridCol w:w="626"/>
        <w:gridCol w:w="161"/>
      </w:tblGrid>
      <w:tr>
        <w:trPr/>
        <w:tc>
          <w:tcPr>
            <w:tcW w:w="5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Strike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(8,580)</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we recorded gains of $0.3 million and losses of $4.0 million based on the changes in the fair value of mark-to-market interest rate swaps, which is included in "Purchase price and other fair value adjustments" in the consolidated statements of operations. During the three and nine months ended September 30, 2024, we recorded a loss of $9.2 million and $2.8 million, respectively, based on the changes in the fair value of forward-starting interest rate swaps, which is included in "Purchase price and other fair value adjustments" in the consolidated statements of operations. During the three and nine months ended September 30, 2025, we recorded gains of $1.3 million and $1.3 million on the changes in fair value, which is included in interest expense in the consolidated statements of operations. During the three and nine months ended September 30, 2024, we recorded a gain of $0.2 million and $0.1 million, respectively, on the changes in fair value, which is included in interest expense in the consolidated statements of operations.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agreements the Company has with each of its derivative counterparties contain a provision where if the Company defaults on any of its indebtedness, then the Company could also be declared in default on its derivative obligations. As of September 30, 2025, the fair value of derivatives in a net liability position, including accrued interest but excluding any adjustment for nonperformance risk related to these agreements, was ($17.6 million). As of September 30, 2025,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$18.1 million as of September 30, 2025.</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$27.0 million of the current balance held in accumulated other comprehensive income will be reclassified into interest expense and $18.5 million of the portion related to our share of joint venture accumulated other comprehensive income will be reclassified into equity in net (loss) income from unconsolidated joint ventures within the next 12 months.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effects of our derivative financial instruments and our share of our joint ventures' derivative financial instruments that are designated and qualify as hedging instruments on the consolidated statements of operations for the three months ended September 30, 2025 and 2024, respectively (in thousands):</w:t>
      </w:r>
    </w:p>
    <w:tbl>
      <w:tblPr>
        <w:tblW w:w="10205" w:type="dxa"/>
        <w:jc w:val="left"/>
        <w:tblInd w:w="0" w:type="dxa"/>
        <w:tblLayout w:type="fixed"/>
        <w:tblCellMar>
          <w:top w:w="28" w:type="dxa"/>
          <w:left w:w="28" w:type="dxa"/>
          <w:bottom w:w="28" w:type="dxa"/>
          <w:right w:w="28" w:type="dxa"/>
        </w:tblCellMar>
      </w:tblPr>
      <w:tblGrid>
        <w:gridCol w:w="846"/>
        <w:gridCol w:w="539"/>
        <w:gridCol w:w="541"/>
        <w:gridCol w:w="109"/>
        <w:gridCol w:w="109"/>
        <w:gridCol w:w="109"/>
        <w:gridCol w:w="206"/>
        <w:gridCol w:w="600"/>
        <w:gridCol w:w="114"/>
        <w:gridCol w:w="114"/>
        <w:gridCol w:w="114"/>
        <w:gridCol w:w="114"/>
        <w:gridCol w:w="206"/>
        <w:gridCol w:w="712"/>
        <w:gridCol w:w="114"/>
        <w:gridCol w:w="109"/>
        <w:gridCol w:w="109"/>
        <w:gridCol w:w="109"/>
        <w:gridCol w:w="856"/>
        <w:gridCol w:w="856"/>
        <w:gridCol w:w="858"/>
        <w:gridCol w:w="109"/>
        <w:gridCol w:w="109"/>
        <w:gridCol w:w="109"/>
        <w:gridCol w:w="216"/>
        <w:gridCol w:w="630"/>
        <w:gridCol w:w="120"/>
        <w:gridCol w:w="120"/>
        <w:gridCol w:w="120"/>
        <w:gridCol w:w="120"/>
        <w:gridCol w:w="216"/>
        <w:gridCol w:w="713"/>
        <w:gridCol w:w="179"/>
      </w:tblGrid>
      <w:tr>
        <w:trPr/>
        <w:tc>
          <w:tcPr>
            <w:tcW w:w="8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w:t>
              <w:br/>
              <w:t>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Reclassified from Accumulated Other Comprehensive (Loss)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Reclassified from</w:t>
              <w:br/>
              <w:t>Accumulated Other</w:t>
              <w:br/>
              <w:t>Comprehensive (Loss) Income into Income</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5,967</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unconsolidated joint ventures'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(loss)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3,276</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(57,698)</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7,058</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 of our derivative financial instruments and our share of our joint ventures' derivative financial instruments that are designated and qualify as hedging instruments on the consolidated statements of operations for the nine months ended September 30, 2025 and 2024, respectively (in thousands):</w:t>
      </w:r>
    </w:p>
    <w:tbl>
      <w:tblPr>
        <w:tblW w:w="10205" w:type="dxa"/>
        <w:jc w:val="left"/>
        <w:tblInd w:w="0" w:type="dxa"/>
        <w:tblLayout w:type="fixed"/>
        <w:tblCellMar>
          <w:top w:w="28" w:type="dxa"/>
          <w:left w:w="28" w:type="dxa"/>
          <w:bottom w:w="28" w:type="dxa"/>
          <w:right w:w="28" w:type="dxa"/>
        </w:tblCellMar>
      </w:tblPr>
      <w:tblGrid>
        <w:gridCol w:w="865"/>
        <w:gridCol w:w="561"/>
        <w:gridCol w:w="562"/>
        <w:gridCol w:w="109"/>
        <w:gridCol w:w="109"/>
        <w:gridCol w:w="109"/>
        <w:gridCol w:w="202"/>
        <w:gridCol w:w="699"/>
        <w:gridCol w:w="112"/>
        <w:gridCol w:w="112"/>
        <w:gridCol w:w="112"/>
        <w:gridCol w:w="112"/>
        <w:gridCol w:w="202"/>
        <w:gridCol w:w="606"/>
        <w:gridCol w:w="112"/>
        <w:gridCol w:w="109"/>
        <w:gridCol w:w="109"/>
        <w:gridCol w:w="109"/>
        <w:gridCol w:w="854"/>
        <w:gridCol w:w="854"/>
        <w:gridCol w:w="856"/>
        <w:gridCol w:w="109"/>
        <w:gridCol w:w="109"/>
        <w:gridCol w:w="109"/>
        <w:gridCol w:w="205"/>
        <w:gridCol w:w="692"/>
        <w:gridCol w:w="114"/>
        <w:gridCol w:w="114"/>
        <w:gridCol w:w="114"/>
        <w:gridCol w:w="114"/>
        <w:gridCol w:w="205"/>
        <w:gridCol w:w="676"/>
        <w:gridCol w:w="169"/>
      </w:tblGrid>
      <w:tr>
        <w:trPr/>
        <w:tc>
          <w:tcPr>
            <w:tcW w:w="86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Recognized in</w:t>
              <w:b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Reclassified from</w:t>
              <w:br/>
              <w:t>Accumulated Other</w:t>
              <w:br/>
              <w:t>Comprehensive Income into Income</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Swaps/Caps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(12,636)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17,590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unconsolidated joint ventures'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(21,190)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20,528</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notional value at inception and fair value of our joint ventures' derivative financial instruments as of September 30, 2025 based on Level 2 information. The notional value is an indication of the extent of our involvement in these instruments at that time, but does not represent exposure to credit, interest rate or market risks (dollars in thousands).</w:t>
      </w:r>
    </w:p>
    <w:tbl>
      <w:tblPr>
        <w:tblW w:w="9697" w:type="dxa"/>
        <w:jc w:val="left"/>
        <w:tblInd w:w="0" w:type="dxa"/>
        <w:tblLayout w:type="fixed"/>
        <w:tblCellMar>
          <w:top w:w="28" w:type="dxa"/>
          <w:left w:w="28" w:type="dxa"/>
          <w:bottom w:w="28" w:type="dxa"/>
          <w:right w:w="28" w:type="dxa"/>
        </w:tblCellMar>
      </w:tblPr>
      <w:tblGrid>
        <w:gridCol w:w="527"/>
        <w:gridCol w:w="461"/>
        <w:gridCol w:w="467"/>
        <w:gridCol w:w="196"/>
        <w:gridCol w:w="736"/>
        <w:gridCol w:w="109"/>
        <w:gridCol w:w="109"/>
        <w:gridCol w:w="109"/>
        <w:gridCol w:w="109"/>
        <w:gridCol w:w="278"/>
        <w:gridCol w:w="278"/>
        <w:gridCol w:w="309"/>
        <w:gridCol w:w="109"/>
        <w:gridCol w:w="109"/>
        <w:gridCol w:w="109"/>
        <w:gridCol w:w="409"/>
        <w:gridCol w:w="409"/>
        <w:gridCol w:w="412"/>
        <w:gridCol w:w="109"/>
        <w:gridCol w:w="109"/>
        <w:gridCol w:w="109"/>
        <w:gridCol w:w="419"/>
        <w:gridCol w:w="419"/>
        <w:gridCol w:w="421"/>
        <w:gridCol w:w="109"/>
        <w:gridCol w:w="109"/>
        <w:gridCol w:w="109"/>
        <w:gridCol w:w="380"/>
        <w:gridCol w:w="380"/>
        <w:gridCol w:w="381"/>
        <w:gridCol w:w="109"/>
        <w:gridCol w:w="109"/>
        <w:gridCol w:w="109"/>
        <w:gridCol w:w="196"/>
        <w:gridCol w:w="721"/>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Strike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November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Asset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(20,768)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18. Lease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income from operating leases in our consolidated statements of operations during the three and nine months ended September 30, 2025 and 2024 were as follows (in thousands):</w:t>
      </w:r>
    </w:p>
    <w:tbl>
      <w:tblPr>
        <w:tblW w:w="10205" w:type="dxa"/>
        <w:jc w:val="center"/>
        <w:tblInd w:w="0" w:type="dxa"/>
        <w:tblLayout w:type="fixed"/>
        <w:tblCellMar>
          <w:top w:w="28" w:type="dxa"/>
          <w:left w:w="28" w:type="dxa"/>
          <w:bottom w:w="28" w:type="dxa"/>
          <w:right w:w="28" w:type="dxa"/>
        </w:tblCellMar>
      </w:tblPr>
      <w:tblGrid>
        <w:gridCol w:w="1421"/>
        <w:gridCol w:w="1224"/>
        <w:gridCol w:w="1237"/>
        <w:gridCol w:w="109"/>
        <w:gridCol w:w="109"/>
        <w:gridCol w:w="109"/>
        <w:gridCol w:w="230"/>
        <w:gridCol w:w="884"/>
        <w:gridCol w:w="128"/>
        <w:gridCol w:w="128"/>
        <w:gridCol w:w="128"/>
        <w:gridCol w:w="128"/>
        <w:gridCol w:w="230"/>
        <w:gridCol w:w="866"/>
        <w:gridCol w:w="128"/>
        <w:gridCol w:w="109"/>
        <w:gridCol w:w="109"/>
        <w:gridCol w:w="109"/>
        <w:gridCol w:w="223"/>
        <w:gridCol w:w="857"/>
        <w:gridCol w:w="123"/>
        <w:gridCol w:w="123"/>
        <w:gridCol w:w="123"/>
        <w:gridCol w:w="123"/>
        <w:gridCol w:w="223"/>
        <w:gridCol w:w="839"/>
        <w:gridCol w:w="185"/>
      </w:tblGrid>
      <w:tr>
        <w:trPr/>
        <w:tc>
          <w:tcPr>
            <w:tcW w:w="14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151,178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446,343</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405,130 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18,863</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55,067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lease payments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170,041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157,767 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501,410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450,817 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acquired above and below-market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(4,618)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rental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168,536</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156,933 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496,792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449,069 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xml:space="preserve">(1)Amounts include $45.7 million and $136.8 million of sublease income during the three and nine months ended September 30, 2025, respectively, and $47.4 million and $141.6 million of sublease income during the three and nine months ended September 30, 2024 respectively. </w:t>
      </w:r>
    </w:p>
    <w:p>
      <w:pPr>
        <w:pStyle w:val="TextBody"/>
        <w:bidi w:val="0"/>
        <w:spacing w:lineRule="auto" w:line="288" w:before="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lease income from sales-type leases during the three and nine months ended September 30, 2025 and 2024 were as follows (in thousands):</w:t>
      </w:r>
    </w:p>
    <w:tbl>
      <w:tblPr>
        <w:tblW w:w="7786" w:type="dxa"/>
        <w:jc w:val="center"/>
        <w:tblInd w:w="0" w:type="dxa"/>
        <w:tblLayout w:type="fixed"/>
        <w:tblCellMar>
          <w:top w:w="28" w:type="dxa"/>
          <w:left w:w="28" w:type="dxa"/>
          <w:bottom w:w="28" w:type="dxa"/>
          <w:right w:w="28" w:type="dxa"/>
        </w:tblCellMar>
      </w:tblPr>
      <w:tblGrid>
        <w:gridCol w:w="505"/>
        <w:gridCol w:w="443"/>
        <w:gridCol w:w="447"/>
        <w:gridCol w:w="109"/>
        <w:gridCol w:w="109"/>
        <w:gridCol w:w="109"/>
        <w:gridCol w:w="275"/>
        <w:gridCol w:w="801"/>
        <w:gridCol w:w="152"/>
        <w:gridCol w:w="152"/>
        <w:gridCol w:w="152"/>
        <w:gridCol w:w="152"/>
        <w:gridCol w:w="275"/>
        <w:gridCol w:w="780"/>
        <w:gridCol w:w="152"/>
        <w:gridCol w:w="109"/>
        <w:gridCol w:w="109"/>
        <w:gridCol w:w="109"/>
        <w:gridCol w:w="264"/>
        <w:gridCol w:w="771"/>
        <w:gridCol w:w="147"/>
        <w:gridCol w:w="147"/>
        <w:gridCol w:w="147"/>
        <w:gridCol w:w="147"/>
        <w:gridCol w:w="264"/>
        <w:gridCol w:w="751"/>
        <w:gridCol w:w="208"/>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income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1,141</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(1)These amounts are included in "Other income" in our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19. Commitments and Contingencies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and the Operating Partnership were not involved in any material litigation nor, to management's knowledge, was any material litigation threatened against us or our portfolio which if adversely determined could have a material adverse impact on us.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20. Segment Information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has three operating and reportable segments, real estate, debt and preferred equity investments, and SUMMIT. The results of these segments are provided to and reviewed by the CEO, our chief operating decision maker (“CODM”), who uses this information to assess performance and inform key decisions regarding operations, resources and capital allocation.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2024, our CODM revised the approach for reviewing results of the operating and reportable segments to be more specific to the respective businesses of each. Previously, the same profit or loss measure was utilized across all segments. With the continued growth and diversification of the Company's revenue sources, we determined that this approach needed to evolve accordingly.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result, our CODM now evaluates real estate performance and allocates resources based on net operating income ("NOI"), which serves as the profit or loss measure for the real estate operating segment. For our debt and preferred equity investments and SUMMIT operating segment performance, our CODM evaluates and allocates resources based on net income. The CODM does not review asset information, by segment, as a measure to assess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reportable segment profit or loss measures for the nine months ended September 30, 2025 and 2024 are as follows (in thousands):</w:t>
      </w:r>
    </w:p>
    <w:tbl>
      <w:tblPr>
        <w:tblW w:w="10205" w:type="dxa"/>
        <w:jc w:val="left"/>
        <w:tblInd w:w="0" w:type="dxa"/>
        <w:tblLayout w:type="fixed"/>
        <w:tblCellMar>
          <w:top w:w="28" w:type="dxa"/>
          <w:left w:w="28" w:type="dxa"/>
          <w:bottom w:w="28" w:type="dxa"/>
          <w:right w:w="28" w:type="dxa"/>
        </w:tblCellMar>
      </w:tblPr>
      <w:tblGrid>
        <w:gridCol w:w="1533"/>
        <w:gridCol w:w="1202"/>
        <w:gridCol w:w="1208"/>
        <w:gridCol w:w="109"/>
        <w:gridCol w:w="109"/>
        <w:gridCol w:w="109"/>
        <w:gridCol w:w="270"/>
        <w:gridCol w:w="1017"/>
        <w:gridCol w:w="150"/>
        <w:gridCol w:w="109"/>
        <w:gridCol w:w="109"/>
        <w:gridCol w:w="109"/>
        <w:gridCol w:w="275"/>
        <w:gridCol w:w="910"/>
        <w:gridCol w:w="153"/>
        <w:gridCol w:w="109"/>
        <w:gridCol w:w="109"/>
        <w:gridCol w:w="109"/>
        <w:gridCol w:w="224"/>
        <w:gridCol w:w="738"/>
        <w:gridCol w:w="124"/>
        <w:gridCol w:w="109"/>
        <w:gridCol w:w="109"/>
        <w:gridCol w:w="109"/>
        <w:gridCol w:w="196"/>
        <w:gridCol w:w="736"/>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565,478 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726,579 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164,840 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(loss) and DPE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in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37"/>
        <w:gridCol w:w="1200"/>
        <w:gridCol w:w="1208"/>
        <w:gridCol w:w="109"/>
        <w:gridCol w:w="109"/>
        <w:gridCol w:w="109"/>
        <w:gridCol w:w="270"/>
        <w:gridCol w:w="1017"/>
        <w:gridCol w:w="150"/>
        <w:gridCol w:w="109"/>
        <w:gridCol w:w="109"/>
        <w:gridCol w:w="109"/>
        <w:gridCol w:w="275"/>
        <w:gridCol w:w="910"/>
        <w:gridCol w:w="153"/>
        <w:gridCol w:w="109"/>
        <w:gridCol w:w="109"/>
        <w:gridCol w:w="109"/>
        <w:gridCol w:w="224"/>
        <w:gridCol w:w="738"/>
        <w:gridCol w:w="124"/>
        <w:gridCol w:w="109"/>
        <w:gridCol w:w="109"/>
        <w:gridCol w:w="109"/>
        <w:gridCol w:w="196"/>
        <w:gridCol w:w="736"/>
        <w:gridCol w:w="159"/>
      </w:tblGrid>
      <w:tr>
        <w:trPr/>
        <w:tc>
          <w:tcPr>
            <w:tcW w:w="153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522,041 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82,947 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583,625 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and DPE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reportable segment profit or loss measures for the three months ended September 30, 2025 and 2024 are as follows (in thousands):</w:t>
      </w:r>
    </w:p>
    <w:tbl>
      <w:tblPr>
        <w:tblW w:w="10205" w:type="dxa"/>
        <w:jc w:val="left"/>
        <w:tblInd w:w="0" w:type="dxa"/>
        <w:tblLayout w:type="fixed"/>
        <w:tblCellMar>
          <w:top w:w="28" w:type="dxa"/>
          <w:left w:w="28" w:type="dxa"/>
          <w:bottom w:w="28" w:type="dxa"/>
          <w:right w:w="28" w:type="dxa"/>
        </w:tblCellMar>
      </w:tblPr>
      <w:tblGrid>
        <w:gridCol w:w="1533"/>
        <w:gridCol w:w="1202"/>
        <w:gridCol w:w="1208"/>
        <w:gridCol w:w="109"/>
        <w:gridCol w:w="109"/>
        <w:gridCol w:w="109"/>
        <w:gridCol w:w="270"/>
        <w:gridCol w:w="1017"/>
        <w:gridCol w:w="150"/>
        <w:gridCol w:w="109"/>
        <w:gridCol w:w="109"/>
        <w:gridCol w:w="109"/>
        <w:gridCol w:w="275"/>
        <w:gridCol w:w="910"/>
        <w:gridCol w:w="153"/>
        <w:gridCol w:w="109"/>
        <w:gridCol w:w="109"/>
        <w:gridCol w:w="109"/>
        <w:gridCol w:w="224"/>
        <w:gridCol w:w="738"/>
        <w:gridCol w:w="124"/>
        <w:gridCol w:w="109"/>
        <w:gridCol w:w="109"/>
        <w:gridCol w:w="109"/>
        <w:gridCol w:w="196"/>
        <w:gridCol w:w="736"/>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196,740 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57,673 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209,254 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Net income (loss) and DPE 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SL Green Realty Corp. and SL Green Operating Partnership,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32"/>
        <w:gridCol w:w="1201"/>
        <w:gridCol w:w="1209"/>
        <w:gridCol w:w="109"/>
        <w:gridCol w:w="109"/>
        <w:gridCol w:w="109"/>
        <w:gridCol w:w="270"/>
        <w:gridCol w:w="1017"/>
        <w:gridCol w:w="150"/>
        <w:gridCol w:w="109"/>
        <w:gridCol w:w="109"/>
        <w:gridCol w:w="109"/>
        <w:gridCol w:w="275"/>
        <w:gridCol w:w="910"/>
        <w:gridCol w:w="153"/>
        <w:gridCol w:w="109"/>
        <w:gridCol w:w="109"/>
        <w:gridCol w:w="109"/>
        <w:gridCol w:w="224"/>
        <w:gridCol w:w="738"/>
        <w:gridCol w:w="124"/>
        <w:gridCol w:w="109"/>
        <w:gridCol w:w="109"/>
        <w:gridCol w:w="109"/>
        <w:gridCol w:w="196"/>
        <w:gridCol w:w="736"/>
        <w:gridCol w:w="162"/>
      </w:tblGrid>
      <w:tr>
        <w:trPr/>
        <w:tc>
          <w:tcPr>
            <w:tcW w:w="153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r>
      <w:tr>
        <w:trPr/>
        <w:tc>
          <w:tcPr>
            <w:tcW w:w="3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Real Estate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SUMMIT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DPE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SUMMIT Operator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Real Estate segment Net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income from unconsolidated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SUMMIT and DPE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Non-operating net loss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 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real estate segment, the primary sources of revenue are tenant rents and escalations and reimbursement revenue. See Note 5,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 </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were no transactions between the above three segments other than the SUMMIT lease with our One Vanderbilt Avenue joint venture, which is part of the real estate segment. See Note 10,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repositioning and financing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pStyle w:val="TextBody"/>
        <w:bidi w:val="0"/>
        <w:spacing w:lineRule="auto" w:line="276"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discussion related to our consolidated financial statements should be read in conjunction with the financial statements appearing in this Quarterly Report on this Form 10-Q and in Item 8 of our Annual Report on Form 10-K for the year ended December 31, 2024.</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owned the following interests in properties in the New York metropolitan area, primarily in midtown Manhattan. Our investments located outside of Manhattan are referred to as the Suburban properties:</w:t>
      </w:r>
    </w:p>
    <w:tbl>
      <w:tblPr>
        <w:tblW w:w="12185" w:type="dxa"/>
        <w:jc w:val="left"/>
        <w:tblInd w:w="0" w:type="dxa"/>
        <w:tblLayout w:type="fixed"/>
        <w:tblCellMar>
          <w:top w:w="28" w:type="dxa"/>
          <w:left w:w="28" w:type="dxa"/>
          <w:bottom w:w="28" w:type="dxa"/>
          <w:right w:w="28" w:type="dxa"/>
        </w:tblCellMar>
      </w:tblPr>
      <w:tblGrid>
        <w:gridCol w:w="330"/>
        <w:gridCol w:w="291"/>
        <w:gridCol w:w="295"/>
        <w:gridCol w:w="109"/>
        <w:gridCol w:w="109"/>
        <w:gridCol w:w="109"/>
        <w:gridCol w:w="394"/>
        <w:gridCol w:w="394"/>
        <w:gridCol w:w="398"/>
        <w:gridCol w:w="109"/>
        <w:gridCol w:w="109"/>
        <w:gridCol w:w="109"/>
        <w:gridCol w:w="255"/>
        <w:gridCol w:w="255"/>
        <w:gridCol w:w="256"/>
        <w:gridCol w:w="116"/>
        <w:gridCol w:w="116"/>
        <w:gridCol w:w="116"/>
        <w:gridCol w:w="613"/>
        <w:gridCol w:w="348"/>
        <w:gridCol w:w="370"/>
        <w:gridCol w:w="109"/>
        <w:gridCol w:w="109"/>
        <w:gridCol w:w="109"/>
        <w:gridCol w:w="255"/>
        <w:gridCol w:w="255"/>
        <w:gridCol w:w="256"/>
        <w:gridCol w:w="135"/>
        <w:gridCol w:w="135"/>
        <w:gridCol w:w="135"/>
        <w:gridCol w:w="607"/>
        <w:gridCol w:w="354"/>
        <w:gridCol w:w="358"/>
        <w:gridCol w:w="109"/>
        <w:gridCol w:w="109"/>
        <w:gridCol w:w="109"/>
        <w:gridCol w:w="255"/>
        <w:gridCol w:w="255"/>
        <w:gridCol w:w="256"/>
        <w:gridCol w:w="109"/>
        <w:gridCol w:w="109"/>
        <w:gridCol w:w="109"/>
        <w:gridCol w:w="606"/>
        <w:gridCol w:w="355"/>
        <w:gridCol w:w="356"/>
        <w:gridCol w:w="109"/>
        <w:gridCol w:w="109"/>
        <w:gridCol w:w="109"/>
        <w:gridCol w:w="349"/>
        <w:gridCol w:w="207"/>
        <w:gridCol w:w="547"/>
      </w:tblGrid>
      <w:tr>
        <w:trPr/>
        <w:tc>
          <w:tcPr>
            <w:tcW w:w="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Property </w:t>
              <w:b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Approximate Square Feet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Buildings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Leased Occupancy </w:t>
            </w:r>
            <w:r>
              <w:rPr>
                <w:rFonts w:ascii="Times New Roman;serif" w:hAnsi="Times New Roman;serif"/>
                <w:b/>
                <w:color w:val="000000"/>
                <w:sz w:val="10"/>
              </w:rPr>
              <w:t>(1)</w:t>
            </w:r>
          </w:p>
        </w:tc>
      </w:tr>
      <w:tr>
        <w:trPr/>
        <w:tc>
          <w:tcPr>
            <w:tcW w:w="242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9,788,852 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23,349,485 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Development/Redevelopment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844,845 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844,845 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10,664,193 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24,224,826 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Suburban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862,800 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862,800 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11,526,993 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13,560,633 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25,087,626 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Manhattan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140,382 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221,884 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362,266 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1430" w:type="dxa"/>
            <w:gridSpan w:val="6"/>
            <w:tcBorders/>
          </w:tcPr>
          <w:p>
            <w:pPr>
              <w:pStyle w:val="TableContents"/>
              <w:bidi w:val="0"/>
              <w:spacing w:before="0" w:after="283"/>
              <w:jc w:val="left"/>
              <w:rPr>
                <w:sz w:val="4"/>
                <w:szCs w:val="4"/>
              </w:rPr>
            </w:pPr>
            <w:r>
              <w:rPr>
                <w:sz w:val="4"/>
                <w:szCs w:val="4"/>
              </w:rPr>
            </w:r>
          </w:p>
        </w:tc>
      </w:tr>
      <w:tr>
        <w:trPr/>
        <w:tc>
          <w:tcPr>
            <w:tcW w:w="24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core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11,667,375 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13,782,517 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25,449,892 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Alternative Strategy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2,522,026 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2,522,026 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(1)The weighted average leased occupancy for commercial properties represents the total leased square feet divided by the total square footage at acquisition. The weighted average leased occupancy for residential properties represents the total leased units divided by the total available units. Properties under construction are not included in the calculation of weighted average leased occupancy.</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(2)As of September 30, 2025, we owned a building at 7 Dey Street / 185 Broadway that was comprised of approximately 140,382 square feet of residential space and approximately 50,206 square feet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also managed one office building and one retail building owned by a third party encompassing approximately 0.4 million square feet, and held consolidated debt and preferred equity investments with a book value of $171.4 million, excluding credit losses and approximately $130.5 million of debt and preferred equity investments and other financing receivables that are included in other balance sheet line items other than the Debt and preferred equity investments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Refer to the 2024 Annual Report on Form 10-K of the Company and the Operating Partnership for a discussion of our critical accounting estimates, which include investment in commercial real estate properties and investment in unconsolidated joint ventures. During the three and nine months ended September 30, 2025, there were no material changes to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September 30, 2025 to the three months ended September 30, 2024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comparison for the three months ended September 30, 2025, or 2025, to the three months ended September 30, 2024, or 2024, makes reference to the effect of the following:</w:t>
      </w:r>
    </w:p>
    <w:p>
      <w:pPr>
        <w:pStyle w:val="TextBody"/>
        <w:bidi w:val="0"/>
        <w:spacing w:lineRule="auto" w:line="288" w:before="0" w:after="0"/>
        <w:ind w:left="0" w:right="0" w:hanging="27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rPr>
        <w:t>Same-Store Properties,” which represents properties in service and operating during both the current and prior year reporting periods. (Same-Store Properties totaled 22 of our 28 consolidated operating buildings),</w:t>
      </w:r>
    </w:p>
    <w:p>
      <w:pPr>
        <w:pStyle w:val="TextBody"/>
        <w:bidi w:val="0"/>
        <w:spacing w:lineRule="auto" w:line="288" w:before="0" w:after="0"/>
        <w:ind w:left="0" w:right="0" w:hanging="27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rPr>
        <w:t>Acquisition Properties,” which represents all properties or interests in properties acquired in 2025 and 2024 and all non-Same-Store Properties, including properties that are under development or redevelopment,</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iii."Disposed Properties," which represents all properties or interests in properties sold in 2025 and 2024,</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iv."Alternative Strategy Portfolio," which represents non-core assets, and</w:t>
      </w:r>
    </w:p>
    <w:p>
      <w:pPr>
        <w:pStyle w:val="TextBody"/>
        <w:bidi w:val="0"/>
        <w:spacing w:lineRule="auto" w:line="288" w:before="0" w:after="180"/>
        <w:ind w:left="0" w:right="0" w:hanging="270"/>
        <w:jc w:val="both"/>
        <w:rPr/>
      </w:pPr>
      <w:r>
        <w:rPr>
          <w:rFonts w:ascii="Times New Roman;serif" w:hAnsi="Times New Roman;serif"/>
          <w:b w:val="false"/>
          <w:color w:val="000000"/>
          <w:sz w:val="20"/>
        </w:rPr>
        <w:t>v.</w:t>
      </w:r>
      <w:r>
        <w:rPr>
          <w:color w:val="000000"/>
        </w:rPr>
        <w:t>“</w:t>
      </w:r>
      <w:r>
        <w:rPr>
          <w:rFonts w:ascii="Times New Roman;serif" w:hAnsi="Times New Roman;serif"/>
          <w:b w:val="false"/>
          <w:color w:val="000000"/>
          <w:sz w:val="20"/>
        </w:rPr>
        <w:t>Other,” which represents properties where we sold an interest resulting in deconsolidation and corporate level items not allocable to specific properties, as well as the Service Corporation and eEmerge Inc.</w:t>
      </w:r>
    </w:p>
    <w:tbl>
      <w:tblPr>
        <w:tblW w:w="14672" w:type="dxa"/>
        <w:jc w:val="left"/>
        <w:tblInd w:w="0" w:type="dxa"/>
        <w:tblLayout w:type="fixed"/>
        <w:tblCellMar>
          <w:top w:w="28" w:type="dxa"/>
          <w:left w:w="28" w:type="dxa"/>
          <w:bottom w:w="28" w:type="dxa"/>
          <w:right w:w="28" w:type="dxa"/>
        </w:tblCellMar>
      </w:tblPr>
      <w:tblGrid>
        <w:gridCol w:w="628"/>
        <w:gridCol w:w="196"/>
        <w:gridCol w:w="197"/>
        <w:gridCol w:w="109"/>
        <w:gridCol w:w="109"/>
        <w:gridCol w:w="109"/>
        <w:gridCol w:w="196"/>
        <w:gridCol w:w="556"/>
        <w:gridCol w:w="109"/>
        <w:gridCol w:w="109"/>
        <w:gridCol w:w="109"/>
        <w:gridCol w:w="109"/>
        <w:gridCol w:w="196"/>
        <w:gridCol w:w="556"/>
        <w:gridCol w:w="109"/>
        <w:gridCol w:w="109"/>
        <w:gridCol w:w="109"/>
        <w:gridCol w:w="109"/>
        <w:gridCol w:w="196"/>
        <w:gridCol w:w="376"/>
        <w:gridCol w:w="109"/>
        <w:gridCol w:w="109"/>
        <w:gridCol w:w="109"/>
        <w:gridCol w:w="109"/>
        <w:gridCol w:w="240"/>
        <w:gridCol w:w="241"/>
        <w:gridCol w:w="292"/>
        <w:gridCol w:w="109"/>
        <w:gridCol w:w="109"/>
        <w:gridCol w:w="109"/>
        <w:gridCol w:w="196"/>
        <w:gridCol w:w="40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327"/>
        <w:gridCol w:w="196"/>
        <w:gridCol w:w="466"/>
        <w:gridCol w:w="109"/>
        <w:gridCol w:w="327"/>
        <w:gridCol w:w="781"/>
        <w:gridCol w:w="343"/>
      </w:tblGrid>
      <w:tr>
        <w:trPr/>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Same-Store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(loss)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21,625.0 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(478.5)</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00" w:after="1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Rental revenues increased due primarily to the consolidation of 100 Park Avenue ($11.3 million) at the end of the fourth quarter of 2024 and the acquisition of 500 Park Avenue ($4.4 million) in the first quarter of 2025.</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commenced leasing activity for the three months ended September 30, 2025 in our Manhattan portfolio:</w:t>
      </w:r>
    </w:p>
    <w:tbl>
      <w:tblPr>
        <w:tblW w:w="10205" w:type="dxa"/>
        <w:jc w:val="left"/>
        <w:tblInd w:w="0" w:type="dxa"/>
        <w:tblLayout w:type="fixed"/>
        <w:tblCellMar>
          <w:top w:w="28" w:type="dxa"/>
          <w:left w:w="28" w:type="dxa"/>
          <w:bottom w:w="28" w:type="dxa"/>
          <w:right w:w="28" w:type="dxa"/>
        </w:tblCellMar>
      </w:tblPr>
      <w:tblGrid>
        <w:gridCol w:w="636"/>
        <w:gridCol w:w="470"/>
        <w:gridCol w:w="473"/>
        <w:gridCol w:w="435"/>
        <w:gridCol w:w="436"/>
        <w:gridCol w:w="196"/>
        <w:gridCol w:w="109"/>
        <w:gridCol w:w="109"/>
        <w:gridCol w:w="109"/>
        <w:gridCol w:w="368"/>
        <w:gridCol w:w="368"/>
        <w:gridCol w:w="251"/>
        <w:gridCol w:w="109"/>
        <w:gridCol w:w="109"/>
        <w:gridCol w:w="109"/>
        <w:gridCol w:w="251"/>
        <w:gridCol w:w="828"/>
        <w:gridCol w:w="139"/>
        <w:gridCol w:w="109"/>
        <w:gridCol w:w="109"/>
        <w:gridCol w:w="109"/>
        <w:gridCol w:w="196"/>
        <w:gridCol w:w="646"/>
        <w:gridCol w:w="109"/>
        <w:gridCol w:w="109"/>
        <w:gridCol w:w="109"/>
        <w:gridCol w:w="109"/>
        <w:gridCol w:w="196"/>
        <w:gridCol w:w="646"/>
        <w:gridCol w:w="109"/>
        <w:gridCol w:w="109"/>
        <w:gridCol w:w="109"/>
        <w:gridCol w:w="109"/>
        <w:gridCol w:w="233"/>
        <w:gridCol w:w="233"/>
        <w:gridCol w:w="231"/>
        <w:gridCol w:w="109"/>
        <w:gridCol w:w="109"/>
        <w:gridCol w:w="109"/>
        <w:gridCol w:w="233"/>
        <w:gridCol w:w="233"/>
        <w:gridCol w:w="327"/>
      </w:tblGrid>
      <w:tr>
        <w:trPr/>
        <w:tc>
          <w:tcPr>
            <w:tcW w:w="6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Rentable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New Cash Rent (per rentable SF)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Prev.</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Escalated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 (per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rentable</w:t>
            </w:r>
          </w:p>
          <w:p>
            <w:pPr>
              <w:pStyle w:val="TableContents"/>
              <w:bidi w:val="0"/>
              <w:spacing w:lineRule="auto" w:line="240" w:before="0" w:after="0"/>
              <w:jc w:val="center"/>
              <w:rPr/>
            </w:pPr>
            <w:r>
              <w:rPr>
                <w:rFonts w:ascii="Times New Roman;serif" w:hAnsi="Times New Roman;serif"/>
                <w:b/>
                <w:color w:val="000000"/>
                <w:sz w:val="16"/>
              </w:rPr>
              <w:t>SF)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TI/LC</w:t>
              <w:br/>
              <w:t>per</w:t>
              <w:br/>
              <w:t>rentable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Free</w:t>
              <w:br/>
              <w:t>Rent (in</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Lease</w:t>
              <w:br/>
              <w:t>Term (in</w:t>
              <w:br/>
              <w:t>years)</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Manhattan</w:t>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Space available at beginning of the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2,777,676 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Space which became available during the period </w:t>
            </w:r>
            <w:r>
              <w:rPr>
                <w:rFonts w:ascii="Times New Roman;serif" w:hAnsi="Times New Roman;serif"/>
                <w:b w:val="false"/>
                <w:color w:val="000000"/>
                <w:sz w:val="10"/>
              </w:rPr>
              <w:t>(3)</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xml:space="preserve">•       </w:t>
            </w:r>
            <w:r>
              <w:rPr>
                <w:rFonts w:ascii="Times New Roman;serif" w:hAnsi="Times New Roman;serif"/>
                <w:b w:val="false"/>
                <w:color w:val="000000"/>
                <w:sz w:val="16"/>
              </w:rPr>
              <w:t>Office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xml:space="preserve">•       </w:t>
            </w:r>
            <w:r>
              <w:rPr>
                <w:rFonts w:ascii="Times New Roman;serif" w:hAnsi="Times New Roman;serif"/>
                <w:b w:val="false"/>
                <w:color w:val="000000"/>
                <w:sz w:val="16"/>
              </w:rPr>
              <w:t>Retail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xml:space="preserve">•       </w:t>
            </w:r>
            <w:r>
              <w:rPr>
                <w:rFonts w:ascii="Times New Roman;serif" w:hAnsi="Times New Roman;serif"/>
                <w:b w:val="false"/>
                <w:color w:val="000000"/>
                <w:sz w:val="16"/>
              </w:rPr>
              <w:t>Storage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space available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2,930,092 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space commenced during the period:</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color w:val="000000"/>
              </w:rPr>
              <w:t xml:space="preserve">•       </w:t>
            </w:r>
            <w:r>
              <w:rPr>
                <w:rFonts w:ascii="Times New Roman;serif" w:hAnsi="Times New Roman;serif"/>
                <w:b w:val="false"/>
                <w:color w:val="000000"/>
                <w:sz w:val="16"/>
              </w:rPr>
              <w:t>Office</w:t>
            </w:r>
            <w:r>
              <w:rPr>
                <w:rFonts w:ascii="Times New Roman;serif" w:hAnsi="Times New Roman;serif"/>
                <w:b w:val="false"/>
                <w:color w:val="000000"/>
                <w:sz w:val="10"/>
              </w:rPr>
              <w:t>(4)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610,570 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xml:space="preserve">•       </w:t>
            </w:r>
            <w:r>
              <w:rPr>
                <w:rFonts w:ascii="Times New Roman;serif" w:hAnsi="Times New Roman;serif"/>
                <w:b w:val="false"/>
                <w:color w:val="000000"/>
                <w:sz w:val="16"/>
              </w:rPr>
              <w:t>Retail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color w:val="000000"/>
              </w:rPr>
            </w:pPr>
            <w:r>
              <w:rPr>
                <w:color w:val="000000"/>
              </w:rPr>
              <w:t xml:space="preserve">•       </w:t>
            </w:r>
            <w:r>
              <w:rPr>
                <w:rFonts w:ascii="Times New Roman;serif" w:hAnsi="Times New Roman;serif"/>
                <w:b w:val="false"/>
                <w:color w:val="000000"/>
                <w:sz w:val="16"/>
              </w:rPr>
              <w:t>Storage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leased space commenced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606,173 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636,940 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space at end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2,323,919 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Early renewals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Office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early renewals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164,690 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commenced leases, including replaced previous vacancy</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Office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775,260 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Retail</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r>
      <w:tr>
        <w:trPr/>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Storage</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commenced leases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801,630 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(1)Annual initial base rent.</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(2)Escalated rent includes base rent plus all additional amounts paid by the tenant in the form of real estate taxes, operating expenses, porters wage or a consumer price index (CPI) adjustment.</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(3)Includes expiring space, relocating tenants and move-outs where tenants vacated. Excludes lease expirations where tenants held over.</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(4)Average starting office rent excluding new tenants replacing vacancies was $97.21 per rentable square feet for 220,110 rentable square feet. Average starting office rent for office space (leased and early renewals, excluding new tenants replacing vacancies) was $95.42 per rentable square feet for 384,800 rentable square feet.</w:t>
      </w:r>
    </w:p>
    <w:p>
      <w:pPr>
        <w:pStyle w:val="TextBody"/>
        <w:bidi w:val="0"/>
        <w:spacing w:before="0" w:after="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SUMMIT Operator revenues were lower for the three months ended September 30, 2025 as compared to the same period in 2024 due primarily to taking the Ascent experience offline for maintenance, which is a premium ticket that generates incremental revenue.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 from real estate loans held by consolidated securitization vehicles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2024 we acquired securities in CMBS securitization trusts that resulted in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we own directly and not the consolidated interest income and interest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increased due primarily to management fees earned from the Fund ($2.6 million).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operating expenses increased due primarily to the consolidation of 100 Park Avenue ($3.4 million) at the end of the fourth quarter of 2024, the acquisition of 500 Park Avenue ($1.4 million) in the first quarter of 2025 and an increase in real estate taxes at our Acquisition Properties ($1.9 million) and Same-Store Properties ($4.9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SUMMIT Operator expenses were lower for the three months ended September 30, 2025 as compared to the same period in 2024 due to decreased variable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Transaction related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related costs increased for the three months ended September 30, 2025 as compared to the same period in 2024 due primarily to the write off of expenses related to the Company's pursuit of a gaming license.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expenses increased to $23.7 million for the three months ended September 30, 2025, as compared to $21.0 million for the same period in 2024 due primarily to higher compensation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net of interest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interest income, increased due primarily to the consolidation of 100 Park Avenue ($6.6 million) at the end of the fourth quarter of 2024 and an increase in the interest rate on the mortgage at 420 Lexington Avenue ($2.8 million) in the third quarter of 2024. These increases were offset by decreased interest expense from the revolving credit facility ($5.9 million) due to a lower outstanding balance, and the repayment of unsecured corporate term loans ($1.5 million) in the fourth quarter of 2024. The consolidated weighted average interest rate was 5.37% for the three months ended September 30, 2025, as compared to 5.05% for the three months ended September 30,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tax (expense) benefit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SUMMIT Operator tax expense increased for the three months ended September 30, 2025 as compared to the same period in 2024 due to an adjustment made in the third quarter of 2024 related to 2023 projected tax expense being more than 2023 actual tax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senior obligations of consolidated securitization vehicles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2024, we acquired securities in CMBS securitization trusts that resulted in consolidation of the trusts on our financial statements. The amounts include the interest expense associated with CMBS positions owned by third parties, which is an offset to the third-party interest income recognized in Interest income from real estate loans held by consolidated securitization vehicles. As a result, the impact is limited to interest income on the CMBS we own directly and not the consolidated interest income and interest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during the three months ended September 30, 2025 compared to the three months ended September 30, 2024 due primarily to the consolidation of 100 Park Avenue ($5.2 million) at the end of the fourth quarter of 2024, the consolidation of 315 West 33rd Street ($1.8 million) at the end of the third quarter of 2025 and the acquisition of 500 Park Avenue ($1.4 million) in the first quarter of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(loss) income from unconsolidated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in net loss from unconsolidated joint ventures decreased due primarily to the consolidation of 100 Park Avenue ($3.8 million) at the end of the fourth quarter of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gain on sale of interest in unconsolidated joint venture/real estate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we recognized a gain on the sale of a 5.0% interest in One Vanderbilt Avenue ($87.3 million). During the three months ended September 30, 2024, we did not dispose any interests in unconsolidated joint ventures.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Purchase price and other fair value adjustments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Purchase price and other fair value adjustments decreased due primarily to a decrease ($2.4 million) in the fair value adjustment for the secured borrowing related to the previous sale of an interest at One Madison Avenue during the three months ended September 30, 2025 compared to the same period in the prior year.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(Loss) gain on sale of real estate, net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(Loss) gain on sale of real estate, net decreased due primarily to a recognized gain on the sale of Palisades Premier Conference Center ($7.3 million) during the three months ended September 30, 2024. We did not dispose of any consolidated properties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Times New Roman;serif" w:hAnsi="Times New Roman;serif"/>
          <w:b/>
          <w:i/>
          <w:color w:val="000000"/>
          <w:sz w:val="20"/>
        </w:rPr>
        <w:t>Comparison of the nine months ended September 30, 2025 to the nine months ended September 30, 2024</w:t>
      </w:r>
      <w:r>
        <w:rPr>
          <w:color w:val="000000"/>
        </w:rPr>
        <w:t xml:space="preserve">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comparison for the nine months ended September 30, 2025, or 2025, to the nine months ended September 30, 2024, or 2024, makes reference to the effect of the following:</w:t>
      </w:r>
    </w:p>
    <w:p>
      <w:pPr>
        <w:pStyle w:val="TextBody"/>
        <w:bidi w:val="0"/>
        <w:spacing w:lineRule="auto" w:line="288" w:before="0" w:after="0"/>
        <w:ind w:left="0" w:right="0" w:hanging="270"/>
        <w:jc w:val="both"/>
        <w:rPr/>
      </w:pPr>
      <w:r>
        <w:rPr>
          <w:rFonts w:ascii="Times New Roman;serif" w:hAnsi="Times New Roman;serif"/>
          <w:b w:val="false"/>
          <w:color w:val="000000"/>
          <w:sz w:val="20"/>
        </w:rPr>
        <w:t>i.</w:t>
      </w:r>
      <w:r>
        <w:rPr>
          <w:color w:val="000000"/>
        </w:rPr>
        <w:t>“</w:t>
      </w:r>
      <w:r>
        <w:rPr>
          <w:rFonts w:ascii="Times New Roman;serif" w:hAnsi="Times New Roman;serif"/>
          <w:b w:val="false"/>
          <w:color w:val="000000"/>
          <w:sz w:val="20"/>
        </w:rPr>
        <w:t>Same-Store Properties,” which represents properties in service and operating during both the current and prior year reporting periods. (Same-Store Properties totale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22 of our 28 consolidated operating properties),</w:t>
      </w:r>
    </w:p>
    <w:p>
      <w:pPr>
        <w:pStyle w:val="TextBody"/>
        <w:bidi w:val="0"/>
        <w:spacing w:lineRule="auto" w:line="288" w:before="0" w:after="0"/>
        <w:ind w:left="0" w:right="0" w:hanging="270"/>
        <w:jc w:val="both"/>
        <w:rPr/>
      </w:pPr>
      <w:r>
        <w:rPr>
          <w:rFonts w:ascii="Times New Roman;serif" w:hAnsi="Times New Roman;serif"/>
          <w:b w:val="false"/>
          <w:color w:val="000000"/>
          <w:sz w:val="20"/>
        </w:rPr>
        <w:t>ii.</w:t>
      </w:r>
      <w:r>
        <w:rPr>
          <w:color w:val="000000"/>
        </w:rPr>
        <w:t>“</w:t>
      </w:r>
      <w:r>
        <w:rPr>
          <w:rFonts w:ascii="Times New Roman;serif" w:hAnsi="Times New Roman;serif"/>
          <w:b w:val="false"/>
          <w:color w:val="000000"/>
          <w:sz w:val="20"/>
        </w:rPr>
        <w:t>Acquisition Properties,” which represents all properties or interests in properties acquired in 2025 and 2024 and all non-Same-Store Properties, including properties that are under development, redevelopment or were deconsolidated during the period,</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iii."Disposed Properties," which represents all properties or interests in properties sold or partially sold in 2025 and 2024,</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iv."Alternative Strategy Portfolio," which represents non-core assets, and</w:t>
      </w:r>
    </w:p>
    <w:p>
      <w:pPr>
        <w:pStyle w:val="TextBody"/>
        <w:bidi w:val="0"/>
        <w:spacing w:lineRule="auto" w:line="288" w:before="0" w:after="120"/>
        <w:ind w:left="0" w:right="0" w:hanging="270"/>
        <w:jc w:val="both"/>
        <w:rPr/>
      </w:pPr>
      <w:r>
        <w:rPr>
          <w:rFonts w:ascii="Times New Roman;serif" w:hAnsi="Times New Roman;serif"/>
          <w:b w:val="false"/>
          <w:color w:val="000000"/>
          <w:sz w:val="20"/>
        </w:rPr>
        <w:t>v.</w:t>
      </w:r>
      <w:r>
        <w:rPr>
          <w:color w:val="000000"/>
        </w:rPr>
        <w:t>“</w:t>
      </w:r>
      <w:r>
        <w:rPr>
          <w:rFonts w:ascii="Times New Roman;serif" w:hAnsi="Times New Roman;serif"/>
          <w:b w:val="false"/>
          <w:color w:val="000000"/>
          <w:sz w:val="20"/>
        </w:rPr>
        <w:t>Other,” which represents properties that were partially sold resulting in deconsolidation and corporate level items not allocable to specific properties, as well as the Service Corporation and eEmerge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tbl>
      <w:tblPr>
        <w:tblW w:w="14672" w:type="dxa"/>
        <w:jc w:val="left"/>
        <w:tblInd w:w="0" w:type="dxa"/>
        <w:tblLayout w:type="fixed"/>
        <w:tblCellMar>
          <w:top w:w="28" w:type="dxa"/>
          <w:left w:w="28" w:type="dxa"/>
          <w:bottom w:w="28" w:type="dxa"/>
          <w:right w:w="28" w:type="dxa"/>
        </w:tblCellMar>
      </w:tblPr>
      <w:tblGrid>
        <w:gridCol w:w="643"/>
        <w:gridCol w:w="196"/>
        <w:gridCol w:w="197"/>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3"/>
        <w:gridCol w:w="233"/>
        <w:gridCol w:w="292"/>
        <w:gridCol w:w="109"/>
        <w:gridCol w:w="109"/>
        <w:gridCol w:w="109"/>
        <w:gridCol w:w="196"/>
        <w:gridCol w:w="406"/>
        <w:gridCol w:w="109"/>
        <w:gridCol w:w="109"/>
        <w:gridCol w:w="109"/>
        <w:gridCol w:w="109"/>
        <w:gridCol w:w="196"/>
        <w:gridCol w:w="376"/>
        <w:gridCol w:w="109"/>
        <w:gridCol w:w="109"/>
        <w:gridCol w:w="109"/>
        <w:gridCol w:w="109"/>
        <w:gridCol w:w="196"/>
        <w:gridCol w:w="466"/>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327"/>
        <w:gridCol w:w="196"/>
        <w:gridCol w:w="466"/>
        <w:gridCol w:w="109"/>
        <w:gridCol w:w="327"/>
        <w:gridCol w:w="691"/>
        <w:gridCol w:w="343"/>
      </w:tblGrid>
      <w:tr>
        <w:trPr/>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Same-Store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Consolidated</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br/>
              <w:t>Change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from real estate loans held by consolidated securitization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897.9 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4,433.3 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 of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SUMMIT Operator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on senior obligations of consolidated securitization vehicles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1,287.9 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(loss) income from unconsolidated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in net gain on sale of interest in unconsolidated joint venture/real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debt fund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price and other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gain on sale of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Depreciable real estate reserves and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 loss and other investment reserves,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Rental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Rental revenues increased due primarily to the consolidation of 100 Park Avenue ($31.4 million) at the end of the fourth quarter of 2024 and 10 East 53rd Street ($7.4 million) at the end of the first quarter of 2024 and the acquisition of 500 Park Avenue ($12.5 million) in the first quarter of 2025. </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commenced leasing activity for the nine months ended September 30, 2025 in our Manhattan and Suburban portfolio:</w:t>
      </w:r>
    </w:p>
    <w:tbl>
      <w:tblPr>
        <w:tblW w:w="10205" w:type="dxa"/>
        <w:jc w:val="left"/>
        <w:tblInd w:w="0" w:type="dxa"/>
        <w:tblLayout w:type="fixed"/>
        <w:tblCellMar>
          <w:top w:w="28" w:type="dxa"/>
          <w:left w:w="28" w:type="dxa"/>
          <w:bottom w:w="28" w:type="dxa"/>
          <w:right w:w="28" w:type="dxa"/>
        </w:tblCellMar>
      </w:tblPr>
      <w:tblGrid>
        <w:gridCol w:w="657"/>
        <w:gridCol w:w="398"/>
        <w:gridCol w:w="400"/>
        <w:gridCol w:w="435"/>
        <w:gridCol w:w="436"/>
        <w:gridCol w:w="196"/>
        <w:gridCol w:w="109"/>
        <w:gridCol w:w="109"/>
        <w:gridCol w:w="109"/>
        <w:gridCol w:w="435"/>
        <w:gridCol w:w="436"/>
        <w:gridCol w:w="25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231"/>
        <w:gridCol w:w="109"/>
        <w:gridCol w:w="109"/>
        <w:gridCol w:w="109"/>
        <w:gridCol w:w="233"/>
        <w:gridCol w:w="233"/>
        <w:gridCol w:w="583"/>
      </w:tblGrid>
      <w:tr>
        <w:trPr/>
        <w:tc>
          <w:tcPr>
            <w:tcW w:w="65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Rentable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 (per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rentable</w:t>
            </w:r>
          </w:p>
          <w:p>
            <w:pPr>
              <w:pStyle w:val="TableContents"/>
              <w:bidi w:val="0"/>
              <w:spacing w:lineRule="auto" w:line="240" w:before="0" w:after="0"/>
              <w:jc w:val="center"/>
              <w:rPr/>
            </w:pPr>
            <w:r>
              <w:rPr>
                <w:rFonts w:ascii="Times New Roman;serif" w:hAnsi="Times New Roman;serif"/>
                <w:b/>
                <w:color w:val="000000"/>
                <w:sz w:val="16"/>
              </w:rPr>
              <w:t>SF)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Prev.</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Escalated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 (per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rentable</w:t>
            </w:r>
          </w:p>
          <w:p>
            <w:pPr>
              <w:pStyle w:val="TableContents"/>
              <w:bidi w:val="0"/>
              <w:spacing w:lineRule="auto" w:line="240" w:before="0" w:after="0"/>
              <w:jc w:val="center"/>
              <w:rPr/>
            </w:pPr>
            <w:r>
              <w:rPr>
                <w:rFonts w:ascii="Times New Roman;serif" w:hAnsi="Times New Roman;serif"/>
                <w:b/>
                <w:color w:val="000000"/>
                <w:sz w:val="16"/>
              </w:rPr>
              <w:t>SF)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TI/LC</w:t>
              <w:br/>
              <w:t>per</w:t>
              <w:br/>
              <w:t>rentable</w:t>
              <w:br/>
              <w:t>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Free</w:t>
              <w:br/>
              <w:t>Rent (in</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Lease</w:t>
              <w:br/>
              <w:t>Term (in</w:t>
              <w:br/>
              <w:t>years)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Manhattan</w:t>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Space available at beginning of the period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2,628,302 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FF0000"/>
              </w:rPr>
            </w:pPr>
            <w:r>
              <w:rPr>
                <w:color w:val="FF0000"/>
              </w:rPr>
              <w:t>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out of redevelopment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392,845 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vacancies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Space which became available during the period </w:t>
            </w:r>
            <w:r>
              <w:rPr>
                <w:rFonts w:ascii="Times New Roman;serif" w:hAnsi="Times New Roman;serif"/>
                <w:b w:val="false"/>
                <w:color w:val="000000"/>
                <w:sz w:val="10"/>
              </w:rPr>
              <w:t>(3)</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Office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919,462 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Retail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Storage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945,792 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space available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3,978,057 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Leased space commenced during the period:</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50"/>
              <w:jc w:val="left"/>
              <w:rPr/>
            </w:pPr>
            <w:r>
              <w:rPr>
                <w:color w:val="000000"/>
              </w:rPr>
              <w:t xml:space="preserve">•       </w:t>
            </w:r>
            <w:r>
              <w:rPr>
                <w:rFonts w:ascii="Times New Roman;serif" w:hAnsi="Times New Roman;serif"/>
                <w:b w:val="false"/>
                <w:color w:val="000000"/>
                <w:sz w:val="16"/>
              </w:rPr>
              <w:t>Office</w:t>
            </w:r>
            <w:r>
              <w:rPr>
                <w:rFonts w:ascii="Times New Roman;serif" w:hAnsi="Times New Roman;serif"/>
                <w:b w:val="false"/>
                <w:color w:val="000000"/>
                <w:sz w:val="10"/>
              </w:rPr>
              <w:t>(4)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1,604,311 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1,731,771 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Retail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Storage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leased space commenced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1,654,138 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1,781,340 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available space at end of period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2,323,919 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Early renewals</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Office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397,374 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421,785 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Retail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Storage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early renewals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425,070 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commenced leases, including replaced previous vacancy</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Office</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2,153,556 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Retail</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Storage</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FF0000"/>
              </w:rPr>
            </w:pPr>
            <w:r>
              <w:rPr>
                <w:color w:val="FF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commenced leases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2,206,410 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(1)Annual initial base rent.</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(2)Escalated rent includes base rent plus all additional amounts paid by the tenant in the form of real estate taxes, operating expenses, porters wage or a consumer price index (CPI) adjustment.</w:t>
      </w:r>
    </w:p>
    <w:p>
      <w:pPr>
        <w:pStyle w:val="TextBody"/>
        <w:bidi w:val="0"/>
        <w:spacing w:lineRule="auto" w:line="288" w:before="0" w:after="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(3)Includes expiring space, relocating tenants and move-outs where tenants vacated. Excludes lease expirations where tenants held over.</w:t>
      </w:r>
    </w:p>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(4)Average starting office rent excluding new tenants replacing vacancies was $97.21 per rentable square feet for 220,110 rentable square feet. Average starting office rent for office space (leased and early renewals, excluding new tenants replacing vacancies) was $95.42 per rentable square feet for 384,800 rentable square feet.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revenue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SUMMIT Operator revenues were lower for the nine months ended September 30, 2025 as compared to the same period in 2024 due primarily to taking the Ascent experience offline for maintenance, which is a premium ticket that generates incremental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Investment income</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income increased due primarily to interest payments received on one CMBS investment ($10.0 million) during the nine months ended September 30, 2025. This increase was partially offset by a lower weighted average debt and preferred equity investment balance and weighted average yield for the nine months ended September 30, 2025 as compared to the same period in 2024. For the nine months ended September 30, 2025, the weighted average debt and preferred equity investment balance outstanding and weighted average yield were $308.4 million and 5.9%, respectively, as compared to $334.6 million and 7.1%, respectively, for the nine months ended September 30,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income from real estate loans held by consolidated securitization vehicles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2024 and the nine months ended September 30, 2025, we acquired securities in CMBS securitization trusts that resulted in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we own directly and not the consolidated interest income and interest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decreased due primarily to fee income recognized during the nine months ended September 30, 2024 related to the sales of 625 Madison Avenue ($11.5 million) and 719 Seventh Avenue ($3.5 million). This is offset by management fees earned from the Fund ($5.2 million) and increased lease termination income ($3.9 million) during the nine months ended September 30, 2025.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Property operating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Property operating expenses increased due primarily to the consolidation of 100 Park Avenue ($20.5 million) and 10 East 53rd Street ($4.4 million), the acquisition of 500 Park Avenue ($6.9 million) and an increase in real estate taxes at our Acquisition Properties ($4.5 million) and Same-Store Properties ($13.9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expenses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SUMMIT Operator expenses were lower for the nine months ended September 30, 2025 as compared to the same period in 2024 due to decreased variable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Transaction related costs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Transaction related costs increased for the nine months ended September 30, 2025 as compared to the same period in 2024 due primarily to the write off of expenses related to the Company's pursuit of a gaming license.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Marketing, general and administrative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Marketing, general, and administrative expenses increased to $67.0 million for the nine months ended September 30, 2025, as compared to $62.4 million for the same period in 2024 due primarily to higher compensation expenses.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net of interest income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net of interest income, increased due primarily to the consolidation of 100 Park Avenue ($18.7 million), a decrease in interest capitalization at properties that are under development or redevelopment ($17.2 million) and an increase in the interest rate on the mortgage at 420 Lexington Avenue ($7.5 million). These increases were offset by decreased interest expense from the revolving credit facility ($15.9 million) due to a lower outstanding balance, and the repayment of unsecured corporate term loans ($5.4 million) in the fourth quarter of 2024. The consolidated weighted average interest rate was 5.37% for the nine months ended September 30, 2025, as compared to 5.15% for the nine months ended September 30,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SUMMIT Operator tax (expense) benefit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SUMMIT Operator tax expense increased for the nine months ended September 30, 2025 as compared to the same period in 2024 due to an adjustment made in the third quarter of 2024 related to 2023 projected tax expense being more than 2023 actual tax expense.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 on senior obligations of consolidated securitization vehicles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2024 and the nine months ended September 30, 2025, we acquired securities in CMBS securitization trusts that resulted in consolidation of the trusts on our financial statements. The amounts include the interest expense associated with CMBS positions owned by third parties, which is an offset to the third party interest income recognized in "Interest income from real estate loans held by consolidated securitization vehicles". As a result, the impact is limited to interest income on the CMBS we own directly and not the consolidated interest income and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expense.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primarily due to the consolidation of 100 Park Avenue ($14.8 million) and 10 East 53rd Street ($4.2 million) and the acquisition of 500 Park Avenue ($3.7 million) in the first quarter of 2025.</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(loss) income from unconsolidated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in net (loss) income from unconsolidated joint ventures decreased primarily due to gains on discounted debt extinguishments at 2 Herald Square ($126.6 million) and 280 Park Avenue ($22.9 million) during the nine months ended September 30, 2024. This was partially offset by the consolidation of 100 Park Avenue ($12.1 million) at the end of the fourth quarter of 2024.</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Equity in net gain on sale of interest in unconsolidated joint venture/real estate</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a gain on the sale of our interest in One Vanderbilt Avenue ($87.3 million) offset by a loss on the sale of our interest in 85 Fifth Avenue ($2.3 million). During the nine months ended September 30, 2024, we recognized a gain on the sale of our interest in 717 Fifth Avenue ($24.9 million) offset by a loss on the sale of our interest in 625 Madison Avenue ($7.3 million).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Purchase price and other fair value adjustments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recorded a $13.0 million negative fair value adjustment related to the initial valuation of Palisades Conference Center and a $4.0 million negative fair value adjustment related to derivatives that are not designated as hedges for accounting purposes, partially offset by a $14.2 million positive fair value adjustment for the secured borrowing related to the previous sale of an interest at One Madison Avenue. During the nine months ended September 30, 2024, we recorded a $55.7 million negative fair value adjustment relating to the consolidation of 10 East 53rd Street and a $2.6 million negative fair value adjustment related to derivatives that are not designated as hedges for accounting purposes, partially offset by a $21.9 million positive fair value adjustment for the secured borrowing related to the previous sale of an interest at One Madison Avenue.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(Loss) gain on sale of real estate, net</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2024, we recognized a gain on the sale of Palisades Premier Conference Center ($7.3 million) and a loss on the sale of 719 Seventh Avenue ($2.1 million).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Depreciable real estate reserves and impairment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recognized depreciable real estate reserves and impairments at 760 Madison Avenue ($8.5 million). During the nine months ended September 30, 2024, we recognized depreciable real estate reserves and impairments at 719 Seventh Avenue ($46.3 million) and 760 Madison Avenue ($13.7 million), reflective of $13.2 million of capitalized interest. In addition, during the nine months ended September 30, 2024, we recognized depreciable real estate reserves and impairments related to our investment at 625 Madison Avenue ($5.9 million), prior to the sale closing in the second quarter of 2024.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Gain on early extinguishment of debt</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recognized a ($17.8 million) gain on discounted debt extinguishment at 719 Seventh Avenue.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Loan loss and other investment reserves, net of recoveries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a loan loss recovery of $71.6 million related to the repayment of the mortgage investment at 522 Fifth Avenue.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Gain on sale of marketable securities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recognized a gain on marketable securities sold during the period ($10.2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currently expect that the principal sources of funds to meet our short-term and long-term liquidity requirements for working capital, acquisitions, development or redevelopment of properties, tenant improvements, leasing costs, dividends to shareholders, distributions to unitholders, repurchases or repayments of outstanding indebtedness and for debt and preferred equity investments will include:</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(1)Cash flow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(2)Cash on hand;</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(3)Net proceeds from divestitures of properties and redemptions, participations, dispositions and repayments of debt and preferred equity investments;</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(4)Borrowings under the revolving credit facility;</w:t>
      </w:r>
    </w:p>
    <w:p>
      <w:pPr>
        <w:pStyle w:val="TextBody"/>
        <w:bidi w:val="0"/>
        <w:spacing w:lineRule="auto" w:line="28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(5)Other forms of secured or unsecured financing; and</w:t>
      </w:r>
    </w:p>
    <w:p>
      <w:pPr>
        <w:pStyle w:val="TextBody"/>
        <w:bidi w:val="0"/>
        <w:spacing w:lineRule="auto" w:line="288" w:before="0" w:after="12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(6)Proceeds from common or preferred equity or debt offerings by the Company or the Operating Partnership (including issuances of units of limited partnership interest in the Operating Partnership and Trust preferred securities).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combined aggregate principal maturities of mortgages and other loans payable, the 2021 credit facility, senior unsecured notes (net of discount), trust preferred securities, our share of joint venture debt, including as-of-right extension options, estimated interest expense, and our obligations under our financing and operating leases, as of September 30, 2025 are as follows (in thousands):</w:t>
      </w:r>
    </w:p>
    <w:tbl>
      <w:tblPr>
        <w:tblW w:w="10720" w:type="dxa"/>
        <w:jc w:val="left"/>
        <w:tblInd w:w="0" w:type="dxa"/>
        <w:tblLayout w:type="fixed"/>
        <w:tblCellMar>
          <w:top w:w="28" w:type="dxa"/>
          <w:left w:w="28" w:type="dxa"/>
          <w:bottom w:w="28" w:type="dxa"/>
          <w:right w:w="28" w:type="dxa"/>
        </w:tblCellMar>
      </w:tblPr>
      <w:tblGrid>
        <w:gridCol w:w="340"/>
        <w:gridCol w:w="272"/>
        <w:gridCol w:w="274"/>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961"/>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mortgages and other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Unsecured term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preferred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12,095,543 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that for the remainder of the year ending December 31, 2025, we expect to incur $39.4 million of leasing capital expenditures and $19.4 million of recurring capital expenditures on existing consolidated properties, of which $12.1 million will be funded by loan reserves. In addition, we expect to incur $22.9 million of development or redevelopment expenditures on existing consolidated properties, none of which will be funded by construction financing facilities or loan reserves. We expect our share of capital expenditures at our joint venture properties will be $34.7 million, of which $18.3 million will be funded by construction financing facilities or loan reserves. Future property acquisitions may require substantial capital investments for refurbishment and leasing costs.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liquidity of $1.1 billion, comprised of $852.5 million of availability under our revolving credit facility and $203.1 million of consolidated cash on hand, inclusive of $16.1 million of available-for-sale marketable securities. This liquidity excludes $94.6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investments in several real estate joint ventures with various partners who are generally considered to be financially stable.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summary discussion of our cash flows is based on our consolidated statements of cash flows in "Item 1. Financial Statements" and is not meant to be an all-inclusive discussion of the changes in our cash flows for the periods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Cash, restricted cash, and cash equivalents were $357.0 million and $315.1 million as of September 30, 2025 and 2024, respectively, representing an increase of $41.9 million. The increase was a result of the following changes in cash flows (in thousands): </w:t>
      </w:r>
    </w:p>
    <w:tbl>
      <w:tblPr>
        <w:tblW w:w="7880" w:type="dxa"/>
        <w:jc w:val="left"/>
        <w:tblInd w:w="0" w:type="dxa"/>
        <w:tblLayout w:type="fixed"/>
        <w:tblCellMar>
          <w:top w:w="28" w:type="dxa"/>
          <w:left w:w="28" w:type="dxa"/>
          <w:bottom w:w="28" w:type="dxa"/>
          <w:right w:w="28" w:type="dxa"/>
        </w:tblCellMar>
      </w:tblPr>
      <w:tblGrid>
        <w:gridCol w:w="1332"/>
        <w:gridCol w:w="1166"/>
        <w:gridCol w:w="1176"/>
        <w:gridCol w:w="196"/>
        <w:gridCol w:w="661"/>
        <w:gridCol w:w="109"/>
        <w:gridCol w:w="109"/>
        <w:gridCol w:w="109"/>
        <w:gridCol w:w="109"/>
        <w:gridCol w:w="196"/>
        <w:gridCol w:w="646"/>
        <w:gridCol w:w="109"/>
        <w:gridCol w:w="109"/>
        <w:gridCol w:w="109"/>
        <w:gridCol w:w="109"/>
        <w:gridCol w:w="299"/>
        <w:gridCol w:w="1101"/>
        <w:gridCol w:w="235"/>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(Decrease) Increase</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principal sources of operating cash flow are the properties in our consolidated and joint venture portfolios, third-party fees and our debt and preferred equity portfolio. These sources generate a relatively consistent stream of cash flow that provides us with resources to pay operating expenses, debt service and fund dividend and distribution requirements.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nine months ended September 30, 2025, when compared to the nine months ended September 30, 2024, we used cash primarily for the following investing activities (in thousands):</w:t>
      </w:r>
    </w:p>
    <w:tbl>
      <w:tblPr>
        <w:tblW w:w="6770" w:type="dxa"/>
        <w:jc w:val="left"/>
        <w:tblInd w:w="0" w:type="dxa"/>
        <w:tblLayout w:type="fixed"/>
        <w:tblCellMar>
          <w:top w:w="28" w:type="dxa"/>
          <w:left w:w="28" w:type="dxa"/>
          <w:bottom w:w="28" w:type="dxa"/>
          <w:right w:w="28" w:type="dxa"/>
        </w:tblCellMar>
      </w:tblPr>
      <w:tblGrid>
        <w:gridCol w:w="2033"/>
        <w:gridCol w:w="1786"/>
        <w:gridCol w:w="1790"/>
        <w:gridCol w:w="196"/>
        <w:gridCol w:w="811"/>
        <w:gridCol w:w="154"/>
      </w:tblGrid>
      <w:tr>
        <w:trPr/>
        <w:tc>
          <w:tcPr>
            <w:tcW w:w="203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real estate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and capitalized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deposits and deferred purchase price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joint ventures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real estate/partial interest in property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restricted cash assumed from consolidation of real estate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preferred equity and other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cash used in investing activities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Funds spent on capital expenditures, which are comprised of building and tenant improvements, increased from $162.7 million for the nine months ended September 30, 2024 to $183.0 million for the nine months ended September 30, 2025 due to increased spending on development and redevelopment properties.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generally fund our investment activity through the sale of real estate, the sale or repayment of debt and preferred equity investments, property-level financing, our corporate credit facilities, or construction facilities. From time to time, the Company may issue common or preferred stock or equity-linked securities, or the Operating Partnership may issue common or preferred units of limited partnership interest.</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when compared to the nine months ended September 30, 2024, we used cash primarily for the following financing activities (in thousands):</w:t>
      </w:r>
    </w:p>
    <w:tbl>
      <w:tblPr>
        <w:tblW w:w="5570" w:type="dxa"/>
        <w:jc w:val="left"/>
        <w:tblInd w:w="0" w:type="dxa"/>
        <w:tblLayout w:type="fixed"/>
        <w:tblCellMar>
          <w:top w:w="28" w:type="dxa"/>
          <w:left w:w="28" w:type="dxa"/>
          <w:bottom w:w="28" w:type="dxa"/>
          <w:right w:w="28" w:type="dxa"/>
        </w:tblCellMar>
      </w:tblPr>
      <w:tblGrid>
        <w:gridCol w:w="1595"/>
        <w:gridCol w:w="1405"/>
        <w:gridCol w:w="1409"/>
        <w:gridCol w:w="196"/>
        <w:gridCol w:w="81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our debt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our debt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distribution to noncontrolling interests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DRSPP issuance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distributions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cash provided by financing activities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Capitalization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September 30, 2025, 71,028,166 shares of common stock and no shares of excess stock were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in place a share repurchase program of $3.5 billion under which we can buy shares of our common stock.</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September 30, 2025, 36,107,719 shares have been repurchased under the program, excluding the redemption of OP units. We did not repurchase any shares under the program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 Reinvestment and Stock Purchase Plan ("DRSPP")</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SL Green common stock issued, and proceeds received from dividend reinvestments and/or stock purchases under the DRSPP for the three and nine months ended September 30, 2025 and 2024, respectively (dollars in thousands):</w:t>
      </w:r>
    </w:p>
    <w:tbl>
      <w:tblPr>
        <w:tblW w:w="10205" w:type="dxa"/>
        <w:jc w:val="left"/>
        <w:tblInd w:w="0" w:type="dxa"/>
        <w:tblLayout w:type="fixed"/>
        <w:tblCellMar>
          <w:top w:w="28" w:type="dxa"/>
          <w:left w:w="28" w:type="dxa"/>
          <w:bottom w:w="28" w:type="dxa"/>
          <w:right w:w="28" w:type="dxa"/>
        </w:tblCellMar>
      </w:tblPr>
      <w:tblGrid>
        <w:gridCol w:w="1523"/>
        <w:gridCol w:w="1328"/>
        <w:gridCol w:w="1341"/>
        <w:gridCol w:w="291"/>
        <w:gridCol w:w="513"/>
        <w:gridCol w:w="161"/>
        <w:gridCol w:w="161"/>
        <w:gridCol w:w="161"/>
        <w:gridCol w:w="161"/>
        <w:gridCol w:w="291"/>
        <w:gridCol w:w="959"/>
        <w:gridCol w:w="161"/>
        <w:gridCol w:w="109"/>
        <w:gridCol w:w="109"/>
        <w:gridCol w:w="109"/>
        <w:gridCol w:w="267"/>
        <w:gridCol w:w="596"/>
        <w:gridCol w:w="148"/>
        <w:gridCol w:w="148"/>
        <w:gridCol w:w="148"/>
        <w:gridCol w:w="148"/>
        <w:gridCol w:w="267"/>
        <w:gridCol w:w="884"/>
        <w:gridCol w:w="221"/>
      </w:tblGrid>
      <w:tr>
        <w:trPr/>
        <w:tc>
          <w:tcPr>
            <w:tcW w:w="15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issued</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341,180 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reinvestments/stock purchases under the DRSPP</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23,754 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60"/>
        <w:jc w:val="both"/>
        <w:rPr>
          <w:rFonts w:ascii="Times New Roman;serif" w:hAnsi="Times New Roman;serif"/>
          <w:b/>
          <w:color w:val="000000"/>
          <w:sz w:val="20"/>
        </w:rPr>
      </w:pPr>
      <w:r>
        <w:rPr>
          <w:rFonts w:ascii="Times New Roman;serif" w:hAnsi="Times New Roman;serif"/>
          <w:b/>
          <w:color w:val="000000"/>
          <w:sz w:val="20"/>
        </w:rPr>
        <w:t>Sixth Amended and Restated 2005 Stock Option and Incentive Plan</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Sixth Amended and Restated 2005 Stock Option and Incentive Plan, or the 2005 Plan, was approved by the Company's Board of Directors in April 2025 and its stockholders in June 2025 at the Company's annual meeting of stockholders. Subject to adjustments upon certain corporate transactions or events, awards with respect to up to a maximum of 39,890,000 fungible units may be granted as options, restricted stock, phantom shares, dividend equivalent rights and other equity-based awards under the 2005 Plan. As of September 30, 2025, 9.3 million fungible units were available for issuance under the 2005 Plan after reserving for shares underlying outstanding restricted stock units, and phantom stock units granted pursuant to our Non-Employee Directors' Deferral Program and LTIP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Deferred Compensation Plan for Directors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14,501 phantom stock units and 10,311 shares of common stock were issued to our Board of Directors. We recorded compensation expense of $0.2 million and $2.3 million during the three and nine months ended September 30, 2025, respectively, related to the Deferred Compensation Plan. We recorded compensation expense of $0.2 million and $2.6 million during the three and nine months ended September 30, 2024, respectively, related to the Deferred Compensation Plan.</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were 92,805 phantom stock units outstanding pursuant to our Non-Employee Director's Deferral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consolidated mortgages and other loans payable, 2021 credit facility, 2022 term loan, senior unsecured notes and trust preferred securities outstanding as of September 30, 2025 and December 31, 2024, (amounts in thousands).</w:t>
      </w:r>
    </w:p>
    <w:tbl>
      <w:tblPr>
        <w:tblW w:w="8455" w:type="dxa"/>
        <w:jc w:val="left"/>
        <w:tblInd w:w="0" w:type="dxa"/>
        <w:tblLayout w:type="fixed"/>
        <w:tblCellMar>
          <w:top w:w="28" w:type="dxa"/>
          <w:left w:w="28" w:type="dxa"/>
          <w:bottom w:w="28" w:type="dxa"/>
          <w:right w:w="28" w:type="dxa"/>
        </w:tblCellMar>
      </w:tblPr>
      <w:tblGrid>
        <w:gridCol w:w="1787"/>
        <w:gridCol w:w="1571"/>
        <w:gridCol w:w="1576"/>
        <w:gridCol w:w="230"/>
        <w:gridCol w:w="1040"/>
        <w:gridCol w:w="335"/>
        <w:gridCol w:w="109"/>
        <w:gridCol w:w="109"/>
        <w:gridCol w:w="109"/>
        <w:gridCol w:w="227"/>
        <w:gridCol w:w="1012"/>
        <w:gridCol w:w="350"/>
      </w:tblGrid>
      <w:tr>
        <w:trPr/>
        <w:tc>
          <w:tcPr>
            <w:tcW w:w="1787"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Debt Summary:</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1,354,203</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1,182,474</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rate—hedged</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2,249,663</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2,075,000</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 rate</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3,603,866</w:t>
            </w: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3,257,474 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variable rate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424,516</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363,550</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4,028,382</w:t>
            </w: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3,621,024 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preferred equity, and other investments subject to variable rate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131,653</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117,006 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exposure to variable rate debt</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292,863</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246,544 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Percent of Total Debt</w:t>
            </w:r>
            <w:r>
              <w:rPr>
                <w:rFonts w:ascii="Times New Roman;serif" w:hAnsi="Times New Roman;serif"/>
                <w:b w:val="false"/>
                <w:color w:val="000000"/>
                <w:sz w:val="18"/>
              </w:rPr>
              <w:t>:</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89.5</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Variable rate </w:t>
            </w:r>
            <w:r>
              <w:rPr>
                <w:rFonts w:ascii="Times New Roman;serif" w:hAnsi="Times New Roman;serif"/>
                <w:b w:val="false"/>
                <w:color w:val="000000"/>
                <w:sz w:val="12"/>
              </w:rPr>
              <w:t>(1)</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w:t>
            </w: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Interest Rate for the Year:</w:t>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rate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5.20</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rate</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6.40</w:t>
            </w: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interest rate</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5.37</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(1)    Inclusive of the mitigating effect of our debt, preferred equity, and other investments subject to variable rates, the percent of total debt of our net exposure to variable rate debt was 7.5% and 7.0% as of September 30, 2025 and December 31, 2024, respectively.</w:t>
      </w:r>
    </w:p>
    <w:p>
      <w:pPr>
        <w:pStyle w:val="TextBody"/>
        <w:bidi w:val="0"/>
        <w:spacing w:lineRule="auto" w:line="288" w:before="0" w:after="1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variable rate debt shown above generally bears interest at an interest rate based on adjusted Term SOFR (4.13% and 4.33% as of September 30, 2025 and December 31, 2024, respectively). Our consolidated debt as of September 30, 2025 had a weighted average term to maturity of 2.70 years.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debt and equity investments and other investments, with carrying values of $131.7 million as of September 30, 2025 and $117.0 million as of December 31, 2024, are variable rate investments which mitigate our exposure to interest rate changes on our unhedged variable rate debt. Inclusive of the mitigating effect of these investments, the net ratio of our consolidated variable rate debt to total debt was 7.5% and 7.0%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Corporate Indebtedness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2021 Credit Facility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December 2021, we entered into an amended and restated credit facility, referred to as the 2021 credit facility, that was previously amended by the Company in November 2017, and was originally entered into by the Company in November 2012. As of September 30, 2025, the 2021 credit facility consisted of a $1.25 billion revolving credit facility, a $1.05 billion term loan (or "Term Loan A"), and a $100.0 million term loan (or "Term Loan B") with maturity dates of May 15, 2026, May 15, 2027, and November 19, 2025, respectively. Term Loan B has 2 six-month, as-of-right extension options to November 19, 2026.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 term indebtedness of the Company. As of September 30, 2025, the facility fee was 30 basis points.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$7.5 million of outstanding letters of credit, $390.0 million drawn under the revolving credit facility and $1.15 billion of outstanding term loans, with total undrawn capacity of $852.5 million under the 2021 credit facility. As of September 30, 2025 and December 31, 2024, the revolving credit facility had a carrying value of $387.4 million and $316.2 million, respectively, net of deferred financing costs. As of September 30, 2025 and December 31, 2024, the term loans had a carrying value of $1,147.3 million and $1.1 billion, respectively, net of deferred financing costs.</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and the Operating Partnership are borrowers jointly and severally obligated under the 2021 credit facility.</w:t>
      </w:r>
    </w:p>
    <w:p>
      <w:pPr>
        <w:pStyle w:val="TextBody"/>
        <w:bidi w:val="0"/>
        <w:spacing w:lineRule="auto" w:line="288" w:before="12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2021 credit facility includes certain restrictions and covenants (see Restrictive Covenants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333333"/>
          <w:sz w:val="20"/>
        </w:rPr>
      </w:pPr>
      <w:r>
        <w:rPr>
          <w:rFonts w:ascii="Times New Roman;serif" w:hAnsi="Times New Roman;serif"/>
          <w:b/>
          <w:color w:val="333333"/>
          <w:sz w:val="20"/>
        </w:rPr>
        <w:t>CMBS Repurchase Facility</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December 2024, the Company entered into a repurchase facility for CMBS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September 30, 2025, there have been no margin calls on the CMBS Repurchase Facility. At September 30, 2025, there was no outstanding balance on the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Restrictive Covenants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September 30, 2025 and December 31, 2024, we were in compliance with all such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changes in interest rates primarily from our variable rate debt. Our exposure to interest rate fluctuations are managed through the use of interest rate derivative instruments and through our variable rate debt and preferred equity investments. As of September 30, 2025, $3.6 billion of our consolidated long-term debt and $5.6 billion of our share of joint venture long-term debt bears interest at fixed rates. Our variable rate debt and variable rate joint venture debt as of September 30, 2025 bore interest based on a spread to LIBOR of 145 basis points and Term SOFR of 148 basis points to 241 basis points. Based on the debt outstanding as of September 30, 2025, a hypothetical 100 basis point increase in the applicable floating interest rate curve would increase our share of consolidated annual interest cost, net of interest income from variable rate debt and preferred equity investments, by $2.7 million and would increase our share of joint venture annual interest cost by $1.0 million. As of September 30, 2025, $0.1 billion of our debt and preferred equity portfolio was indexed to SOFR.</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recognize most derivatives on the balance sheet at fair value. Derivatives that are not hedges for accounting purposes are adjusted to fair value through income. If a derivative is considered a hedge for accounting purposes,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Dividends/Distributions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pay dividends to our stockholders based on the distributions we receive from our Operating Partnership. </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maintain our qualification as a REIT, we must pay annual dividends to our stockholders of at least 90% of our REIT taxable income, determined before taking into consideration the dividends paid deduction and net capital gains.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Before we pay any cash dividend, whether for Federal income tax purposes or otherwise, which would only be paid out of available cash to the extent permitted under the 2021 credit facility and senior unsecured notes, we must first meet both our operating requirements and scheduled debt service on our mortgages and loans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Funds from Operations ("FFO")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FFO for the three and nine months ended September 30, 2025 and 2024 are as follows (in thousands):</w:t>
      </w:r>
    </w:p>
    <w:tbl>
      <w:tblPr>
        <w:tblW w:w="10205" w:type="dxa"/>
        <w:jc w:val="left"/>
        <w:tblInd w:w="0" w:type="dxa"/>
        <w:tblLayout w:type="fixed"/>
        <w:tblCellMar>
          <w:top w:w="28" w:type="dxa"/>
          <w:left w:w="28" w:type="dxa"/>
          <w:bottom w:w="28" w:type="dxa"/>
          <w:right w:w="28" w:type="dxa"/>
        </w:tblCellMar>
      </w:tblPr>
      <w:tblGrid>
        <w:gridCol w:w="1657"/>
        <w:gridCol w:w="1404"/>
        <w:gridCol w:w="1408"/>
        <w:gridCol w:w="220"/>
        <w:gridCol w:w="847"/>
        <w:gridCol w:w="123"/>
        <w:gridCol w:w="123"/>
        <w:gridCol w:w="123"/>
        <w:gridCol w:w="123"/>
        <w:gridCol w:w="220"/>
        <w:gridCol w:w="792"/>
        <w:gridCol w:w="123"/>
        <w:gridCol w:w="109"/>
        <w:gridCol w:w="109"/>
        <w:gridCol w:w="109"/>
        <w:gridCol w:w="215"/>
        <w:gridCol w:w="825"/>
        <w:gridCol w:w="119"/>
        <w:gridCol w:w="119"/>
        <w:gridCol w:w="119"/>
        <w:gridCol w:w="119"/>
        <w:gridCol w:w="215"/>
        <w:gridCol w:w="808"/>
        <w:gridCol w:w="176"/>
      </w:tblGrid>
      <w:tr>
        <w:trPr/>
        <w:tc>
          <w:tcPr>
            <w:tcW w:w="165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SL Green common stockholders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24,874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(7,293)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63,216</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187,874</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Joint venture depreciation and noncontrolling interest adjustments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124,984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71,539 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246,348</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net gain on sale of interest in unconsolidated joint venture/real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86,872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84,926</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and other fair value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9,652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real estate,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and impairment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Depreciable real estate reserves in unconsolidated joint venture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on non-rental real estate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4,312</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Funds from Operations attributable to SL Green common stockholders and unit holders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120,385</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351,443</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437,939 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business at SUMMIT is subject to tourism trends and weather conditions, resulting in seasonal fluctuation. In 2024, approximately 19.0% of our annual SUMMIT revenue was realized in the first quarter, 26.0% was realized in the second quarter, 28.0% was realized in the third quarter, and 27.0% was realized in the fourth quarter. We do not consider any other components of our business to be subject to material seasonal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Accounting Standards Updates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Accounting Standards Updates are discussed in Note 2, "Significant Accounting Policies Accounting Standards Updates"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effect of general economic, business and financial conditions, and their effect on the New York City real estate market in particular;</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dependence upon the New York City real estate market;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of real estate acquisitions, dispositions, development and redevelopment, including the cost of construction delays and cost overruns;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relating to debt and preferred equity investments;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availability and creditworthiness of prospective tenants and borrowers;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bankruptcy or insolvency of a major tenant or a significant number of smaller tenants or borrowers;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adverse changes in the real estate markets, including reduced demand for office space, increasing vacancy, and increasing availability of sublease space;</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availability of debt and equity capital for our operational needs and investment strategy;</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unanticipated increases in financing and other costs, including a rise in interest rates;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comply with financial covenants in our debt instruments;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maintain our status as a REIT;</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of investing through joint venture structures, including the fulfillment by our partners of their financial obligations;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the threat of terrorist attacks;</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our ability to obtain adequate insurance coverage at a reasonable cost and the potential for losses in excess of our insurance coverage, including as a result of environmental contamination;</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risks related to our asset management business, including our ability to identify suitable investments, manage actual and potential conflicts of interest and comply with regulations on our asset management subsidiary under the Investment Advisers Act of 1940; and</w:t>
      </w:r>
    </w:p>
    <w:p>
      <w:pPr>
        <w:pStyle w:val="TextBody"/>
        <w:bidi w:val="0"/>
        <w:spacing w:lineRule="auto" w:line="288" w:before="0" w:after="120"/>
        <w:ind w:left="0" w:right="0" w:hanging="720"/>
        <w:jc w:val="both"/>
        <w:rPr/>
      </w:pPr>
      <w:r>
        <w:rPr>
          <w:color w:val="000000"/>
        </w:rPr>
        <w:t>•</w:t>
      </w:r>
      <w:r>
        <w:rPr>
          <w:rFonts w:ascii="Times New Roman;serif" w:hAnsi="Times New Roman;serif"/>
          <w:b w:val="false"/>
          <w:color w:val="000000"/>
          <w:sz w:val="20"/>
        </w:rPr>
        <w:t>legislative, regulatory and/or safety requirements adversely affecting REITs and the real estate business including costs of compliance with the Americans with Disabilities Act, the Fair Housing Act and other similar laws and regulations.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quantitative and qualitative disclosures about market risk, see Item 2, "Management's Discussion and Analysis of Financial Condition and Results of Operation - Interest Rate Risk" in this Quarterly Report on Form 10-Q for the three and nine months ended September 30, 2025 for the Company and the Operating Partnership and Item 7, "Management's Discussion and Analysis of Financial Condition and Results of Operations - Interest Rate Risk" in the Annual Report on Form 10-K for the year ended December 31, 2024 for the Company and the Operating Partnership. Our exposures to market risk have not changed materially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SL GREEN REALTY CORP.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September 30, 2025 that has materially affected, or is reasonably likely to materially affect, its internal control over financial reporting.</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SL GREEN OPERATING PARTNERSHIP, L.P.</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Operating Partnership's internal control over financial reporting during the quarter ended September 30, 2025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and the Operating Partnership were not involved in any material litigation nor, to management's knowledge, was any material litigation threatened against us or our portfolio which if adversely determined could have a material adverse impact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have been no material changes to the Risk Factors disclosed in "Part I. Item 1A. Risk Factors" in the Company's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in place a share repurchase program of $3.5 billion under which we can buy shares of our common stock.</w:t>
      </w:r>
    </w:p>
    <w:p>
      <w:pPr>
        <w:pStyle w:val="TextBody"/>
        <w:bidi w:val="0"/>
        <w:spacing w:lineRule="auto" w:line="288" w:before="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repurchases executed under the program, excluding the redemption of OP units,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418"/>
        <w:gridCol w:w="360"/>
        <w:gridCol w:w="318"/>
        <w:gridCol w:w="109"/>
        <w:gridCol w:w="109"/>
        <w:gridCol w:w="109"/>
        <w:gridCol w:w="726"/>
        <w:gridCol w:w="726"/>
        <w:gridCol w:w="728"/>
        <w:gridCol w:w="109"/>
        <w:gridCol w:w="109"/>
        <w:gridCol w:w="109"/>
        <w:gridCol w:w="561"/>
        <w:gridCol w:w="561"/>
        <w:gridCol w:w="564"/>
        <w:gridCol w:w="109"/>
        <w:gridCol w:w="109"/>
        <w:gridCol w:w="109"/>
        <w:gridCol w:w="1245"/>
        <w:gridCol w:w="1245"/>
        <w:gridCol w:w="1772"/>
      </w:tblGrid>
      <w:tr>
        <w:trPr/>
        <w:tc>
          <w:tcPr>
            <w:tcW w:w="41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Total number of shares repurchased as part of the repurchase plan or programs</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July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36,107,719</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36,107,719</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36,107,719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Exhibits required by Item 601 of Regulation S-K are filed herewith or incorporated herein by reference and are listed in the attached Exhibit Index.</w:t>
      </w:r>
    </w:p>
    <w:tbl>
      <w:tblPr>
        <w:tblW w:w="10205" w:type="dxa"/>
        <w:jc w:val="center"/>
        <w:tblInd w:w="0" w:type="dxa"/>
        <w:tblLayout w:type="fixed"/>
        <w:tblCellMar>
          <w:top w:w="28" w:type="dxa"/>
          <w:left w:w="28" w:type="dxa"/>
          <w:bottom w:w="28" w:type="dxa"/>
          <w:right w:w="28" w:type="dxa"/>
        </w:tblCellMar>
      </w:tblPr>
      <w:tblGrid>
        <w:gridCol w:w="269"/>
        <w:gridCol w:w="237"/>
        <w:gridCol w:w="238"/>
        <w:gridCol w:w="109"/>
        <w:gridCol w:w="109"/>
        <w:gridCol w:w="109"/>
        <w:gridCol w:w="2666"/>
        <w:gridCol w:w="2666"/>
        <w:gridCol w:w="3802"/>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a25q310qex311.htm">
              <w:r>
                <w:rPr>
                  <w:rStyle w:val="InternetLink"/>
                  <w:rFonts w:ascii="Times New Roman;serif" w:hAnsi="Times New Roman;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pursuant to Section 302 of the Sarbanes-Oxley Act of 2002, filed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12.htm">
              <w:r>
                <w:rPr>
                  <w:rStyle w:val="InternetLink"/>
                  <w:rFonts w:ascii="Times New Roman;serif" w:hAnsi="Times New Roman;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pursuant to Section 302 of the Sarbanes-Oxley Act of 2002, filed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13.htm">
              <w:r>
                <w:rPr>
                  <w:rStyle w:val="InternetLink"/>
                  <w:rFonts w:ascii="Times New Roman;serif" w:hAnsi="Times New Roman;serif"/>
                  <w:b w:val="false"/>
                  <w:color w:val="0000FF"/>
                  <w:sz w:val="18"/>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the sole general partner of the Operating Partnership pursuant to Section 302 of the Sarbanes-Oxley Act of 2002, filed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14.htm">
              <w:r>
                <w:rPr>
                  <w:rStyle w:val="InternetLink"/>
                  <w:rFonts w:ascii="Times New Roman;serif" w:hAnsi="Times New Roman;serif"/>
                  <w:b w:val="false"/>
                  <w:color w:val="0000FF"/>
                  <w:sz w:val="18"/>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the sole general partner of the Operating Partnership pursuant to Section 302 of the Sarbanes-Oxley Act of 2002, filed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21.htm">
              <w:r>
                <w:rPr>
                  <w:rStyle w:val="InternetLink"/>
                  <w:rFonts w:ascii="Times New Roman;serif" w:hAnsi="Times New Roman;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pursuant to 18 U.S.C. section 1350, as adopted pursuant to Section 906 of the Sarbanes-Oxley Act of 2002, furnished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22.htm">
              <w:r>
                <w:rPr>
                  <w:rStyle w:val="InternetLink"/>
                  <w:rFonts w:ascii="Times New Roman;serif" w:hAnsi="Times New Roman;serif"/>
                  <w:b w:val="false"/>
                  <w:color w:val="0000FF"/>
                  <w:sz w:val="18"/>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pursuant to 18 U.S.C. section 1350, as adopted pursuant to Section 906 of the Sarbanes-Oxley Act of 2002, furnished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23.htm">
              <w:r>
                <w:rPr>
                  <w:rStyle w:val="InternetLink"/>
                  <w:rFonts w:ascii="Times New Roman;serif" w:hAnsi="Times New Roman;serif"/>
                  <w:b w:val="false"/>
                  <w:color w:val="0000FF"/>
                  <w:sz w:val="18"/>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Chairman and Chief Executive Officer of the Company, the sole general partner of the Operating Partnership pursuant to 18 U.S.C. section 1350, as adopted pursuant to Section 906 of the Sarbanes-Oxley Act of 2002, furnished herewith.</w:t>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a25q310qex324.htm">
              <w:r>
                <w:rPr>
                  <w:rStyle w:val="InternetLink"/>
                  <w:rFonts w:ascii="Times New Roman;serif" w:hAnsi="Times New Roman;serif"/>
                  <w:b w:val="false"/>
                  <w:color w:val="0000FF"/>
                  <w:sz w:val="18"/>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by the Chief Financial Officer of the Company, the sole general partner of the Operating Partnership pursuant to 18 U.S.C. section 1350, as adopted pursuant to Section 906 of the Sarbanes-Oxley Act of 2002, furnished herewith.</w:t>
            </w:r>
          </w:p>
        </w:tc>
      </w:tr>
      <w:tr>
        <w:trPr/>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SL Green Realty Corp. and SL Green Operating Partnership L.P.’s Quarterly Report on Form 10-Q for the quarter ended September 30, 2025, formatted in Inline XBRL: (i) Consolidated Balance Sheets (unaudited), (ii) Consolidated Statements of Operations (unaudited), (iii) Consolidated Statements of Comprehensive Income (Loss) (unaudited), (iv) Consolidated Statements of Equity (unaudited), (v) Consolidated Statements of Capital (unaudited) (vi) Consolidated Statements of Cash Flows (unaudited), and (vii) Notes to Consolidated Financial Statements (unaudited), detail tagged and filed herewith.</w:t>
            </w:r>
          </w:p>
        </w:tc>
      </w:tr>
      <w:tr>
        <w:trPr/>
        <w:tc>
          <w:tcPr>
            <w:tcW w:w="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7775101d6dd44ad8139a92facdbe087_10">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868"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277"/>
        <w:gridCol w:w="277"/>
        <w:gridCol w:w="277"/>
        <w:gridCol w:w="277"/>
        <w:gridCol w:w="277"/>
        <w:gridCol w:w="277"/>
        <w:gridCol w:w="1103"/>
        <w:gridCol w:w="1103"/>
        <w:gridCol w:w="1558"/>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SL GREEN REALTY CORP.</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SL Green Realty Corp.</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p>
            <w:pPr>
              <w:pStyle w:val="TableContents"/>
              <w:bidi w:val="0"/>
              <w:spacing w:lineRule="auto" w:line="240" w:before="0" w:after="0"/>
              <w:jc w:val="left"/>
              <w:rPr/>
            </w:pPr>
            <w:r>
              <w:rPr>
                <w:rFonts w:ascii="Times New Roman;serif" w:hAnsi="Times New Roman;serif"/>
                <w:b w:val="false"/>
                <w:color w:val="000000"/>
                <w:sz w:val="20"/>
              </w:rPr>
              <w:t>Chief Financial Officer</w:t>
            </w:r>
            <w:r>
              <w:rPr>
                <w:color w:val="000000"/>
              </w:rPr>
              <w:t xml:space="preserve">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26"/>
        <w:gridCol w:w="462"/>
        <w:gridCol w:w="466"/>
        <w:gridCol w:w="109"/>
        <w:gridCol w:w="109"/>
        <w:gridCol w:w="109"/>
        <w:gridCol w:w="319"/>
        <w:gridCol w:w="319"/>
        <w:gridCol w:w="319"/>
        <w:gridCol w:w="319"/>
        <w:gridCol w:w="319"/>
        <w:gridCol w:w="319"/>
        <w:gridCol w:w="2023"/>
        <w:gridCol w:w="1865"/>
        <w:gridCol w:w="2622"/>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SL GREEN OPERATING PARTNERSHIP, L.P.</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31,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br/>
              <w:t>Chief Financial Officer of SL Green, the sole general partner of the Operating Partnership (Principal Financial and Accounting Officer)</w:t>
            </w:r>
          </w:p>
        </w:tc>
      </w:tr>
    </w:tbl>
    <w:p>
      <w:pPr>
        <w:pStyle w:val="TextBody"/>
        <w:bidi w:val="0"/>
        <w:spacing w:before="0" w:after="180"/>
        <w:ind w:left="0" w:right="0" w:firstLine="495"/>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Marc Holliday, certify that:</w:t>
      </w:r>
    </w:p>
    <w:p>
      <w:pPr>
        <w:pStyle w:val="TextBody"/>
        <w:bidi w:val="0"/>
        <w:spacing w:before="160" w:after="283"/>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Realty Corp.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08" w:type="dxa"/>
        <w:jc w:val="left"/>
        <w:tblInd w:w="0" w:type="dxa"/>
        <w:tblLayout w:type="fixed"/>
        <w:tblCellMar>
          <w:top w:w="28" w:type="dxa"/>
          <w:left w:w="28" w:type="dxa"/>
          <w:bottom w:w="28" w:type="dxa"/>
          <w:right w:w="28" w:type="dxa"/>
        </w:tblCellMar>
      </w:tblPr>
      <w:tblGrid>
        <w:gridCol w:w="372"/>
        <w:gridCol w:w="327"/>
        <w:gridCol w:w="327"/>
        <w:gridCol w:w="1070"/>
        <w:gridCol w:w="1070"/>
        <w:gridCol w:w="1070"/>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Matthew J. DiLiberto,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Realty Corp.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color w:val="000000"/>
        </w:rPr>
      </w:pPr>
      <w:r>
        <w:rPr>
          <w:color w:val="000000"/>
        </w:rPr>
        <w:t> </w:t>
      </w:r>
    </w:p>
    <w:tbl>
      <w:tblPr>
        <w:tblW w:w="3468" w:type="dxa"/>
        <w:jc w:val="left"/>
        <w:tblInd w:w="0" w:type="dxa"/>
        <w:tblLayout w:type="fixed"/>
        <w:tblCellMar>
          <w:top w:w="28" w:type="dxa"/>
          <w:left w:w="28" w:type="dxa"/>
          <w:bottom w:w="28" w:type="dxa"/>
          <w:right w:w="28" w:type="dxa"/>
        </w:tblCellMar>
      </w:tblPr>
      <w:tblGrid>
        <w:gridCol w:w="372"/>
        <w:gridCol w:w="327"/>
        <w:gridCol w:w="327"/>
        <w:gridCol w:w="690"/>
        <w:gridCol w:w="690"/>
        <w:gridCol w:w="690"/>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9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Marc Holliday, certify that:</w:t>
      </w:r>
    </w:p>
    <w:p>
      <w:pPr>
        <w:pStyle w:val="TextBody"/>
        <w:bidi w:val="0"/>
        <w:spacing w:before="160" w:after="283"/>
        <w:ind w:left="0" w:right="0" w:hanging="36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Operating Partnership, L.P.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08" w:type="dxa"/>
        <w:jc w:val="left"/>
        <w:tblInd w:w="0" w:type="dxa"/>
        <w:tblLayout w:type="fixed"/>
        <w:tblCellMar>
          <w:top w:w="28" w:type="dxa"/>
          <w:left w:w="28" w:type="dxa"/>
          <w:bottom w:w="28" w:type="dxa"/>
          <w:right w:w="28" w:type="dxa"/>
        </w:tblCellMar>
      </w:tblPr>
      <w:tblGrid>
        <w:gridCol w:w="372"/>
        <w:gridCol w:w="327"/>
        <w:gridCol w:w="327"/>
        <w:gridCol w:w="1070"/>
        <w:gridCol w:w="1070"/>
        <w:gridCol w:w="1070"/>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3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I, Matthew J. DiLiberto, certify that:</w:t>
      </w:r>
    </w:p>
    <w:p>
      <w:pPr>
        <w:pStyle w:val="TextBody"/>
        <w:bidi w:val="0"/>
        <w:spacing w:before="160" w:after="283"/>
        <w:ind w:left="0" w:right="0" w:hanging="36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SL Green Operating Partnership, L.P. (the “registrant”);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38" w:type="dxa"/>
        <w:jc w:val="left"/>
        <w:tblInd w:w="0" w:type="dxa"/>
        <w:tblLayout w:type="fixed"/>
        <w:tblCellMar>
          <w:top w:w="28" w:type="dxa"/>
          <w:left w:w="28" w:type="dxa"/>
          <w:bottom w:w="28" w:type="dxa"/>
          <w:right w:w="28" w:type="dxa"/>
        </w:tblCellMar>
      </w:tblPr>
      <w:tblGrid>
        <w:gridCol w:w="372"/>
        <w:gridCol w:w="327"/>
        <w:gridCol w:w="327"/>
        <w:gridCol w:w="880"/>
        <w:gridCol w:w="880"/>
        <w:gridCol w:w="880"/>
        <w:gridCol w:w="109"/>
        <w:gridCol w:w="109"/>
        <w:gridCol w:w="154"/>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26" w:type="dxa"/>
        <w:jc w:val="left"/>
        <w:tblInd w:w="0" w:type="dxa"/>
        <w:tblLayout w:type="fixed"/>
        <w:tblCellMar>
          <w:top w:w="28" w:type="dxa"/>
          <w:left w:w="28" w:type="dxa"/>
          <w:bottom w:w="28" w:type="dxa"/>
          <w:right w:w="28" w:type="dxa"/>
        </w:tblCellMar>
      </w:tblPr>
      <w:tblGrid>
        <w:gridCol w:w="233"/>
        <w:gridCol w:w="205"/>
        <w:gridCol w:w="207"/>
        <w:gridCol w:w="1068"/>
        <w:gridCol w:w="1068"/>
        <w:gridCol w:w="107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086" w:type="dxa"/>
        <w:jc w:val="left"/>
        <w:tblInd w:w="0" w:type="dxa"/>
        <w:tblLayout w:type="fixed"/>
        <w:tblCellMar>
          <w:top w:w="28" w:type="dxa"/>
          <w:left w:w="28" w:type="dxa"/>
          <w:bottom w:w="28" w:type="dxa"/>
          <w:right w:w="28" w:type="dxa"/>
        </w:tblCellMar>
      </w:tblPr>
      <w:tblGrid>
        <w:gridCol w:w="233"/>
        <w:gridCol w:w="205"/>
        <w:gridCol w:w="207"/>
        <w:gridCol w:w="689"/>
        <w:gridCol w:w="689"/>
        <w:gridCol w:w="691"/>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Operating Partnership.</w:t>
      </w:r>
    </w:p>
    <w:p>
      <w:pPr>
        <w:pStyle w:val="TextBody"/>
        <w:bidi w:val="0"/>
        <w:spacing w:before="0" w:after="0"/>
        <w:jc w:val="both"/>
        <w:rPr/>
      </w:pPr>
      <w:r>
        <w:rPr/>
      </w:r>
    </w:p>
    <w:tbl>
      <w:tblPr>
        <w:tblW w:w="4662" w:type="dxa"/>
        <w:jc w:val="left"/>
        <w:tblInd w:w="0" w:type="dxa"/>
        <w:tblLayout w:type="fixed"/>
        <w:tblCellMar>
          <w:top w:w="28" w:type="dxa"/>
          <w:left w:w="28" w:type="dxa"/>
          <w:bottom w:w="28" w:type="dxa"/>
          <w:right w:w="28" w:type="dxa"/>
        </w:tblCellMar>
      </w:tblPr>
      <w:tblGrid>
        <w:gridCol w:w="233"/>
        <w:gridCol w:w="205"/>
        <w:gridCol w:w="207"/>
        <w:gridCol w:w="1213"/>
        <w:gridCol w:w="1213"/>
        <w:gridCol w:w="121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Holliday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Operating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Operating Partnership.</w:t>
      </w:r>
    </w:p>
    <w:p>
      <w:pPr>
        <w:pStyle w:val="TextBody"/>
        <w:bidi w:val="0"/>
        <w:spacing w:before="0" w:after="0"/>
        <w:jc w:val="both"/>
        <w:rPr/>
      </w:pPr>
      <w:r>
        <w:rPr/>
      </w:r>
    </w:p>
    <w:tbl>
      <w:tblPr>
        <w:tblW w:w="4662" w:type="dxa"/>
        <w:jc w:val="left"/>
        <w:tblInd w:w="0" w:type="dxa"/>
        <w:tblLayout w:type="fixed"/>
        <w:tblCellMar>
          <w:top w:w="28" w:type="dxa"/>
          <w:left w:w="28" w:type="dxa"/>
          <w:bottom w:w="28" w:type="dxa"/>
          <w:right w:w="28" w:type="dxa"/>
        </w:tblCellMar>
      </w:tblPr>
      <w:tblGrid>
        <w:gridCol w:w="233"/>
        <w:gridCol w:w="205"/>
        <w:gridCol w:w="207"/>
        <w:gridCol w:w="1214"/>
        <w:gridCol w:w="1214"/>
        <w:gridCol w:w="1217"/>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DiLiberto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 SL Green Realty Corp., the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 of the Operating Partnership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44818</Words>
  <Characters>250390</Characters>
  <CharactersWithSpaces>291680</CharactersWithSpaces>
  <Paragraphs>7408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