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281305</wp:posOffset>
            </wp:positionV>
            <wp:extent cx="198945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June 4,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firstLine="345"/>
        <w:spacing w:after="0" w:line="332" w:lineRule="auto"/>
        <w:rPr>
          <w:sz w:val="20"/>
          <w:szCs w:val="20"/>
          <w:color w:val="auto"/>
        </w:rPr>
      </w:pPr>
      <w:r>
        <w:rPr>
          <w:rFonts w:ascii="Arial" w:cs="Arial" w:eastAsia="Arial" w:hAnsi="Arial"/>
          <w:sz w:val="16"/>
          <w:szCs w:val="16"/>
          <w:color w:val="auto"/>
        </w:rPr>
        <w:t>You are invited to attend the 2015 annual meeting of stockholders of SL Green Realty Corp., a Maryland corporation, which will be held on Thursday, June 4, 2015 at 11:00 a.m., local time, at Convene, 730 Third Avenue, New York, New York, 10017. The annual meeting will be held for the following purposes:</w:t>
      </w:r>
    </w:p>
    <w:p>
      <w:pPr>
        <w:spacing w:after="0" w:line="139" w:lineRule="exact"/>
        <w:rPr>
          <w:sz w:val="20"/>
          <w:szCs w:val="20"/>
          <w:color w:val="auto"/>
        </w:rPr>
      </w:pPr>
    </w:p>
    <w:p>
      <w:pPr>
        <w:ind w:right="440" w:firstLine="359"/>
        <w:spacing w:after="0" w:line="268" w:lineRule="auto"/>
        <w:tabs>
          <w:tab w:leader="none" w:pos="699"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the two Class III director nominees named in the proxy statement to serve on our Board of Directors for a three-year term and until their successors are duly elected and qualify;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2015.</w:t>
      </w:r>
    </w:p>
    <w:p>
      <w:pPr>
        <w:spacing w:after="0" w:line="24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Board of Directors has fixed the close of business on March 31, 2015 as the record date for determining the stockholders entitled to notice of, and to vote at, the annual meeting and at any adjournments or postponements thereof.</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We make proxy materials available to our stockholders on the Internet. You can access proxy materials at http://www.proxyvote.com. You also may authorize your proxy via the Internet or by telephone by following the instructions on that website. In order to authorize your proxy via the Internet or by telephone you must have the stockholder identification number that appears on the enclosed Notice of Internet Availability of Proxy Materials. You also may request a paper or an e-mail copy of our proxy materials and a paper proxy card by following the instructions included in the Notice of Internet Availability of Proxy Materials.</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320040</wp:posOffset>
            </wp:positionV>
            <wp:extent cx="182689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Stockholder Meeting to be Held on June 4, 2015.</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statement and our 2014 Annual Report to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are available at http://www.proxyvote.com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in person if you wish, even if you previously have submitted your proxy. However, please note that if your shares are held of record by a bank, broker or other nominee and you wish to vote in person at the annual meeting, you must obtain a proxy issued in your name from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33"/>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ANNUAL MEETING</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33"/>
            <w:vMerge w:val="continue"/>
          </w:tcPr>
          <w:p>
            <w:pPr>
              <w:spacing w:after="0"/>
              <w:rPr>
                <w:sz w:val="14"/>
                <w:szCs w:val="14"/>
                <w:color w:val="auto"/>
              </w:rPr>
            </w:pPr>
          </w:p>
        </w:tc>
        <w:tc>
          <w:tcPr>
            <w:tcW w:w="42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Who is entitled to vote at the annual meeting?</w:t>
              </w:r>
            </w:hyperlink>
          </w:p>
        </w:tc>
        <w:tc>
          <w:tcPr>
            <w:tcW w:w="1520" w:type="dxa"/>
            <w:vAlign w:val="bottom"/>
            <w:tcBorders>
              <w:top w:val="single" w:sz="8" w:color="0000EE"/>
            </w:tcBorders>
            <w:gridSpan w:val="10"/>
          </w:tcPr>
          <w:p>
            <w:pPr>
              <w:spacing w:after="0"/>
              <w:rPr>
                <w:sz w:val="24"/>
                <w:szCs w:val="24"/>
                <w:color w:val="auto"/>
              </w:rPr>
            </w:pPr>
          </w:p>
        </w:tc>
        <w:tc>
          <w:tcPr>
            <w:tcW w:w="3620" w:type="dxa"/>
            <w:vAlign w:val="bottom"/>
            <w:gridSpan w:val="5"/>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What is the purpose of the annual meeting?</w:t>
              </w:r>
            </w:hyperlink>
          </w:p>
        </w:tc>
        <w:tc>
          <w:tcPr>
            <w:tcW w:w="5320" w:type="dxa"/>
            <w:vAlign w:val="bottom"/>
            <w:gridSpan w:val="17"/>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What constitutes a quorum?</w:t>
              </w:r>
            </w:hyperlink>
          </w:p>
        </w:tc>
        <w:tc>
          <w:tcPr>
            <w:tcW w:w="6400" w:type="dxa"/>
            <w:vAlign w:val="bottom"/>
            <w:gridSpan w:val="2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What vote is required to approve each proposal?</w:t>
              </w:r>
            </w:hyperlink>
          </w:p>
        </w:tc>
        <w:tc>
          <w:tcPr>
            <w:tcW w:w="42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Can I change my vote after I submit my proxy card?</w:t>
              </w:r>
            </w:hyperlink>
          </w:p>
        </w:tc>
        <w:tc>
          <w:tcPr>
            <w:tcW w:w="42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How do I vote?</w:t>
              </w:r>
            </w:hyperlink>
          </w:p>
        </w:tc>
        <w:tc>
          <w:tcPr>
            <w:tcW w:w="2580" w:type="dxa"/>
            <w:vAlign w:val="bottom"/>
            <w:tcBorders>
              <w:top w:val="single" w:sz="8" w:color="0000EE"/>
            </w:tcBorders>
            <w:gridSpan w:val="17"/>
          </w:tcPr>
          <w:p>
            <w:pPr>
              <w:spacing w:after="0"/>
              <w:rPr>
                <w:sz w:val="24"/>
                <w:szCs w:val="24"/>
                <w:color w:val="auto"/>
              </w:rPr>
            </w:pPr>
          </w:p>
        </w:tc>
        <w:tc>
          <w:tcPr>
            <w:tcW w:w="4700" w:type="dxa"/>
            <w:vAlign w:val="bottom"/>
            <w:gridSpan w:val="12"/>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How is my vote counted?</w:t>
              </w:r>
            </w:hyperlink>
          </w:p>
        </w:tc>
        <w:tc>
          <w:tcPr>
            <w:tcW w:w="42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How does the Board recommend that I vote on each of the proposals?</w:t>
              </w:r>
            </w:hyperlink>
          </w:p>
        </w:tc>
        <w:tc>
          <w:tcPr>
            <w:tcW w:w="42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Borders>
              <w:top w:val="single" w:sz="8" w:color="0000EE"/>
            </w:tcBorders>
            <w:gridSpan w:val="2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What other information should I review before voting?</w:t>
              </w:r>
            </w:hyperlink>
          </w:p>
        </w:tc>
        <w:tc>
          <w:tcPr>
            <w:tcW w:w="3480" w:type="dxa"/>
            <w:vAlign w:val="bottom"/>
            <w:gridSpan w:val="4"/>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Borders>
              <w:top w:val="single" w:sz="8" w:color="0000EE"/>
            </w:tcBorders>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Who is soliciting my proxy?</w:t>
              </w:r>
            </w:hyperlink>
          </w:p>
        </w:tc>
        <w:tc>
          <w:tcPr>
            <w:tcW w:w="4520" w:type="dxa"/>
            <w:vAlign w:val="bottom"/>
            <w:gridSpan w:val="11"/>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How do I change how I receive proxy materials in the future?</w:t>
              </w:r>
            </w:hyperlink>
          </w:p>
        </w:tc>
        <w:tc>
          <w:tcPr>
            <w:tcW w:w="4040" w:type="dxa"/>
            <w:vAlign w:val="bottom"/>
            <w:gridSpan w:val="8"/>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28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1: ELECTION OF DIRECTORS</w:t>
              </w:r>
            </w:hyperlink>
          </w:p>
        </w:tc>
        <w:tc>
          <w:tcPr>
            <w:tcW w:w="5280" w:type="dxa"/>
            <w:vAlign w:val="bottom"/>
            <w:gridSpan w:val="16"/>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Information Regarding the Nominees and the Continuing Directors</w:t>
              </w:r>
            </w:hyperlink>
          </w:p>
        </w:tc>
        <w:tc>
          <w:tcPr>
            <w:tcW w:w="42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Class III Nominees—Terms Will Expire in 2018</w:t>
              </w:r>
            </w:hyperlink>
          </w:p>
        </w:tc>
        <w:tc>
          <w:tcPr>
            <w:tcW w:w="1300" w:type="dxa"/>
            <w:vAlign w:val="bottom"/>
            <w:tcBorders>
              <w:top w:val="single" w:sz="8" w:color="0000EE"/>
            </w:tcBorders>
            <w:gridSpan w:val="7"/>
          </w:tcPr>
          <w:p>
            <w:pPr>
              <w:spacing w:after="0"/>
              <w:rPr>
                <w:sz w:val="24"/>
                <w:szCs w:val="24"/>
                <w:color w:val="auto"/>
              </w:rPr>
            </w:pPr>
          </w:p>
        </w:tc>
        <w:tc>
          <w:tcPr>
            <w:tcW w:w="3660" w:type="dxa"/>
            <w:vAlign w:val="bottom"/>
            <w:gridSpan w:val="6"/>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Class I Continuing Directors—Terms Will Expire in 2016</w:t>
              </w:r>
            </w:hyperlink>
          </w:p>
        </w:tc>
        <w:tc>
          <w:tcPr>
            <w:tcW w:w="4300" w:type="dxa"/>
            <w:vAlign w:val="bottom"/>
            <w:gridSpan w:val="10"/>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Class II Continuing Directors—Terms Will Expire in 2017</w:t>
              </w:r>
            </w:hyperlink>
          </w:p>
        </w:tc>
        <w:tc>
          <w:tcPr>
            <w:tcW w:w="4240" w:type="dxa"/>
            <w:vAlign w:val="bottom"/>
            <w:gridSpan w:val="9"/>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Biographical Information Regarding Executive Officers Who Are Not Directors</w:t>
              </w:r>
            </w:hyperlink>
          </w:p>
        </w:tc>
        <w:tc>
          <w:tcPr>
            <w:tcW w:w="274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The Board and its Committees</w:t>
              </w:r>
            </w:hyperlink>
          </w:p>
        </w:tc>
        <w:tc>
          <w:tcPr>
            <w:tcW w:w="6220" w:type="dxa"/>
            <w:vAlign w:val="bottom"/>
            <w:gridSpan w:val="21"/>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Director Compensation</w:t>
              </w:r>
            </w:hyperlink>
          </w:p>
        </w:tc>
        <w:tc>
          <w:tcPr>
            <w:tcW w:w="6720" w:type="dxa"/>
            <w:vAlign w:val="bottom"/>
            <w:gridSpan w:val="25"/>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11</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3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PROPOSAL 2: ADVISORY VOTE ON THE COMPENSATION OF OUR NAMED EXECUTIVE OFFICERS</w:t>
              </w:r>
            </w:hyperlink>
          </w:p>
        </w:tc>
        <w:tc>
          <w:tcPr>
            <w:tcW w:w="4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880" w:type="dxa"/>
            <w:vAlign w:val="bottom"/>
            <w:tcBorders>
              <w:top w:val="single" w:sz="8" w:color="0000EE"/>
            </w:tcBorders>
            <w:gridSpan w:val="3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PROPOSAL 3: RATIFICATION OF APPOINTMENT OF INDEPENDENT REGISTERED PUBLIC</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ACCOUNTING FIRM</w:t>
              </w:r>
            </w:hyperlink>
          </w:p>
        </w:tc>
        <w:tc>
          <w:tcPr>
            <w:tcW w:w="138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Fee Disclosure</w:t>
              </w:r>
            </w:hyperlink>
          </w:p>
        </w:tc>
        <w:tc>
          <w:tcPr>
            <w:tcW w:w="560" w:type="dxa"/>
            <w:vAlign w:val="bottom"/>
            <w:tcBorders>
              <w:top w:val="single" w:sz="8" w:color="0000EE"/>
            </w:tcBorders>
            <w:gridSpan w:val="4"/>
          </w:tcPr>
          <w:p>
            <w:pPr>
              <w:spacing w:after="0"/>
              <w:rPr>
                <w:sz w:val="24"/>
                <w:szCs w:val="24"/>
                <w:color w:val="auto"/>
              </w:rPr>
            </w:pPr>
          </w:p>
        </w:tc>
        <w:tc>
          <w:tcPr>
            <w:tcW w:w="6740" w:type="dxa"/>
            <w:vAlign w:val="bottom"/>
            <w:gridSpan w:val="2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Pre-Approval Policies and Procedures of our Audit Committee</w:t>
              </w:r>
            </w:hyperlink>
          </w:p>
        </w:tc>
        <w:tc>
          <w:tcPr>
            <w:tcW w:w="42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3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AUDIT COMMITTEE REPORT</w:t>
              </w:r>
            </w:hyperlink>
          </w:p>
        </w:tc>
        <w:tc>
          <w:tcPr>
            <w:tcW w:w="42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20" w:type="dxa"/>
            <w:vAlign w:val="bottom"/>
            <w:gridSpan w:val="1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4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CORPORATE GOVERNANCE MATTERS</w:t>
              </w:r>
            </w:hyperlink>
          </w:p>
        </w:tc>
        <w:tc>
          <w:tcPr>
            <w:tcW w:w="5420" w:type="dxa"/>
            <w:vAlign w:val="bottom"/>
            <w:gridSpan w:val="18"/>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Governance Principles</w:t>
              </w:r>
            </w:hyperlink>
          </w:p>
        </w:tc>
        <w:tc>
          <w:tcPr>
            <w:tcW w:w="42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gridSpan w:val="1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Director Independence</w:t>
              </w:r>
            </w:hyperlink>
          </w:p>
        </w:tc>
        <w:tc>
          <w:tcPr>
            <w:tcW w:w="6760" w:type="dxa"/>
            <w:vAlign w:val="bottom"/>
            <w:gridSpan w:val="27"/>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0000EE"/>
            </w:tcBorders>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Code of Ethics</w:t>
              </w:r>
            </w:hyperlink>
          </w:p>
        </w:tc>
        <w:tc>
          <w:tcPr>
            <w:tcW w:w="7320" w:type="dxa"/>
            <w:vAlign w:val="bottom"/>
            <w:gridSpan w:val="31"/>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Audit Committee Financial Expert</w:t>
              </w:r>
            </w:hyperlink>
          </w:p>
        </w:tc>
        <w:tc>
          <w:tcPr>
            <w:tcW w:w="42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top w:val="single" w:sz="8" w:color="0000EE"/>
            </w:tcBorders>
            <w:gridSpan w:val="13"/>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Communications with the Board</w:t>
              </w:r>
            </w:hyperlink>
          </w:p>
        </w:tc>
        <w:tc>
          <w:tcPr>
            <w:tcW w:w="5940" w:type="dxa"/>
            <w:vAlign w:val="bottom"/>
            <w:gridSpan w:val="19"/>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Arial" w:cs="Arial" w:eastAsia="Arial" w:hAnsi="Arial"/>
                <w:sz w:val="18"/>
                <w:szCs w:val="18"/>
                <w:color w:val="auto"/>
              </w:rPr>
              <w:t>i</w:t>
            </w: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762"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380" w:type="dxa"/>
            <w:vAlign w:val="bottom"/>
            <w:gridSpan w:val="31"/>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Whistleblowing and Whistleblower Protection Policy</w:t>
              </w:r>
            </w:hyperlink>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380" w:type="dxa"/>
            <w:vAlign w:val="bottom"/>
            <w:gridSpan w:val="31"/>
            <w:vMerge w:val="continue"/>
          </w:tcPr>
          <w:p>
            <w:pPr>
              <w:spacing w:after="0"/>
              <w:rPr>
                <w:sz w:val="14"/>
                <w:szCs w:val="14"/>
                <w:color w:val="auto"/>
              </w:rPr>
            </w:pPr>
          </w:p>
        </w:tc>
        <w:tc>
          <w:tcPr>
            <w:tcW w:w="42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Director Attendance at Annual Meetings</w:t>
              </w:r>
            </w:hyperlink>
          </w:p>
        </w:tc>
        <w:tc>
          <w:tcPr>
            <w:tcW w:w="880" w:type="dxa"/>
            <w:vAlign w:val="bottom"/>
            <w:tcBorders>
              <w:top w:val="single" w:sz="8" w:color="0000EE"/>
            </w:tcBorders>
            <w:gridSpan w:val="3"/>
          </w:tcPr>
          <w:p>
            <w:pPr>
              <w:spacing w:after="0"/>
              <w:rPr>
                <w:sz w:val="24"/>
                <w:szCs w:val="24"/>
                <w:color w:val="auto"/>
              </w:rPr>
            </w:pPr>
          </w:p>
        </w:tc>
        <w:tc>
          <w:tcPr>
            <w:tcW w:w="462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Identification of Director Candidates</w:t>
              </w:r>
            </w:hyperlink>
          </w:p>
        </w:tc>
        <w:tc>
          <w:tcPr>
            <w:tcW w:w="5780" w:type="dxa"/>
            <w:vAlign w:val="bottom"/>
            <w:gridSpan w:val="15"/>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Sessions of Non-Management Directors</w:t>
              </w:r>
            </w:hyperlink>
          </w:p>
        </w:tc>
        <w:tc>
          <w:tcPr>
            <w:tcW w:w="420" w:type="dxa"/>
            <w:vAlign w:val="bottom"/>
            <w:gridSpan w:val="2"/>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19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Borders>
              <w:top w:val="single" w:sz="8" w:color="0000EE"/>
            </w:tcBorders>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Policy on Majority Voting</w:t>
              </w:r>
            </w:hyperlink>
          </w:p>
        </w:tc>
        <w:tc>
          <w:tcPr>
            <w:tcW w:w="482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Board Leadership Structure</w:t>
              </w:r>
            </w:hyperlink>
          </w:p>
        </w:tc>
        <w:tc>
          <w:tcPr>
            <w:tcW w:w="420" w:type="dxa"/>
            <w:vAlign w:val="bottom"/>
            <w:gridSpan w:val="2"/>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Oversight</w:t>
              </w:r>
            </w:hyperlink>
          </w:p>
        </w:tc>
        <w:tc>
          <w:tcPr>
            <w:tcW w:w="6440" w:type="dxa"/>
            <w:vAlign w:val="bottom"/>
            <w:gridSpan w:val="21"/>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4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EXECUTIVE COMPENSATION</w:t>
              </w:r>
            </w:hyperlink>
          </w:p>
        </w:tc>
        <w:tc>
          <w:tcPr>
            <w:tcW w:w="6160" w:type="dxa"/>
            <w:vAlign w:val="bottom"/>
            <w:gridSpan w:val="19"/>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Compensation Discussion and Analysis</w:t>
              </w:r>
            </w:hyperlink>
          </w:p>
        </w:tc>
        <w:tc>
          <w:tcPr>
            <w:tcW w:w="558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Compensation Committee Report</w:t>
              </w:r>
            </w:hyperlink>
          </w:p>
        </w:tc>
        <w:tc>
          <w:tcPr>
            <w:tcW w:w="6000" w:type="dxa"/>
            <w:vAlign w:val="bottom"/>
            <w:gridSpan w:val="17"/>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Summary Compensation Table</w:t>
              </w:r>
            </w:hyperlink>
          </w:p>
        </w:tc>
        <w:tc>
          <w:tcPr>
            <w:tcW w:w="420" w:type="dxa"/>
            <w:vAlign w:val="bottom"/>
            <w:gridSpan w:val="2"/>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2014 Grants of Plan-Based Awards</w:t>
              </w:r>
            </w:hyperlink>
          </w:p>
        </w:tc>
        <w:tc>
          <w:tcPr>
            <w:tcW w:w="5900" w:type="dxa"/>
            <w:vAlign w:val="bottom"/>
            <w:gridSpan w:val="1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Outstanding Equity Awards at Fiscal Year-End 2014</w:t>
              </w:r>
            </w:hyperlink>
          </w:p>
        </w:tc>
        <w:tc>
          <w:tcPr>
            <w:tcW w:w="42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tcBorders>
              <w:top w:val="single" w:sz="8" w:color="0000EE"/>
            </w:tcBorders>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2014 Option Exercises and Stock Vested</w:t>
              </w:r>
            </w:hyperlink>
          </w:p>
        </w:tc>
        <w:tc>
          <w:tcPr>
            <w:tcW w:w="4700" w:type="dxa"/>
            <w:vAlign w:val="bottom"/>
            <w:gridSpan w:val="10"/>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Potential Payments Upon Termination or Change-in-Control</w:t>
              </w:r>
            </w:hyperlink>
          </w:p>
        </w:tc>
        <w:tc>
          <w:tcPr>
            <w:tcW w:w="412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Compensation Committee Interlocks and Insider Participation</w:t>
              </w:r>
            </w:hyperlink>
          </w:p>
        </w:tc>
        <w:tc>
          <w:tcPr>
            <w:tcW w:w="42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61</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SECURITY OWNERSHIP OF CERTAIN BENEFICIAL OWNERS AND MANAGEMENT</w:t>
              </w:r>
            </w:hyperlink>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Section 16(a) Beneficial Ownership Reporting Compliance</w:t>
              </w:r>
            </w:hyperlink>
          </w:p>
        </w:tc>
        <w:tc>
          <w:tcPr>
            <w:tcW w:w="42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LEGAL PROCEEDINGS</w:t>
              </w:r>
            </w:hyperlink>
          </w:p>
        </w:tc>
        <w:tc>
          <w:tcPr>
            <w:tcW w:w="6720" w:type="dxa"/>
            <w:vAlign w:val="bottom"/>
            <w:gridSpan w:val="23"/>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34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CERTAIN RELATIONSHIPS AND RELATED PARTY TRANSACTIONS</w:t>
              </w:r>
            </w:hyperlink>
          </w:p>
        </w:tc>
        <w:tc>
          <w:tcPr>
            <w:tcW w:w="32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Policies and Procedures With Respect to Related Party Transactions</w:t>
              </w:r>
            </w:hyperlink>
          </w:p>
        </w:tc>
        <w:tc>
          <w:tcPr>
            <w:tcW w:w="42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Cleaning/Security/Messenger and Restoration Services</w:t>
              </w:r>
            </w:hyperlink>
          </w:p>
        </w:tc>
        <w:tc>
          <w:tcPr>
            <w:tcW w:w="900" w:type="dxa"/>
            <w:vAlign w:val="bottom"/>
            <w:tcBorders>
              <w:top w:val="single" w:sz="8" w:color="0000EE"/>
            </w:tcBorders>
            <w:gridSpan w:val="4"/>
          </w:tcPr>
          <w:p>
            <w:pPr>
              <w:spacing w:after="0"/>
              <w:rPr>
                <w:sz w:val="24"/>
                <w:szCs w:val="24"/>
                <w:color w:val="auto"/>
              </w:rPr>
            </w:pPr>
          </w:p>
        </w:tc>
        <w:tc>
          <w:tcPr>
            <w:tcW w:w="36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70">
              <w:r>
                <w:rPr>
                  <w:rFonts w:ascii="Arial" w:cs="Arial" w:eastAsia="Arial" w:hAnsi="Arial"/>
                  <w:sz w:val="18"/>
                  <w:szCs w:val="18"/>
                  <w:color w:val="0000EE"/>
                  <w:w w:val="85"/>
                </w:rPr>
                <w:t>Management Fees</w:t>
              </w:r>
            </w:hyperlink>
          </w:p>
        </w:tc>
        <w:tc>
          <w:tcPr>
            <w:tcW w:w="7080" w:type="dxa"/>
            <w:vAlign w:val="bottom"/>
            <w:gridSpan w:val="2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Marketing Services</w:t>
              </w:r>
            </w:hyperlink>
          </w:p>
        </w:tc>
        <w:tc>
          <w:tcPr>
            <w:tcW w:w="7000" w:type="dxa"/>
            <w:vAlign w:val="bottom"/>
            <w:gridSpan w:val="25"/>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w:t>
              </w:r>
            </w:hyperlink>
          </w:p>
        </w:tc>
        <w:tc>
          <w:tcPr>
            <w:tcW w:w="42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OTHER MATTERS</w:t>
              </w:r>
            </w:hyperlink>
          </w:p>
        </w:tc>
        <w:tc>
          <w:tcPr>
            <w:tcW w:w="7120" w:type="dxa"/>
            <w:vAlign w:val="bottom"/>
            <w:gridSpan w:val="27"/>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Solicitation of Proxies</w:t>
              </w:r>
            </w:hyperlink>
          </w:p>
        </w:tc>
        <w:tc>
          <w:tcPr>
            <w:tcW w:w="6800" w:type="dxa"/>
            <w:vAlign w:val="bottom"/>
            <w:gridSpan w:val="24"/>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Stockholder Proposals</w:t>
              </w:r>
            </w:hyperlink>
          </w:p>
        </w:tc>
        <w:tc>
          <w:tcPr>
            <w:tcW w:w="42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Householding of Proxy Materials</w:t>
              </w:r>
            </w:hyperlink>
          </w:p>
        </w:tc>
        <w:tc>
          <w:tcPr>
            <w:tcW w:w="6020" w:type="dxa"/>
            <w:vAlign w:val="bottom"/>
            <w:gridSpan w:val="18"/>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gridSpan w:val="3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Matters</w:t>
              </w:r>
            </w:hyperlink>
          </w:p>
        </w:tc>
        <w:tc>
          <w:tcPr>
            <w:tcW w:w="42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68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20" w:type="dxa"/>
            <w:vAlign w:val="bottom"/>
            <w:gridSpan w:val="27"/>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18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APPENDIX A: INFORMATION REGARDING CERTAIN FINANCIAL MEASURES</w:t>
              </w:r>
            </w:hyperlink>
          </w:p>
        </w:tc>
        <w:tc>
          <w:tcPr>
            <w:tcW w:w="23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6"/>
          </w:tcPr>
          <w:p>
            <w:pPr>
              <w:ind w:left="80"/>
              <w:spacing w:after="0"/>
              <w:rPr>
                <w:sz w:val="20"/>
                <w:szCs w:val="20"/>
                <w:color w:val="auto"/>
              </w:rPr>
            </w:pPr>
            <w:r>
              <w:rPr>
                <w:rFonts w:ascii="Arial" w:cs="Arial" w:eastAsia="Arial" w:hAnsi="Arial"/>
                <w:sz w:val="18"/>
                <w:szCs w:val="18"/>
                <w:color w:val="auto"/>
              </w:rPr>
              <w:t>ii</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10170-1881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OUR 2015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4, 2015</w:t>
      </w:r>
    </w:p>
    <w:p>
      <w:pPr>
        <w:spacing w:after="0" w:line="21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2015 annual meeting of stockholders to be held on Thursday, June 4, 2015, at 11:00 a.m., local time, at Convene, 730 Third Avenue, New York, New York, 10017, or at any postponement or adjournment of the annual meeting. 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to stockholders on or about April 24, 2015.</w:t>
      </w:r>
    </w:p>
    <w:p>
      <w:pPr>
        <w:spacing w:after="0" w:line="200" w:lineRule="exact"/>
        <w:rPr>
          <w:sz w:val="20"/>
          <w:szCs w:val="20"/>
          <w:color w:val="auto"/>
        </w:rPr>
      </w:pPr>
    </w:p>
    <w:p>
      <w:pPr>
        <w:spacing w:after="0" w:line="20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Holders of record of our common stock, $0.01 par value per share, at the close of business on March 31, 2015,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39" w:lineRule="exact"/>
        <w:rPr>
          <w:sz w:val="20"/>
          <w:szCs w:val="20"/>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the two Class III director nominees named in this proxy statement to serve on our Board of Directors for a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 and until their successors are duly elected and qualify;</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approval of an advisory resolution approving the compensation of our named executives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Item 402 of Regulation S-K; and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2015.</w:t>
      </w:r>
    </w:p>
    <w:p>
      <w:pPr>
        <w:spacing w:after="0" w:line="186" w:lineRule="exact"/>
        <w:rPr>
          <w:sz w:val="20"/>
          <w:szCs w:val="20"/>
          <w:color w:val="auto"/>
        </w:rPr>
      </w:pPr>
    </w:p>
    <w:p>
      <w:pPr>
        <w:ind w:right="500" w:firstLine="345"/>
        <w:spacing w:after="0" w:line="268"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99,532,817 shares outstanding and entitled to vote at the annual meeting.</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share of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In respect of Proposal 1, a plurality of all of the votes cast with respect to the election of directors is required for the election of directors. In addition, our Policy on Majority Voting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 Broker non-votes with respect to Proposal 1 are not counted as votes cast, and therefore, will have no effect on the election of directors.</w:t>
      </w:r>
    </w:p>
    <w:p>
      <w:pPr>
        <w:spacing w:after="0" w:line="172"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majority of all of the votes cast with respect to the proposal is required for approval of each of Proposals 2 and 3. In respect of these proposals, abstentions and broker non-votes are not counted as votes cast, and therefore will have no effect on the votes for these proposals.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appearing in person and voting by ballot at the annual meeting.</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Voting in Person at the Annual Meeting. </w:t>
      </w:r>
      <w:r>
        <w:rPr>
          <w:rFonts w:ascii="Arial" w:cs="Arial" w:eastAsia="Arial" w:hAnsi="Arial"/>
          <w:sz w:val="16"/>
          <w:szCs w:val="16"/>
          <w:color w:val="auto"/>
        </w:rPr>
        <w:t>If you hold your shares in your own name as a holder of record with our transfer agent, Computershare, and attend</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61"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i w:val="1"/>
          <w:iCs w:val="1"/>
          <w:color w:val="auto"/>
        </w:rPr>
        <w:t xml:space="preserve">Voting by Proxy. </w:t>
      </w:r>
      <w:r>
        <w:rPr>
          <w:rFonts w:ascii="Arial" w:cs="Arial" w:eastAsia="Arial" w:hAnsi="Arial"/>
          <w:sz w:val="18"/>
          <w:szCs w:val="18"/>
          <w:color w:val="auto"/>
        </w:rPr>
        <w:t>You should submit your proxy or voting instructions as soon as possible. You can vote by valid proxy received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via the Internet or by mail. The deadline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voting by telephone or electronically via the Internet is 11:59 p.m., Eastern Daylight Time, on June 3, 2015. If voting by mail, you must:</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promptly mail the proxy in the enclosed envelope;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annual meeting.</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86"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Even if you plan to attend the annual meeting, we recommend that you submit a proxy to vote your shares in advance so that your vote will be counted if you later are unable to attend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III directors named in this proxy statement, "for" advisory approval of the compensation of our named executive officers and "for" ratification of the appointment of Ernst &amp; Young LLP as our independent registered public accounting firm for the fiscal year ending December 31, 2015. It is not anticipated that any matters other than those set forth in this proxy statement will be presented at the annual meeting. If other matters are presented, proxies will be voted in accordance with the discretion of the proxy 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recommends that you vote:</w:t>
      </w:r>
    </w:p>
    <w:p>
      <w:pPr>
        <w:spacing w:after="0" w:line="246" w:lineRule="exact"/>
        <w:rPr>
          <w:sz w:val="20"/>
          <w:szCs w:val="20"/>
          <w:color w:val="auto"/>
        </w:rPr>
      </w:pPr>
    </w:p>
    <w:p>
      <w:pPr>
        <w:ind w:left="1080" w:right="40" w:hanging="532"/>
        <w:spacing w:after="0" w:line="27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John H. Alschuler and Stephen L. Green as Class III directors to serve on our Board of Directors for a three-year</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until their successors are duly elected and qualify;</w:t>
      </w:r>
    </w:p>
    <w:p>
      <w:pPr>
        <w:spacing w:after="0" w:line="187" w:lineRule="exact"/>
        <w:rPr>
          <w:rFonts w:ascii="Arial" w:cs="Arial" w:eastAsia="Arial" w:hAnsi="Arial"/>
          <w:sz w:val="18"/>
          <w:szCs w:val="18"/>
          <w:color w:val="auto"/>
        </w:rPr>
      </w:pPr>
    </w:p>
    <w:p>
      <w:pPr>
        <w:ind w:left="1080" w:right="160" w:hanging="532"/>
        <w:spacing w:after="0" w:line="27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executives officers as disclosed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pursuant to Item 402 of Regulation S-K; and</w:t>
      </w:r>
    </w:p>
    <w:p>
      <w:pPr>
        <w:spacing w:after="0" w:line="187" w:lineRule="exact"/>
        <w:rPr>
          <w:rFonts w:ascii="Arial" w:cs="Arial" w:eastAsia="Arial" w:hAnsi="Arial"/>
          <w:sz w:val="18"/>
          <w:szCs w:val="18"/>
          <w:color w:val="auto"/>
        </w:rPr>
      </w:pPr>
    </w:p>
    <w:p>
      <w:pPr>
        <w:ind w:left="1080" w:right="280" w:hanging="532"/>
        <w:spacing w:after="0" w:line="27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Our 2014 annual report, including financial statements for the fiscal year ended December 31, 2014, is being made available to you along with this proxy statement. You may obtain, free of charge, copies of our 2014 annual report and our Annual Report on Form 10-K for the fiscal year ended December 31, 2014, which contains additional information about the Company,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or by directing your request in writing to SL Green Realty Corp., 420 Lexington Avenue, New York, New York 10170-1881, Attention: Investor Relations. The 2014 annual report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25" w:lineRule="exact"/>
        <w:rPr>
          <w:sz w:val="20"/>
          <w:szCs w:val="20"/>
          <w:color w:val="auto"/>
        </w:rPr>
      </w:pPr>
    </w:p>
    <w:p>
      <w:pPr>
        <w:ind w:right="380" w:firstLine="348"/>
        <w:spacing w:after="0" w:line="310" w:lineRule="auto"/>
        <w:rPr>
          <w:sz w:val="20"/>
          <w:szCs w:val="20"/>
          <w:color w:val="auto"/>
        </w:rPr>
      </w:pPr>
      <w:r>
        <w:rPr>
          <w:rFonts w:ascii="Arial" w:cs="Arial" w:eastAsia="Arial" w:hAnsi="Arial"/>
          <w:sz w:val="16"/>
          <w:szCs w:val="16"/>
          <w:b w:val="1"/>
          <w:bCs w:val="1"/>
          <w:color w:val="auto"/>
        </w:rPr>
        <w:t xml:space="preserve">This solicitation of proxies is made by and on behalf of the Board. </w:t>
      </w:r>
      <w:r>
        <w:rPr>
          <w:rFonts w:ascii="Arial" w:cs="Arial" w:eastAsia="Arial" w:hAnsi="Arial"/>
          <w:sz w:val="16"/>
          <w:szCs w:val="16"/>
          <w:color w:val="auto"/>
        </w:rPr>
        <w:t>We will pay the cost of the solicitation of proxies. We have retained MacKenzie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Inc. at an aggregate estimated cost of $10,000, plus out-of-pocket expenses, to assist in the solicitation of proxies. In addition to the solicitation of proxies by mail, our directors, officers and employees may solicit proxies personally or by telephone.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how I receive proxy materials in the future?</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proxy card to sendmaterial@proxyvote.com, via the internet at </w:t>
      </w:r>
      <w:r>
        <w:rPr>
          <w:rFonts w:ascii="Arial" w:cs="Arial" w:eastAsia="Arial" w:hAnsi="Arial"/>
          <w:sz w:val="16"/>
          <w:szCs w:val="16"/>
          <w:i w:val="1"/>
          <w:iCs w:val="1"/>
          <w:color w:val="auto"/>
        </w:rPr>
        <w:t xml:space="preserve">http://www.proxyvote.com </w:t>
      </w:r>
      <w:r>
        <w:rPr>
          <w:rFonts w:ascii="Arial" w:cs="Arial" w:eastAsia="Arial" w:hAnsi="Arial"/>
          <w:sz w:val="16"/>
          <w:szCs w:val="16"/>
          <w:color w:val="auto"/>
        </w:rPr>
        <w:t>or by telephone at (800) 579-7639. Your election will remain in effect until you change it.</w:t>
      </w:r>
    </w:p>
    <w:p>
      <w:pPr>
        <w:spacing w:after="0" w:line="16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Board currently consists of eight members and is divided into three classes. Directors in each class serve for a term of three years and until their successors are duly elected and qualify. The term of directors of one class expires at each annual meeting of stockholders.</w:t>
      </w:r>
    </w:p>
    <w:p>
      <w:pPr>
        <w:spacing w:after="0" w:line="139"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the annual meeting, two directors will be elected to serve until the 2018 annual meeting and until their successors are duly elected and qualify. The Board, upon the recommendation of the Nominating and Corporate Governance Committee, has nominated John H. Alschuler and Stephen L. Green for election to serve as its Class III directors. Messrs. Alschuler and Green currently are serving as Class III directors. Each of Messrs. Alschuler and Green has consented to being named in this proxy statement and to serve as a director if elected. However, if either of Messrs. Alschuler or Green is unable to accept election, proxies voted in favor of such nominee will be voted for the election of such other person as the Board nominates.</w:t>
      </w:r>
    </w:p>
    <w:p>
      <w:pPr>
        <w:spacing w:after="0" w:line="170"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plurality of all of the votes cast with respect to the election of directors, in person or by proxy, is required for the election of directors. Pursuant to our Policy on Majority Voting,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will treat broker non-votes as shares that are present and entitled to vote for purposes of determining the presence or absence of a quorum. Broker non-votes do not constitute a vote "for" or "withheld" and will not be counted as votes cast. Therefore, broker non-votes will have no effect on this proposal, assuming a quorum is present.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unanimously recommends a vote "FOR" the election of Messrs. Alschuler and Green.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Continuing Directors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nominees for election as Class III directors at the 2015 annual meeting and the continuing Class I and Class II directors whose terms expire at the annual meetings of stockholders in 2016 and 2017, respectively, based upon information furnished by each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3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2300" w:type="dxa"/>
            <w:vAlign w:val="bottom"/>
            <w:gridSpan w:val="3"/>
          </w:tcPr>
          <w:p>
            <w:pPr>
              <w:ind w:left="8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III Nominees (terms will expire in 2018)</w:t>
            </w:r>
          </w:p>
        </w:tc>
        <w:tc>
          <w:tcPr>
            <w:tcW w:w="3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John H. Alschuler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Green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20" w:type="dxa"/>
            <w:vAlign w:val="bottom"/>
            <w:gridSpan w:val="3"/>
          </w:tcPr>
          <w:p>
            <w:pPr>
              <w:ind w:left="1140"/>
              <w:spacing w:after="0"/>
              <w:rPr>
                <w:sz w:val="20"/>
                <w:szCs w:val="20"/>
                <w:color w:val="auto"/>
              </w:rPr>
            </w:pPr>
            <w:r>
              <w:rPr>
                <w:rFonts w:ascii="Arial" w:cs="Arial" w:eastAsia="Arial" w:hAnsi="Arial"/>
                <w:sz w:val="18"/>
                <w:szCs w:val="18"/>
                <w:b w:val="1"/>
                <w:bCs w:val="1"/>
                <w:color w:val="auto"/>
                <w:w w:val="93"/>
              </w:rPr>
              <w:t>Class I Continuing Directors (terms will expire in 2016)</w:t>
            </w: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Thomas Burton, III.</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W. Mathias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20" w:type="dxa"/>
            <w:vAlign w:val="bottom"/>
            <w:gridSpan w:val="3"/>
          </w:tcPr>
          <w:p>
            <w:pPr>
              <w:ind w:left="1140"/>
              <w:spacing w:after="0"/>
              <w:rPr>
                <w:sz w:val="20"/>
                <w:szCs w:val="20"/>
                <w:color w:val="auto"/>
              </w:rPr>
            </w:pPr>
            <w:r>
              <w:rPr>
                <w:rFonts w:ascii="Arial" w:cs="Arial" w:eastAsia="Arial" w:hAnsi="Arial"/>
                <w:sz w:val="18"/>
                <w:szCs w:val="18"/>
                <w:b w:val="1"/>
                <w:bCs w:val="1"/>
                <w:color w:val="auto"/>
                <w:w w:val="92"/>
              </w:rPr>
              <w:t>Class II Continuing Directors (terms will expire in 2017)</w:t>
            </w: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John S. Levy</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Betsy Atkins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60" w:type="dxa"/>
            <w:vAlign w:val="bottom"/>
          </w:tcPr>
          <w:p>
            <w:pPr>
              <w:jc w:val="right"/>
              <w:ind w:right="273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Nominees—Terms Will Expire in 2018</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color w:val="auto"/>
        </w:rPr>
        <w:t xml:space="preserve">John H. Alschuler </w:t>
      </w:r>
      <w:r>
        <w:rPr>
          <w:rFonts w:ascii="Arial" w:cs="Arial" w:eastAsia="Arial" w:hAnsi="Arial"/>
          <w:sz w:val="16"/>
          <w:szCs w:val="16"/>
          <w:color w:val="auto"/>
        </w:rPr>
        <w:t>has served as one of our directors since 1997 and serves as our Lead Independent Director. Since 2008, Mr. Alschuler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on the Board of Directors of Xenia Hotels and Resorts, the Center for an Urban Future, a Section 501(c)(3) tax-exempt organization, and Friends of the High Line Inc., a Section 501(c)(3) tax-exempt organization. Mr. Alschuler received a B.A. degree from Wesleyan University and an Ed.D. degree from the University of Massachusetts at Amherst. 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 Mr. Alschuler is 67 years old.</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has served as our Chairman and a member of the Board since 1997 and serves as the Chairman of our Executive Committee. Mr. Green</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an executive officer, working in conjunction with our Chief Executive Officer, overseeing our long-term strategic direction. Mr. Green formerly served as our Chief Executive Officer. Mr. Green founded our predecessor, S.L. Green Properties, Inc., in 1980. Prior to our initial public offering in 1997, Mr. Green had been involved in the acquisition of over 50 Manhattan office buildings containing in excess of 10.0 million square feet. Mr. Green also served as Chairman of the Board of Gramercy Property Trust, Inc. f/k/a Gramercy Capital Corp., or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 Mr. Green is 77 years 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Continuing Directors—Terms Will Expire in 2016</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Edwin Thomas Burton, III </w:t>
      </w:r>
      <w:r>
        <w:rPr>
          <w:rFonts w:ascii="Arial" w:cs="Arial" w:eastAsia="Arial" w:hAnsi="Arial"/>
          <w:sz w:val="16"/>
          <w:szCs w:val="16"/>
          <w:color w:val="auto"/>
        </w:rPr>
        <w:t>has served as one of our directors since 1997. Mr. Burton is a Professor of Economics at the University of Virginia, and has held</w:t>
      </w:r>
      <w:r>
        <w:rPr>
          <w:rFonts w:ascii="Arial" w:cs="Arial" w:eastAsia="Arial" w:hAnsi="Arial"/>
          <w:sz w:val="16"/>
          <w:szCs w:val="16"/>
          <w:b w:val="1"/>
          <w:bCs w:val="1"/>
          <w:color w:val="auto"/>
        </w:rPr>
        <w:t xml:space="preserve"> </w:t>
      </w:r>
      <w:r>
        <w:rPr>
          <w:rFonts w:ascii="Arial" w:cs="Arial" w:eastAsia="Arial" w:hAnsi="Arial"/>
          <w:sz w:val="16"/>
          <w:szCs w:val="16"/>
          <w:color w:val="auto"/>
        </w:rPr>
        <w:t>teaching positions at York College, Rice University and Cornell University, and has written and lectured extensively in the field of Economics. Mr. Burton has also served as a member of the Board of Trustees of the Virginia Retirement System for state and local employees of the Commonwealth of Virginia from 1994 to 2001 and then again from 2004 to 2014,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also served as a consultant to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American Stock Exchange from 1985 until 1986 and a senior vice president with Smith Barney (or its corporate predecessor) from 1976 until 1984.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 Mr. Burton is 72 years old.</w:t>
      </w:r>
    </w:p>
    <w:p>
      <w:pPr>
        <w:spacing w:after="0" w:line="16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b w:val="1"/>
          <w:bCs w:val="1"/>
          <w:color w:val="auto"/>
        </w:rPr>
        <w:t xml:space="preserve">Craig M. Hatkoff </w:t>
      </w:r>
      <w:r>
        <w:rPr>
          <w:rFonts w:ascii="Arial" w:cs="Arial" w:eastAsia="Arial" w:hAnsi="Arial"/>
          <w:sz w:val="16"/>
          <w:szCs w:val="16"/>
          <w:color w:val="auto"/>
        </w:rPr>
        <w:t>has served as a member of our Board of Directors since January 2011. Mr. Hatkoff has been active in commercial real estate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 development for more than two decades. He spent 11 years at Chemical Bank, as Co-Head of the real estate investment banking unit, and was a pioneer in commercial mortgage securitization. Mr. Hatkoff was a Co-Founder and Managing Partner of Victor Capital Group, L.P. until it was later acquired by Capital Trust, Inc., where he served as Vice-Chairman and Chairman of the Executive Committee. He left in 2000 to pursue other entrepreneurial and civic endeavors but served as a Director of Capital Trust, Inc., a private real estate investment bank specializing in advisory services, investment management and debt and equity placements, from 1996 until early 2010. Mr. Hatkoff is a co-founder of Tribeca Enterprises, a diversified company best known for New York City's annual Tribeca Film Festival. Mr. Hatkoff is also presently Chairman of Turtle Pond Publications, LLC, and serves on the boards of a number of non-profit organizations including the Tribeca Film Institute which he co-founded, the Desmond Tutu Peace Foundation, Richard Leakey's Wildlife Direct, the Child Mind Institute, The Rock and Roll Hall of Fame, Sesame Workshop, Scholastic's Alliance for Young Artists and Writers and the Borough of Manhattan Community College Foundation. Mr. Hatkoff is the founder of both the Disruptor Foundation and the Owen and Mzee Foundation. Mr. Hatkoff is also on the Board of Directors of Taubman Centers, Inc., where he has served since 2004. From 2002 to 2005, Mr. Hatkoff served as a trustee of the New York City School Construction Authority, the agency responsible for the construction of all public schools in New York City. Mr. Hatkoff's strong background in commercial real estate and real estate finance is well known and respected throughout the New York real estate industry. Mr. Hatkoff's deep understanding of the New York City real estate market matches well with SL Green's core investment and operational focus. Mr. Hatkoff is 61 years old.</w:t>
      </w:r>
    </w:p>
    <w:p>
      <w:pPr>
        <w:spacing w:after="0" w:line="172"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color w:val="auto"/>
        </w:rPr>
        <w:t xml:space="preserve">Andrew W. Mathias </w:t>
      </w:r>
      <w:r>
        <w:rPr>
          <w:rFonts w:ascii="Arial" w:cs="Arial" w:eastAsia="Arial" w:hAnsi="Arial"/>
          <w:sz w:val="16"/>
          <w:szCs w:val="16"/>
          <w:color w:val="auto"/>
        </w:rPr>
        <w:t>has served as our President since April 2007 and as one of our directors since June 2014. Mr. Mathias joined the Company in March</w:t>
      </w:r>
      <w:r>
        <w:rPr>
          <w:rFonts w:ascii="Arial" w:cs="Arial" w:eastAsia="Arial" w:hAnsi="Arial"/>
          <w:sz w:val="16"/>
          <w:szCs w:val="16"/>
          <w:b w:val="1"/>
          <w:bCs w:val="1"/>
          <w:color w:val="auto"/>
        </w:rPr>
        <w:t xml:space="preserve"> </w:t>
      </w:r>
      <w:r>
        <w:rPr>
          <w:rFonts w:ascii="Arial" w:cs="Arial" w:eastAsia="Arial" w:hAnsi="Arial"/>
          <w:sz w:val="16"/>
          <w:szCs w:val="16"/>
          <w:color w:val="auto"/>
        </w:rPr>
        <w:t>1999 as Vice President and was promoted to Director of Investments in 2002, a position he held until his promotion to Chief Investment Officer in January 2004, a position that he held until January 2011. In October 2008, Mr. Mathias stepped down from his position as Chief Investment Officer of Gramercy, a position he had held since August 2004. Prior to joining the Company, Mr. Mathias worked at Capital Trust, Inc. and its predecessor, Victor Capital Group, L.P. Mr. Mathias also worked on the high yield and restructuring desk at Bear Stearns and Co. Mr. Mathias received a B.S. degree in Economics from the Wharton School at the University of Pennsylvania. Mr. Mathias is 41 years 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Continuing Directors—Terms Will Expire in 2017</w:t>
      </w:r>
    </w:p>
    <w:p>
      <w:pPr>
        <w:spacing w:after="0" w:line="225"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6"/>
          <w:szCs w:val="16"/>
          <w:b w:val="1"/>
          <w:bCs w:val="1"/>
          <w:color w:val="auto"/>
        </w:rPr>
        <w:t xml:space="preserve">Betsy Atkins </w:t>
      </w:r>
      <w:r>
        <w:rPr>
          <w:rFonts w:ascii="Arial" w:cs="Arial" w:eastAsia="Arial" w:hAnsi="Arial"/>
          <w:sz w:val="16"/>
          <w:szCs w:val="16"/>
          <w:color w:val="auto"/>
        </w:rPr>
        <w:t>has served as one of our directors since April 2015. Ms. Atkins has served as the Chief Executive Officer of Baja LLC, an independent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firm focused on technology, renewable energy and life sciences industries, since 1994. Ms. Atkins served as Chief Executive Officer and Chairman of the board of directors of Clear Standards, Inc., a provider of enterprise carbon management and sustainability solutions, from February 2009 until August 2009 when Clear Standards was acquired by SAP AG, a business software company. Previously, Ms. Atkins served as Chairman and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Chief Executive Officer of NCI, Inc., a functional food/nutraceutical company, from 1991 through 1993. Ms. Atkins was a co-founder of Ascend Communications, Inc. in 1989 and a member of its board of directors, and served as its Executive Vice President of sales, marketing, professional services and international operations prior to its acquisition by Lucent Technologies. Ms. Atkins served on the boards of directors of Towers Watson &amp; Co. from January 2010 to November 2010, Reynolds American Inc. from July 2004 to June 2010, SunPower Corporation from October 2005 to August 2012 and Chico's FAS, Inc. from January 2004 to July 2013, Ciber, Inc. from July 2014 to October 2014 and has served on the boards of directors of Polycom, Inc. since April 1999, Schneider Electric, SA since April 2011, HD Supply, Inc. since September 2013, Darden Restaurants, Inc. since 2014, as well as the boards of a number of private companies. Ms. Atkins is also an advisor to SAP, was formerly an advisor to British Telecom and was a presidential-appointee to the Pension Benefit Guaranty Corporation advisory committee. Ms. Atkins holds a B.A. from the University of Massachusetts. 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 Ms. Atkins is 61 years old.</w:t>
      </w:r>
    </w:p>
    <w:p>
      <w:pPr>
        <w:spacing w:after="0" w:line="17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and as one of our directors since December 2001. He also serves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Executive Committee. Mr. Holliday stepped down as our President in April 2007, when Andrew Mathias, our current President, was promoted to that position. Mr. Holliday joined the Company as Chief Investment Officer in July 1998. In October 2008, Mr. Holliday stepped down from his positions of President and Chief Executive Officer of Gramercy, positions he had held since August 2004. Mr. Holliday also served as a director of Gramercy from 2004 until September 2014. Prior to joining the Company, Mr. Holliday was Managing Director and Head of Direct Originations for New York-based 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Mr. Holliday serves as a member of the Board of Directors of NYRA and Columbia University and is also an executive officer and sits on the Board of the Real Estate Board of New York. Mr. Holliday received a B.S. degree in Business and Finance from Lehigh University in 1988 and an M.S.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 Mr. Holliday is 48 years old.</w:t>
      </w:r>
    </w:p>
    <w:p>
      <w:pPr>
        <w:spacing w:after="0" w:line="16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John S. Levy </w:t>
      </w:r>
      <w:r>
        <w:rPr>
          <w:rFonts w:ascii="Arial" w:cs="Arial" w:eastAsia="Arial" w:hAnsi="Arial"/>
          <w:sz w:val="16"/>
          <w:szCs w:val="16"/>
          <w:color w:val="auto"/>
        </w:rPr>
        <w:t>has served as one of our directors since 1997. Mr. Levy retired from Lehman Brothers Inc. in 1995. From 1983 until 1995, at Lehman Brothers</w:t>
      </w:r>
      <w:r>
        <w:rPr>
          <w:rFonts w:ascii="Arial" w:cs="Arial" w:eastAsia="Arial" w:hAnsi="Arial"/>
          <w:sz w:val="16"/>
          <w:szCs w:val="16"/>
          <w:b w:val="1"/>
          <w:bCs w:val="1"/>
          <w:color w:val="auto"/>
        </w:rPr>
        <w:t xml:space="preserve"> </w:t>
      </w:r>
      <w:r>
        <w:rPr>
          <w:rFonts w:ascii="Arial" w:cs="Arial" w:eastAsia="Arial" w:hAnsi="Arial"/>
          <w:sz w:val="16"/>
          <w:szCs w:val="16"/>
          <w:color w:val="auto"/>
        </w:rPr>
        <w:t>(or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 Mr. Levy is 79 years old.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Matthew J. DiLiberto </w:t>
      </w:r>
      <w:r>
        <w:rPr>
          <w:rFonts w:ascii="Arial" w:cs="Arial" w:eastAsia="Arial" w:hAnsi="Arial"/>
          <w:sz w:val="16"/>
          <w:szCs w:val="16"/>
          <w:color w:val="auto"/>
        </w:rPr>
        <w:t>joined the Company in September 2004 and currently serves as the Company's Chief Financial Officer overseeing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tax, investor relations and corporate capital markets functions of the organization. Mr. DiLiberto previously served as the Company's Chief Accounting Officer &amp; Treasurer.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received a B.S. degree in Accounting from The University of Scranton. Mr. DiLiberto is 40 years old.</w:t>
      </w:r>
    </w:p>
    <w:p>
      <w:pPr>
        <w:spacing w:after="0" w:line="167"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has served as our Chief Legal Officer since April 2007 and as our General Counsel, Executive Vice President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Levine received a B.A. degree from the University of Vermont and a J.D. degree from Rutgers School of Law, where Mr. Levine was an Editor of the Law Review. Mr. Levine is 56 years 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Board held five meetings during fiscal year 2014 and all directors attended 75% or more of the board of directors meetings and meetings of the committees on which they served during the periods they served.</w:t>
      </w:r>
    </w:p>
    <w:p>
      <w:pPr>
        <w:spacing w:after="0" w:line="186"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t>
      </w:r>
      <w:r>
        <w:rPr>
          <w:rFonts w:ascii="Arial" w:cs="Arial" w:eastAsia="Arial" w:hAnsi="Arial"/>
          <w:sz w:val="18"/>
          <w:szCs w:val="18"/>
          <w:i w:val="1"/>
          <w:iCs w:val="1"/>
          <w:color w:val="auto"/>
        </w:rPr>
        <w:t>www.slgreen.com</w:t>
      </w:r>
      <w:r>
        <w:rPr>
          <w:rFonts w:ascii="Arial" w:cs="Arial" w:eastAsia="Arial" w:hAnsi="Arial"/>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92"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John H. Alschuler, Edwin Thomas Burton, III (Chairman) and John S. Levy, each of whom is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10 meetings during fiscal year 2014. Additional information regarding the functions performed by our Audit Committee is set forth in the "Audit Committee Report" included in this annual proxy statement.</w:t>
      </w:r>
    </w:p>
    <w:p>
      <w:pPr>
        <w:spacing w:after="0" w:line="16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Our Compensation Committee consists of John H. Alschuler (Chairman), Edwin Thomas Burton, III and John S. Levy,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has retained Gressle &amp; McGinley LLC as its independent outside compensation consulting firm and has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five meetings during fiscal year 2014.</w:t>
      </w:r>
    </w:p>
    <w:p>
      <w:pPr>
        <w:spacing w:after="0" w:line="16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Our Nominating and Corporate Governance Committee consists of John H. Alschuler,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one meeting during fiscal year 2014.</w:t>
      </w:r>
    </w:p>
    <w:p>
      <w:pPr>
        <w:spacing w:after="0" w:line="16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Subject to the supervision and oversight of the Board, our Executive Committee, which consists of Stephen L. Green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Marc Holliday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2014, as all matters within its authority were approved by the Board.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2014.</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Paid in Cash(1)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Awards(2)</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300,000</w:t>
            </w:r>
          </w:p>
        </w:tc>
        <w:tc>
          <w:tcPr>
            <w:tcW w:w="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John H. Alschuler</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300,000</w:t>
            </w: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300,000</w:t>
            </w:r>
          </w:p>
        </w:tc>
        <w:tc>
          <w:tcPr>
            <w:tcW w:w="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389,500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300,000</w:t>
            </w: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360,500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78" w:lineRule="auto"/>
        <w:tabs>
          <w:tab w:leader="none" w:pos="1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Levy deferred all of his 2014 cash compensation and Mr. Alschuler and Mr. Hatkoff deferred $67,500 and $25,000, respectively, of their 2014 cash compensation pursuant to our Non-Employee Directors' Deferral Program. Mr. Burton elected to receive all of his 2014 cash compensation in the form of shares of our common stock. Accordingly, our non-employee directors received the following shares of our common stock or phantom stock units with respect to the portion of their 2014 cash compensation that they elected to defer or receive in stock, as applicable: Mr. Burton received 813 shares, Mr. Alschuler received 670 units, Mr. Levy received 764 units and Mr. Hatkoff received 249 units.</w:t>
      </w:r>
    </w:p>
    <w:p>
      <w:pPr>
        <w:spacing w:after="0" w:line="89" w:lineRule="exact"/>
        <w:rPr>
          <w:rFonts w:ascii="Arial" w:cs="Arial" w:eastAsia="Arial" w:hAnsi="Arial"/>
          <w:sz w:val="12"/>
          <w:szCs w:val="12"/>
          <w:color w:val="auto"/>
        </w:rPr>
      </w:pPr>
    </w:p>
    <w:p>
      <w:pPr>
        <w:ind w:left="1680" w:right="100" w:hanging="531"/>
        <w:spacing w:after="0" w:line="230" w:lineRule="auto"/>
        <w:tabs>
          <w:tab w:leader="none" w:pos="1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on the date of grant of shares of common stock or phantom stock units granted to the directors in 2014, excluding shares of common stock and phantom stock units credited in lieu of annual fees and meeting fees. At December 31, 2014, the aggregate number of unvested stock awards, consisting of unvested phantom stock units or shares of restricted stock, held by our non-employee directors was as follows: Mr. Burton—425 units; Mr. Alschuler—425 units; Mr. Levy—425 units; and Mr. Hatkoff—425 shares.</w:t>
      </w:r>
    </w:p>
    <w:p>
      <w:pPr>
        <w:spacing w:after="0" w:line="112" w:lineRule="exact"/>
        <w:rPr>
          <w:rFonts w:ascii="Arial" w:cs="Arial" w:eastAsia="Arial" w:hAnsi="Arial"/>
          <w:sz w:val="14"/>
          <w:szCs w:val="14"/>
          <w:color w:val="auto"/>
        </w:rPr>
      </w:pPr>
    </w:p>
    <w:p>
      <w:pPr>
        <w:ind w:left="1680" w:right="140" w:hanging="531"/>
        <w:spacing w:after="0" w:line="239" w:lineRule="auto"/>
        <w:tabs>
          <w:tab w:leader="none" w:pos="1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There were no stock options granted to the board of directors in 2014. At December 31, 2014, the aggregate number of option awards held by our non-employee directors was as follows: Mr. Burton—6,000; Mr. Alschuler—26,500; Mr. Levy—56,500; and Mr. Hatkoff—20,500.</w:t>
      </w:r>
    </w:p>
    <w:p>
      <w:pPr>
        <w:spacing w:after="0" w:line="19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During the fiscal year ended December 31, 2014, each non-employee director was entitled to receive an annual fee of $50,000 and our Lead Independent Director was entitled to receive an additional annual fee of $85,000. The Chairman of our Audit Committee, the Chairman of our Compensation Committee, and the Chairman of our Nominating and Corporate Governance Committee were also entitled to receive additional annual fees of $10,000, $7,500 and $5,000, respectively. Each non-employee director was also entitled to receive $1,500 for each meeting of the Board or a committee of the Board that he attended, except that each member of our Audit Committee was entitled to receive a fee of $4,000 per meeting for any special meetings of the Audit Committee held independently of Board meetings. The annual fees and meeting fees generally are payable quarterly in cash; provided that each director may elect to receive some or all of these fees in stock and, as noted below, may elect to defer some or all of these fees. Each non-employee director was also entitled to receive a stock grant valued at $300,000 on the grant date, which shares were fully vested on such grant date.</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72"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stock and option grants made to our non-employee directors and settlements under our Non-Employee Directors' Deferral Program that are paid in shares of our common stock are made under the Third Amended and Restated 2005 Stock Option and Incentive Plan, or the 2005 Plan. Our non-employee directors are also reimbursed for expenses of attending Board and committee meetings.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fiscal year ending 2015, we have retained the same director compensation arrangements that were in place for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ADVISORY VOTE ON THE COMPENSATION OF OUR NAMED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OFFICERS</w:t>
      </w:r>
    </w:p>
    <w:p>
      <w:pPr>
        <w:spacing w:after="0" w:line="21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accordance with the Dodd-Frank Wall Street Reform and Consumer Protection Act of 2010, our stockholders have the opportunity to vote to approve, on an advisory and non-binding basis, the compensation of our named executive officers. At our 2011 annual stockholder meeting, our stockholders advised on a non-binding basis, by an affirmative vote of a majority of all votes cast, that the Company should hold non-binding advisory votes on executive compensation on an annual basis. On July 14, 2011,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2017. Our executive compensation programs are described in detail in this proxy statement in the section titled "Compensation Discussion and Analysis" and the accompanying tables beginning on page 22. These programs are designed to attract and retain talented individuals who possess the skills and expertise necessary to lead, manage and grow the Company.</w:t>
      </w:r>
    </w:p>
    <w:p>
      <w:pPr>
        <w:spacing w:after="0" w:line="172"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14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Accordingly, pursuant to Section 14A(a)(1) of the Exchange Act, the Company is providing stockholders with the opportunity to approve the following non-binding, advisory resolution:</w:t>
      </w:r>
    </w:p>
    <w:p>
      <w:pPr>
        <w:spacing w:after="0" w:line="186"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Compensation Committee regularly reviews all elements of the compensation paid to our named executive officers. Our Compensation Committee believes that the Company's present compensation programs, as presented in the Compensation Discussion and Analysis section and the accompanying tables and related narrative disclosure in this proxy statement, promote in the best manner possible our business objectives while aligning the interests of the named executive officers with our stockholders to ensure continued positive financial results, and that our industry-leading results support this conclusion. The Company has continued to deliver positive long-term results to our stockholders and remains among the leaders in the REIT industry as well as the broader public stock market for total return to stockholders, or TRS, over the last decade, with the Company's TRS of approximately 147% for the ten-year period through December 31, 2014 significantly outperforming the MSCI REIT Index and S&amp;P 500 Index return of approximately 122% and 110%, respectively, over the same time period. The compensation programs for our named executives are a key ingredient in motivating our executives to continue to deliver such results.</w:t>
      </w:r>
    </w:p>
    <w:p>
      <w:pPr>
        <w:spacing w:after="0" w:line="17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affirmative vote of a majority of all the votes cast with respect to this proposal will be required to approve this proposal. The results of this advisory vote are not binding on the Compensation Committee, the Company or our Board of Directors. Nevertheless, the Board of Directors values input from our stockholders and will consider carefully the results of this vote when making future decisions concerning executive compensation.</w:t>
      </w:r>
    </w:p>
    <w:p>
      <w:pPr>
        <w:spacing w:after="0" w:line="16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Board unanimously recommends a vote "FOR" the above resolution regarding the compensation of our named executive officers, as disclosed in the Compensation Discussion and Analysis section and the accompanying compensation tables in this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RATIFICATION OF APPOINTMENT OF INDEPENDENT REGISTERED PUBLIC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ACCOUNTING FIRM</w:t>
      </w:r>
    </w:p>
    <w:p>
      <w:pPr>
        <w:spacing w:after="0" w:line="219"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2015.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2015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77"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86"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 majority of all of the votes cast with respect to this proposal is required for the ratification of the appointment of Ernst &amp; Young LLP as our independent registered public accounting firm for the fiscal year ending December 31, 2015. Abstentions do not constitute a vote "for" or "against" and will not be counted as "votes cast". Therefore, abstentions will have no effect on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$3,438,253 in fiscal year 2014 and $3,359,018 in fiscal year 2013.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Fees for audit-related services totaled approximately $78,500 in 2014 and $59,225 in 2013. The audit-related services principally include fees for operating expense audits and agreed-upon procedures projects.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2014 or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for other services not included above totaled $0 in 2014 and approximately $15,150 in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2014 were pre-approved by our Audit Committee. Our Audit Committee may delegate to one or more of its members who is an independent director the authority to grant pre-approvals.</w:t>
      </w:r>
    </w:p>
    <w:p>
      <w:pPr>
        <w:spacing w:after="0" w:line="172"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Board unanimously recommends a vote "FOR" the ratification of the appointment of Ernst &amp; Young LLP as our independent registered public accounting firm.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2014 filed by the Company with management.</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Audit Committee reviewed and discussed with Ernst &amp; Young LLP, our independent registered public accounting firm, the matters required to be discussed with the Audit Committee under Auditing Standard No. 16, "Communications with Audit Committees," as adopted by the Public Company Accounting Oversight Board.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Based on the review and discussions referred to above, our Audit Committee recommended to the Board that the audited financial statements be included in the Annual Report on Form 10-K for the year ended December 31, 2014 filed by the Company.</w:t>
      </w:r>
    </w:p>
    <w:p>
      <w:pPr>
        <w:spacing w:after="0" w:line="186"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15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 xml:space="preserve">We are committed to operating our business under strong and accountable corporate governance practices. You are encouraged to visit the "Investors— Corporate Governance" section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Principles</w:t>
      </w:r>
    </w:p>
    <w:p>
      <w:pPr>
        <w:spacing w:after="0" w:line="231"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 Board has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and the applicable rules promulgated by the SEC. In addition, the Board has adopted director independence standards that assist the Board in making its determinations with respect to the independence of directors.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and director nominees has no direct or indirect material relationship with us and is independent under the listing standards of the NYSE, the applicable rules promulgated by the SEC and our director independence standards: Ms. Atkins and Messrs. Edwin T. Burton, III, John H. Alschuler, John S. Levy and Craig M. Hatkoff. The Board has determined that Messrs. Green, Holliday and Mathias, our three other directors and, in the case of Mr. Green, a director nominee, are not independent because they are also executive officers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Board has adopted a Code of Ethics that applies to our directors, executive officers and employees. The Code of Ethics is designed to assist our directors, executive officers and employees in complying with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New York Stock Exchange.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has determined that Edwin T. Burton, III qualifies as an "audit committee financial expert," as defined in Item 401(h) of SEC Regulation S-K.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Three of our directors attended the annual meeting of stockholders held on May 29,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has adopted a written policy on the criteria and process of identifying and reviewing director candidates.</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 with the experience of other Board members, the candidate's industry knowledge and experience, the ability of a nominee to devote sufficient time to the affairs of the Company, any actual or potential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170"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Prior to a vote as to whether a potential nominee is recommended to the Board of Directors, each member of the Nominating and Corporate Governance Committee is provided reasonable access to such potential nominee. Such access includes a reasonable opportunity to interview such potential nominee in person or by telephone and to submit questions to such potential candidate. In addition, each potential nominee provides the Nominating and Corporate Governance Committee with a written detailed biography and identify on which committees of the Board, if any, the potential nominee would be willing to serve.</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are to follow the procedures outlined under "Stockholder Proposals" in this proxy statement should provide the reasons supporting a candidate's recommendation, the candidate's qualifications and the candidate's written consent to being considered as a director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our Lead Independent Director.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Majority Voting</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Board has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policy, the Board will take formal action on the recommendation no later than 90 days following the date of the stockholders' meeting.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noted above, our Board currently is comprised of five independent and three employee directors. Mr. Green has served as Chairman of the Board since 1997 and serves as an executive officer. The Board has appointed Mr. Alschuler, one of the independent directors, as Lead Independent Director. We believe that the number of independent, experienced directors that make up our Board, along with the independent oversight of our Lead Independent Director, benefits the Company and its stockholders.</w:t>
      </w:r>
    </w:p>
    <w:p>
      <w:pPr>
        <w:spacing w:after="0" w:line="19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and other stakeholders that the Company is under strong leadership, coordinated closely between a separate Chief Executive Officer and Chairman of the Board. In our judgment, the Company, like many companies, has been well-served by this leadership structure.</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To facilitate the role of the independent directors, the Board has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 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currently is serving as the Lead Independent Director.</w:t>
      </w:r>
    </w:p>
    <w:p>
      <w:pPr>
        <w:spacing w:after="0" w:line="38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Throughout the year, our Board discusses corporate governance practices with stockholders and third party advisers to ensure that the Board and its committees follow practices that are optimal for the Company and its stockholders while also delivering superior total return. As part of this process, the Board conducts an annual evaluation in order to determine whether it and its committees are functioning effectively, with independent directors meeting separately with outside counsel. The discussion with stockholders, as well as the evaluations, are the basis for the Board's annual review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possible changes to the Company's corporate governance practices. Our Governance Principles provide the flexibility for our Board to modify our leadership structure as the Board focuses on current trends in the corporate governance arena and Company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has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addition, our Compensation Committee considers the risks to the Company's stockholders and to achievement of our goals that may be inherent in the Company's compensation program.</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our Board leadership structure supports this approach.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280" w:firstLine="348"/>
        <w:spacing w:after="0" w:line="335" w:lineRule="auto"/>
        <w:rPr>
          <w:sz w:val="20"/>
          <w:szCs w:val="20"/>
          <w:color w:val="auto"/>
        </w:rPr>
      </w:pPr>
      <w:r>
        <w:rPr>
          <w:rFonts w:ascii="Arial" w:cs="Arial" w:eastAsia="Arial" w:hAnsi="Arial"/>
          <w:sz w:val="15"/>
          <w:szCs w:val="15"/>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142"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Throughout this proxy statement, the individuals who served as our Chief Executive Officer and Chief Financial Officer during our 2014 fiscal year, as well as the other individuals included in the "Summary Compensation Table" beginning on page 44, are referred to as the "named executive officers," or our "executives." During our 2014 fiscal year, our Chief Financial Officer was James Mead, who was succeeded by Matthew DiLiberto effective January 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are a top performing company that has generated superior long-term total return to stockholders, experienced significant operational and financial achievements in 2014 and consistently maintained low overall general and administrative expenses compared to its total assets and revenues. We have structured our executive compensation programs to attract, retain and appropriately incentivize our executive officers and align their interests with those of our stockholders.</w:t>
      </w:r>
    </w:p>
    <w:p>
      <w:pPr>
        <w:spacing w:after="0" w:line="14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executive compensation for 2014 is reflective of our superior short-term and long-term performance, while at the same time taking into account feedback we have received from our stockholders through our stockholder outreach programs. We believe that our executive compensation for 2014 is appropriate in light of our low overall general and administrative expenses and in comparison to compensation received by other top executives at peer companies or firms operating in the New York City real estate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SL Green Realty Corp., an S&amp;P 500 company and New York City's largest commercial landlord, is a fully integrated REIT that is focused primarily on acquiring, managing and maximizing the value of Manhattan commercial properties. Our core business is the ownership of high quality commercial properties and our primary business objective is to maximize the total return to stockholders, or TRS, through growth in funds from operations and through asset value appreciation. The commercial real estate expertise resulting from owning, operating, investing and lending in Manhattan for over 34 years has enabled us to invest in a collection of premier office and retail properties, selected multifamily residential assets, and high quality debt and preferred equity investments.</w:t>
      </w:r>
    </w:p>
    <w:p>
      <w:pPr>
        <w:spacing w:after="0" w:line="170"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are led by a strong, experienced management team that provides a foundation of skills in all aspects of property ownership and management including investment, leasing, operations, capital improvements, financing, repositioning and maintenance. Marc Holliday has served as our Chief Executive Officer since January 2004, a period over which our enterprise value has grown by 574% to $22.4 billion through December 31, 2014. Mr. Holliday brings extensive experience and expertise in real estate and finance to our Company, which is critical to the successful operation of our business. Under Mr. Holliday's leadership, we have achieved a market leading position in New York City, building upon our growth prior to 2004 under the leadership of our founder and current chairman, Stephen L. Green.</w:t>
      </w:r>
    </w:p>
    <w:p>
      <w:pPr>
        <w:spacing w:after="0" w:line="198"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Critical to our success is the high level, highly skilled and expert management team developed during Mr. Holliday's tenure. We believe that having the best people is the foundation of a successful business. The results achieved by our management team are proof of this and our team is recognized as one of the top real estate management teams in New York City.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Superior Long-Term TRS Performance</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effectiveness of our pay for performance compensation program is evidenced by a high degree of alignment of management and stockholder interests that has been fostered over many years and which has contributed to our superior long-term TRS performance. The following graph shows our long-term TRS performance compared to industry indices over a period of fifteen years ended December 31, 2014 (based on publicly available data and assuming an initial $100 investment in each):</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Fifteen-Year TRS Performance Through 12/31/14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152400</wp:posOffset>
            </wp:positionV>
            <wp:extent cx="5711190" cy="2933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119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6"/>
              </w:rPr>
              <w:t>TRS as of December 31, 2014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One-year</w:t>
            </w:r>
          </w:p>
        </w:tc>
        <w:tc>
          <w:tcPr>
            <w:tcW w:w="340" w:type="dxa"/>
            <w:vAlign w:val="bottom"/>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Three-year</w:t>
            </w:r>
          </w:p>
        </w:tc>
        <w:tc>
          <w:tcPr>
            <w:tcW w:w="3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Five-year</w:t>
            </w:r>
          </w:p>
        </w:tc>
        <w:tc>
          <w:tcPr>
            <w:tcW w:w="340" w:type="dxa"/>
            <w:vAlign w:val="bottom"/>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Ten-year</w:t>
            </w:r>
          </w:p>
        </w:tc>
        <w:tc>
          <w:tcPr>
            <w:tcW w:w="340" w:type="dxa"/>
            <w:vAlign w:val="bottom"/>
          </w:tcPr>
          <w:p>
            <w:pPr>
              <w:spacing w:after="0"/>
              <w:rPr>
                <w:sz w:val="12"/>
                <w:szCs w:val="12"/>
                <w:color w:val="auto"/>
              </w:rPr>
            </w:pPr>
          </w:p>
        </w:tc>
        <w:tc>
          <w:tcPr>
            <w:tcW w:w="8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Fifteen-year</w:t>
            </w:r>
          </w:p>
        </w:tc>
        <w:tc>
          <w:tcPr>
            <w:tcW w:w="3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SL Green Realty Corp</w:t>
            </w: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31.4%</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87.8%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152.7%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147.4%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789.4%</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MSCI US REIT Index</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30.4%</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57.3%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119.7%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122.2%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492.5%</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SNL US REIT Office Index</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26.1%</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53.9%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313.7%</w:t>
            </w: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S&amp;P 500 Index</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13.7%</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74.6%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109.5%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Operating and Financial Performance</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2014, we continued to successfully execute our strategy of generating strong returns through operating and leasing activity, real estate investment activity, debt and preferred equity investment activity and financing and capital activity, and continuing to grow our business. The following are notable operational and financial achievements during 2014:</w:t>
      </w:r>
    </w:p>
    <w:p>
      <w:pPr>
        <w:spacing w:after="0" w:line="20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funds from operations, or FFO, of $5.85 per diluted share, which exceeded our initial guidance for 2014 of $5.62 to $5.72 per diluted share;</w:t>
      </w:r>
    </w:p>
    <w:p>
      <w:pPr>
        <w:spacing w:after="0" w:line="275"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execution of approximately 2.1 million square feet of office leases in Manhattan, with starting rents for the 1.3 million square feet of space that had been occupied within the prior 12 months approximately 14.9% higher on average than the fully escalated ending rents for the same office spaces;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same store occupancy, including leases signed but not commenced, for our same store Manhattan office portfolio of 95.7% as of December 31, 2014 as compared to 95.3% as of December 31, 2013;</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combined same-store cash net operating income growth of approximately $22.2 million, or 3.5%, as compared to the prior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quarterly dividend paid on our common stock by 20%, from $0.50 per share to $0.60 per share; and</w:t>
      </w:r>
    </w:p>
    <w:p>
      <w:pPr>
        <w:spacing w:after="0" w:line="238"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strong investment performance, with approximately $2.6 billion of investments in office properties and approximately $980 million of dispositions.</w:t>
      </w:r>
    </w:p>
    <w:p>
      <w:pPr>
        <w:spacing w:after="0" w:line="18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Refer to pages 63-64 of our Annual Report on Form 10-K for the year ended December 31, 2014 for a reconciliation of FFO to net income attributable to our common stockholders and information regarding our use of FFO. Refer to Appendix A to this proxy statement for a reconciliation of combined same-store cash net operating income for the years ended December 31, 2014 and 2013 and information regarding our use of these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 Overall G&amp;A Expense</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are dedicated to running an efficient organization, as illustrated by our general and administrative expense, which is well below the average and median of comparable peers within our New York City peer group both as a percentage of total assets and as a percentage of total revenues: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12"/>
          </w:tcPr>
          <w:p>
            <w:pPr>
              <w:jc w:val="center"/>
              <w:ind w:right="460"/>
              <w:spacing w:after="0"/>
              <w:rPr>
                <w:sz w:val="20"/>
                <w:szCs w:val="20"/>
                <w:color w:val="auto"/>
              </w:rPr>
            </w:pPr>
            <w:r>
              <w:rPr>
                <w:rFonts w:ascii="Arial" w:cs="Arial" w:eastAsia="Arial" w:hAnsi="Arial"/>
                <w:sz w:val="14"/>
                <w:szCs w:val="14"/>
                <w:b w:val="1"/>
                <w:bCs w:val="1"/>
                <w:color w:val="auto"/>
                <w:w w:val="86"/>
              </w:rPr>
              <w:t>G&amp;A Expense as a Percentage of</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5"/>
              </w:rPr>
              <w:t>Total Assets(1)</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w:t>
            </w:r>
          </w:p>
        </w:tc>
        <w:tc>
          <w:tcPr>
            <w:tcW w:w="8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1.24%</w:t>
            </w:r>
          </w:p>
        </w:tc>
        <w:tc>
          <w:tcPr>
            <w:tcW w:w="8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7"/>
              </w:rPr>
              <w:t>1.31%</w:t>
            </w:r>
          </w:p>
        </w:tc>
        <w:tc>
          <w:tcPr>
            <w:tcW w:w="11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9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Median</w:t>
            </w:r>
          </w:p>
        </w:tc>
        <w:tc>
          <w:tcPr>
            <w:tcW w:w="880" w:type="dxa"/>
            <w:vAlign w:val="bottom"/>
            <w:gridSpan w:val="4"/>
          </w:tcPr>
          <w:p>
            <w:pPr>
              <w:ind w:left="300"/>
              <w:spacing w:after="0"/>
              <w:rPr>
                <w:sz w:val="20"/>
                <w:szCs w:val="20"/>
                <w:color w:val="auto"/>
              </w:rPr>
            </w:pPr>
            <w:r>
              <w:rPr>
                <w:rFonts w:ascii="Arial" w:cs="Arial" w:eastAsia="Arial" w:hAnsi="Arial"/>
                <w:sz w:val="18"/>
                <w:szCs w:val="18"/>
                <w:color w:val="auto"/>
              </w:rPr>
              <w:t>1.01%</w:t>
            </w:r>
          </w:p>
        </w:tc>
        <w:tc>
          <w:tcPr>
            <w:tcW w:w="840" w:type="dxa"/>
            <w:vAlign w:val="bottom"/>
            <w:gridSpan w:val="4"/>
          </w:tcPr>
          <w:p>
            <w:pPr>
              <w:ind w:left="320"/>
              <w:spacing w:after="0"/>
              <w:rPr>
                <w:sz w:val="20"/>
                <w:szCs w:val="20"/>
                <w:color w:val="auto"/>
              </w:rPr>
            </w:pPr>
            <w:r>
              <w:rPr>
                <w:rFonts w:ascii="Arial" w:cs="Arial" w:eastAsia="Arial" w:hAnsi="Arial"/>
                <w:sz w:val="18"/>
                <w:szCs w:val="18"/>
                <w:color w:val="auto"/>
                <w:w w:val="97"/>
              </w:rPr>
              <w:t>0.99%</w:t>
            </w:r>
          </w:p>
        </w:tc>
        <w:tc>
          <w:tcPr>
            <w:tcW w:w="1100" w:type="dxa"/>
            <w:vAlign w:val="bottom"/>
            <w:gridSpan w:val="5"/>
          </w:tcPr>
          <w:p>
            <w:pPr>
              <w:ind w:left="380"/>
              <w:spacing w:after="0"/>
              <w:rPr>
                <w:sz w:val="20"/>
                <w:szCs w:val="20"/>
                <w:color w:val="auto"/>
              </w:rPr>
            </w:pPr>
            <w:r>
              <w:rPr>
                <w:rFonts w:ascii="Arial" w:cs="Arial" w:eastAsia="Arial" w:hAnsi="Arial"/>
                <w:sz w:val="18"/>
                <w:szCs w:val="18"/>
                <w:color w:val="auto"/>
              </w:rPr>
              <w:t>0.92%</w:t>
            </w:r>
          </w:p>
        </w:tc>
        <w:tc>
          <w:tcPr>
            <w:tcW w:w="6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1.05%</w:t>
            </w:r>
          </w:p>
        </w:tc>
        <w:tc>
          <w:tcPr>
            <w:tcW w:w="900" w:type="dxa"/>
            <w:vAlign w:val="bottom"/>
            <w:gridSpan w:val="4"/>
          </w:tcPr>
          <w:p>
            <w:pPr>
              <w:ind w:left="140"/>
              <w:spacing w:after="0"/>
              <w:rPr>
                <w:sz w:val="20"/>
                <w:szCs w:val="20"/>
                <w:color w:val="auto"/>
              </w:rPr>
            </w:pPr>
            <w:r>
              <w:rPr>
                <w:rFonts w:ascii="Arial" w:cs="Arial" w:eastAsia="Arial" w:hAnsi="Arial"/>
                <w:sz w:val="18"/>
                <w:szCs w:val="18"/>
                <w:color w:val="auto"/>
              </w:rPr>
              <w:t>0.66%</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SL Green Realty Corp</w:t>
            </w:r>
          </w:p>
        </w:tc>
        <w:tc>
          <w:tcPr>
            <w:tcW w:w="880" w:type="dxa"/>
            <w:vAlign w:val="bottom"/>
            <w:gridSpan w:val="4"/>
            <w:shd w:val="clear" w:color="auto" w:fill="CCEEFF"/>
          </w:tcPr>
          <w:p>
            <w:pPr>
              <w:ind w:left="300"/>
              <w:spacing w:after="0"/>
              <w:rPr>
                <w:sz w:val="20"/>
                <w:szCs w:val="20"/>
                <w:color w:val="auto"/>
              </w:rPr>
            </w:pPr>
            <w:r>
              <w:rPr>
                <w:rFonts w:ascii="Arial" w:cs="Arial" w:eastAsia="Arial" w:hAnsi="Arial"/>
                <w:sz w:val="18"/>
                <w:szCs w:val="18"/>
                <w:b w:val="1"/>
                <w:bCs w:val="1"/>
                <w:color w:val="auto"/>
              </w:rPr>
              <w:t>0.59%</w:t>
            </w:r>
          </w:p>
        </w:tc>
        <w:tc>
          <w:tcPr>
            <w:tcW w:w="840" w:type="dxa"/>
            <w:vAlign w:val="bottom"/>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w w:val="97"/>
              </w:rPr>
              <w:t>0.52%</w:t>
            </w:r>
          </w:p>
        </w:tc>
        <w:tc>
          <w:tcPr>
            <w:tcW w:w="1100" w:type="dxa"/>
            <w:vAlign w:val="bottom"/>
            <w:gridSpan w:val="5"/>
            <w:shd w:val="clear" w:color="auto" w:fill="CCEEFF"/>
          </w:tcPr>
          <w:p>
            <w:pPr>
              <w:ind w:left="380"/>
              <w:spacing w:after="0"/>
              <w:rPr>
                <w:sz w:val="20"/>
                <w:szCs w:val="20"/>
                <w:color w:val="auto"/>
              </w:rPr>
            </w:pPr>
            <w:r>
              <w:rPr>
                <w:rFonts w:ascii="Arial" w:cs="Arial" w:eastAsia="Arial" w:hAnsi="Arial"/>
                <w:sz w:val="18"/>
                <w:szCs w:val="18"/>
                <w:b w:val="1"/>
                <w:bCs w:val="1"/>
                <w:color w:val="auto"/>
              </w:rPr>
              <w:t>0.50%</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0.50%</w:t>
            </w:r>
          </w:p>
        </w:tc>
        <w:tc>
          <w:tcPr>
            <w:tcW w:w="90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0.49%</w:t>
            </w:r>
          </w:p>
        </w:tc>
      </w:tr>
      <w:tr>
        <w:trPr>
          <w:trHeight w:val="78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12"/>
          </w:tcPr>
          <w:p>
            <w:pPr>
              <w:jc w:val="center"/>
              <w:ind w:right="620"/>
              <w:spacing w:after="0"/>
              <w:rPr>
                <w:sz w:val="20"/>
                <w:szCs w:val="20"/>
                <w:color w:val="auto"/>
              </w:rPr>
            </w:pPr>
            <w:r>
              <w:rPr>
                <w:rFonts w:ascii="Arial" w:cs="Arial" w:eastAsia="Arial" w:hAnsi="Arial"/>
                <w:sz w:val="14"/>
                <w:szCs w:val="14"/>
                <w:b w:val="1"/>
                <w:bCs w:val="1"/>
                <w:color w:val="auto"/>
                <w:w w:val="86"/>
              </w:rPr>
              <w:t>G&amp;A Expense as a Percentage of</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4"/>
              </w:rPr>
              <w:t>Total Revenues(1)</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w:t>
            </w:r>
          </w:p>
        </w:tc>
        <w:tc>
          <w:tcPr>
            <w:tcW w:w="600" w:type="dxa"/>
            <w:vAlign w:val="bottom"/>
            <w:gridSpan w:val="3"/>
            <w:shd w:val="clear" w:color="auto" w:fill="CCEEFF"/>
          </w:tcPr>
          <w:p>
            <w:pPr>
              <w:jc w:val="center"/>
              <w:ind w:left="35"/>
              <w:spacing w:after="0"/>
              <w:rPr>
                <w:sz w:val="20"/>
                <w:szCs w:val="20"/>
                <w:color w:val="auto"/>
              </w:rPr>
            </w:pPr>
            <w:r>
              <w:rPr>
                <w:rFonts w:ascii="Arial" w:cs="Arial" w:eastAsia="Arial" w:hAnsi="Arial"/>
                <w:sz w:val="18"/>
                <w:szCs w:val="18"/>
                <w:color w:val="auto"/>
                <w:w w:val="86"/>
              </w:rPr>
              <w:t>9.75%</w:t>
            </w:r>
          </w:p>
        </w:tc>
        <w:tc>
          <w:tcPr>
            <w:tcW w:w="2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10.45%</w:t>
            </w:r>
          </w:p>
        </w:tc>
        <w:tc>
          <w:tcPr>
            <w:tcW w:w="11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10.17%</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4"/>
              </w:rPr>
              <w:t>10.52%</w:t>
            </w:r>
          </w:p>
        </w:tc>
        <w:tc>
          <w:tcPr>
            <w:tcW w:w="9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8.48%</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Median</w:t>
            </w:r>
          </w:p>
        </w:tc>
        <w:tc>
          <w:tcPr>
            <w:tcW w:w="600" w:type="dxa"/>
            <w:vAlign w:val="bottom"/>
            <w:gridSpan w:val="3"/>
          </w:tcPr>
          <w:p>
            <w:pPr>
              <w:jc w:val="center"/>
              <w:ind w:left="35"/>
              <w:spacing w:after="0"/>
              <w:rPr>
                <w:sz w:val="20"/>
                <w:szCs w:val="20"/>
                <w:color w:val="auto"/>
              </w:rPr>
            </w:pPr>
            <w:r>
              <w:rPr>
                <w:rFonts w:ascii="Arial" w:cs="Arial" w:eastAsia="Arial" w:hAnsi="Arial"/>
                <w:sz w:val="18"/>
                <w:szCs w:val="18"/>
                <w:color w:val="auto"/>
                <w:w w:val="86"/>
              </w:rPr>
              <w:t>6.87%</w:t>
            </w:r>
          </w:p>
        </w:tc>
        <w:tc>
          <w:tcPr>
            <w:tcW w:w="280" w:type="dxa"/>
            <w:vAlign w:val="bottom"/>
          </w:tcPr>
          <w:p>
            <w:pPr>
              <w:spacing w:after="0"/>
              <w:rPr>
                <w:sz w:val="18"/>
                <w:szCs w:val="18"/>
                <w:color w:val="auto"/>
              </w:rPr>
            </w:pPr>
          </w:p>
        </w:tc>
        <w:tc>
          <w:tcPr>
            <w:tcW w:w="840" w:type="dxa"/>
            <w:vAlign w:val="bottom"/>
            <w:gridSpan w:val="4"/>
          </w:tcPr>
          <w:p>
            <w:pPr>
              <w:jc w:val="right"/>
              <w:ind w:right="112"/>
              <w:spacing w:after="0"/>
              <w:rPr>
                <w:sz w:val="20"/>
                <w:szCs w:val="20"/>
                <w:color w:val="auto"/>
              </w:rPr>
            </w:pPr>
            <w:r>
              <w:rPr>
                <w:rFonts w:ascii="Arial" w:cs="Arial" w:eastAsia="Arial" w:hAnsi="Arial"/>
                <w:sz w:val="18"/>
                <w:szCs w:val="18"/>
                <w:color w:val="auto"/>
              </w:rPr>
              <w:t>6.76%</w:t>
            </w:r>
          </w:p>
        </w:tc>
        <w:tc>
          <w:tcPr>
            <w:tcW w:w="1100" w:type="dxa"/>
            <w:vAlign w:val="bottom"/>
            <w:gridSpan w:val="5"/>
          </w:tcPr>
          <w:p>
            <w:pPr>
              <w:jc w:val="right"/>
              <w:ind w:right="300"/>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7.46%</w:t>
            </w:r>
          </w:p>
        </w:tc>
        <w:tc>
          <w:tcPr>
            <w:tcW w:w="900" w:type="dxa"/>
            <w:vAlign w:val="bottom"/>
            <w:gridSpan w:val="4"/>
          </w:tcPr>
          <w:p>
            <w:pPr>
              <w:ind w:left="140"/>
              <w:spacing w:after="0"/>
              <w:rPr>
                <w:sz w:val="20"/>
                <w:szCs w:val="20"/>
                <w:color w:val="auto"/>
              </w:rPr>
            </w:pPr>
            <w:r>
              <w:rPr>
                <w:rFonts w:ascii="Arial" w:cs="Arial" w:eastAsia="Arial" w:hAnsi="Arial"/>
                <w:sz w:val="18"/>
                <w:szCs w:val="18"/>
                <w:color w:val="auto"/>
              </w:rPr>
              <w:t>6.92%</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SL Green Realty Corp</w:t>
            </w:r>
          </w:p>
        </w:tc>
        <w:tc>
          <w:tcPr>
            <w:tcW w:w="8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3"/>
              </w:rPr>
              <w:t>5.57%</w:t>
            </w:r>
          </w:p>
        </w:tc>
        <w:tc>
          <w:tcPr>
            <w:tcW w:w="84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5.43%</w:t>
            </w: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5.13%</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4.97%</w:t>
            </w:r>
          </w:p>
        </w:tc>
        <w:tc>
          <w:tcPr>
            <w:tcW w:w="90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5.29%</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r>
    </w:tbl>
    <w:p>
      <w:pPr>
        <w:spacing w:after="0" w:line="192" w:lineRule="exact"/>
        <w:rPr>
          <w:sz w:val="20"/>
          <w:szCs w:val="20"/>
          <w:color w:val="auto"/>
        </w:rPr>
      </w:pPr>
    </w:p>
    <w:p>
      <w:pPr>
        <w:ind w:left="1680" w:right="80" w:hanging="531"/>
        <w:spacing w:after="0" w:line="239" w:lineRule="auto"/>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Companies used for comparison in G&amp;A expense analysis include: Alexandria Real Estate Equities, Inc., Boston Properties, Inc., General Growth Properties, Inc., iStar Financial, NorthStar Realty Finance Corporation, Starwood Hotels &amp; Resorts Worldwide, Inc. and Vornado Realty Trust.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Engagement; Executive Compensation Changes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each of the last two years, we have engaged in a formal stockholder outreach program focused on our executive compensation. In both early 2014 and early 2015, we contacted our large institutional stockholders to discuss our executive compensation programs in light of our business and our performance. These discussions were led by the chairman of our Compensation Committee, or the Committee, and Lead Independent Director or, in limited instances, members of senior management. We provided these stockholders with additional information regarding our executive compensation programs, our performance and the manner in which we believed our executive compensation programs have contributed to our superior long-term performance. We also engaged in discussions with these stockholders where we were able to clarify aspects of our executive compensation programs that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have been fully understood and receive direct feedback regarding specific aspects of our executive compensation programs.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Overall, in both 2014 and 2015, we had discussions with the owners of more than a majority of our outstanding common stock as part of this outreach program. In 2015, we contacted institutional stockholders owning approximately 66% of our outstanding common stock in connection with this outreach program. In structuring our executive compensation programs for 2014 and 2015, we considered the feedback that we received in connection with this outreach program as well as the approval of the non-binding, advisory resolution, or "say-on-pay" resolution, approving the compensation paid to our named executive officers as disclosed in our proxy statement for our 2014 annual meeting.</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generally maintained the same overall structure for our executive compensation programs in 2014 that we have utilized in the past and that a majority of our stockholders have consistently supported. However, we did make several notable changes in direct response to the feedback we received during our stockholder outreach effort, including the following:</w:t>
      </w:r>
    </w:p>
    <w:p>
      <w:pPr>
        <w:spacing w:after="0" w:line="208" w:lineRule="exact"/>
        <w:rPr>
          <w:sz w:val="20"/>
          <w:szCs w:val="20"/>
          <w:color w:val="auto"/>
        </w:rPr>
      </w:pPr>
    </w:p>
    <w:p>
      <w:pPr>
        <w:ind w:left="1080" w:hanging="532"/>
        <w:spacing w:after="0" w:line="294"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Formulaic Annual Cash Bonus Program. </w:t>
      </w:r>
      <w:r>
        <w:rPr>
          <w:rFonts w:ascii="Arial" w:cs="Arial" w:eastAsia="Arial" w:hAnsi="Arial"/>
          <w:sz w:val="16"/>
          <w:szCs w:val="16"/>
          <w:color w:val="auto"/>
        </w:rPr>
        <w:t>Beginning in 2014, our annual cash bonuses to our top three named executive officers will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 link to the achievement of specific goals determined in advance. The structure of our new formulaic annual cash bonus program is described in detail below under "—Annual Incentive Awards—Formulaic Annual Cash Bonus Program" and was previously described in our proxy statement for our 2014 annual meeting. In 2015, we made further changes, increasing the formulaic component of this program to 75%, an increase of 15% from 2014, and reducing the number of criteria used in our program.</w:t>
      </w:r>
    </w:p>
    <w:p>
      <w:pPr>
        <w:spacing w:after="0" w:line="196" w:lineRule="exact"/>
        <w:rPr>
          <w:rFonts w:ascii="Arial" w:cs="Arial" w:eastAsia="Arial" w:hAnsi="Arial"/>
          <w:sz w:val="16"/>
          <w:szCs w:val="16"/>
          <w:color w:val="auto"/>
        </w:rPr>
      </w:pPr>
    </w:p>
    <w:p>
      <w:pPr>
        <w:ind w:left="1080" w:right="22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Performance Hurdles for Future Employment Agreement Equity Awards. </w:t>
      </w:r>
      <w:r>
        <w:rPr>
          <w:rFonts w:ascii="Arial" w:cs="Arial" w:eastAsia="Arial" w:hAnsi="Arial"/>
          <w:sz w:val="16"/>
          <w:szCs w:val="16"/>
          <w:color w:val="auto"/>
        </w:rPr>
        <w:t>Our Chief Executive Officer and President agreed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the performance hurdles for future equity awards granted pursuant to their employment agreements to the achievement of either an 8% per year increase in FFO per share, 8% TRS per year or relative TRS in the top 35% of MSCI US REIT Index companies.</w:t>
      </w:r>
    </w:p>
    <w:p>
      <w:pPr>
        <w:spacing w:after="0" w:line="174"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of Future Employment Agreement Equity Awards are Performance-Based. </w:t>
      </w:r>
      <w:r>
        <w:rPr>
          <w:rFonts w:ascii="Arial" w:cs="Arial" w:eastAsia="Arial" w:hAnsi="Arial"/>
          <w:sz w:val="18"/>
          <w:szCs w:val="18"/>
          <w:color w:val="auto"/>
        </w:rPr>
        <w:t>Our Chief Executive Officer and President agreed to make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annual equity awards pursuant to their employment agreements 100% performance-based.</w:t>
      </w:r>
    </w:p>
    <w:p>
      <w:pPr>
        <w:spacing w:after="0" w:line="199" w:lineRule="exact"/>
        <w:rPr>
          <w:rFonts w:ascii="Arial" w:cs="Arial" w:eastAsia="Arial" w:hAnsi="Arial"/>
          <w:sz w:val="18"/>
          <w:szCs w:val="18"/>
          <w:color w:val="auto"/>
        </w:rPr>
      </w:pPr>
    </w:p>
    <w:p>
      <w:pPr>
        <w:jc w:val="both"/>
        <w:ind w:left="1080" w:right="360" w:hanging="532"/>
        <w:spacing w:after="0" w:line="335"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Relative TRS included in 2014 Outperformance Plan. </w:t>
      </w:r>
      <w:r>
        <w:rPr>
          <w:rFonts w:ascii="Arial" w:cs="Arial" w:eastAsia="Arial" w:hAnsi="Arial"/>
          <w:sz w:val="15"/>
          <w:szCs w:val="15"/>
          <w:color w:val="auto"/>
        </w:rPr>
        <w:t>The SL Green Realty Corp. 2014 Outperformance Plan, or our 2014 Outperformance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includes performance metrics to incorporate a new relative TRS component for one-third of each award granted. The remainder of each award is subject to the achievement of absolute TRS performance metrics similar to those utilized for prior outperformance plans.</w:t>
      </w:r>
    </w:p>
    <w:p>
      <w:pPr>
        <w:spacing w:after="0" w:line="169" w:lineRule="exact"/>
        <w:rPr>
          <w:rFonts w:ascii="Arial" w:cs="Arial" w:eastAsia="Arial" w:hAnsi="Arial"/>
          <w:sz w:val="15"/>
          <w:szCs w:val="15"/>
          <w:color w:val="auto"/>
        </w:rPr>
      </w:pPr>
    </w:p>
    <w:p>
      <w:pPr>
        <w:ind w:left="1080" w:right="9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 Trigger in 2014 OPP. </w:t>
      </w:r>
      <w:r>
        <w:rPr>
          <w:rFonts w:ascii="Arial" w:cs="Arial" w:eastAsia="Arial" w:hAnsi="Arial"/>
          <w:sz w:val="18"/>
          <w:szCs w:val="18"/>
          <w:color w:val="auto"/>
        </w:rPr>
        <w:t>We adopted double trigger provisions for acceleration of vesting of equity awards granted under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Outperformance Plan in the event of a change in control of the Company.</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 Disclosure. </w:t>
      </w:r>
      <w:r>
        <w:rPr>
          <w:rFonts w:ascii="Arial" w:cs="Arial" w:eastAsia="Arial" w:hAnsi="Arial"/>
          <w:sz w:val="18"/>
          <w:szCs w:val="18"/>
          <w:color w:val="auto"/>
        </w:rPr>
        <w:t>We provided enhanced disclosure of the structure of our outperformance plans to highlight the rigor of the performance goals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these plans, the long-term nature of these plans, and the manner in which these plans create a strong alignment of management and stockholder interests.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Practices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of superior return to stockholders. The following are key features of our executive compensation programs: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What We Do</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What We Don't Do</w:t>
            </w:r>
          </w:p>
        </w:tc>
      </w:tr>
      <w:tr>
        <w:trPr>
          <w:trHeight w:val="201"/>
        </w:trPr>
        <w:tc>
          <w:tcPr>
            <w:tcW w:w="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ü</w:t>
            </w:r>
          </w:p>
        </w:tc>
        <w:tc>
          <w:tcPr>
            <w:tcW w:w="4160" w:type="dxa"/>
            <w:vAlign w:val="bottom"/>
          </w:tcPr>
          <w:p>
            <w:pPr>
              <w:ind w:left="220"/>
              <w:spacing w:after="0" w:line="201" w:lineRule="exact"/>
              <w:rPr>
                <w:sz w:val="20"/>
                <w:szCs w:val="20"/>
                <w:color w:val="auto"/>
              </w:rPr>
            </w:pPr>
            <w:r>
              <w:rPr>
                <w:rFonts w:ascii="Arial" w:cs="Arial" w:eastAsia="Arial" w:hAnsi="Arial"/>
                <w:sz w:val="18"/>
                <w:szCs w:val="18"/>
                <w:color w:val="auto"/>
              </w:rPr>
              <w:t>Pay for performance and create alignment with</w:t>
            </w:r>
          </w:p>
        </w:tc>
        <w:tc>
          <w:tcPr>
            <w:tcW w:w="20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b w:val="1"/>
                <w:bCs w:val="1"/>
                <w:i w:val="1"/>
                <w:iCs w:val="1"/>
                <w:color w:val="auto"/>
                <w:w w:val="74"/>
              </w:rPr>
              <w:t>X</w:t>
            </w:r>
          </w:p>
        </w:tc>
        <w:tc>
          <w:tcPr>
            <w:tcW w:w="4140" w:type="dxa"/>
            <w:vAlign w:val="bottom"/>
          </w:tcPr>
          <w:p>
            <w:pPr>
              <w:ind w:left="220"/>
              <w:spacing w:after="0" w:line="201" w:lineRule="exact"/>
              <w:rPr>
                <w:sz w:val="20"/>
                <w:szCs w:val="20"/>
                <w:color w:val="auto"/>
              </w:rPr>
            </w:pPr>
            <w:r>
              <w:rPr>
                <w:rFonts w:ascii="Arial" w:cs="Arial" w:eastAsia="Arial" w:hAnsi="Arial"/>
                <w:sz w:val="18"/>
                <w:szCs w:val="18"/>
                <w:color w:val="auto"/>
                <w:w w:val="91"/>
              </w:rPr>
              <w:t>No dividends or distributions paid on unearned equity</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awards subject to performance-based vesting.</w:t>
            </w:r>
          </w:p>
        </w:tc>
      </w:tr>
      <w:tr>
        <w:trPr>
          <w:trHeight w:val="453"/>
        </w:trPr>
        <w:tc>
          <w:tcPr>
            <w:tcW w:w="320" w:type="dxa"/>
            <w:vAlign w:val="bottom"/>
            <w:gridSpan w:val="2"/>
          </w:tcPr>
          <w:p>
            <w:pPr>
              <w:jc w:val="right"/>
              <w:ind w:right="143"/>
              <w:spacing w:after="0"/>
              <w:rPr>
                <w:sz w:val="20"/>
                <w:szCs w:val="20"/>
                <w:color w:val="auto"/>
              </w:rPr>
            </w:pPr>
            <w:r>
              <w:rPr>
                <w:rFonts w:ascii="Arial" w:cs="Arial" w:eastAsia="Arial" w:hAnsi="Arial"/>
                <w:sz w:val="18"/>
                <w:szCs w:val="18"/>
                <w:color w:val="auto"/>
                <w:w w:val="79"/>
              </w:rPr>
              <w:t>ü</w:t>
            </w:r>
          </w:p>
        </w:tc>
        <w:tc>
          <w:tcPr>
            <w:tcW w:w="4160" w:type="dxa"/>
            <w:vAlign w:val="bottom"/>
          </w:tcPr>
          <w:p>
            <w:pPr>
              <w:ind w:left="220"/>
              <w:spacing w:after="0"/>
              <w:rPr>
                <w:sz w:val="20"/>
                <w:szCs w:val="20"/>
                <w:color w:val="auto"/>
              </w:rPr>
            </w:pPr>
            <w:r>
              <w:rPr>
                <w:rFonts w:ascii="Arial" w:cs="Arial" w:eastAsia="Arial" w:hAnsi="Arial"/>
                <w:sz w:val="18"/>
                <w:szCs w:val="18"/>
                <w:color w:val="auto"/>
                <w:w w:val="89"/>
              </w:rPr>
              <w:t>Formulaic annual cash bonus program for our top three</w:t>
            </w:r>
          </w:p>
        </w:tc>
        <w:tc>
          <w:tcPr>
            <w:tcW w:w="520" w:type="dxa"/>
            <w:vAlign w:val="bottom"/>
            <w:gridSpan w:val="2"/>
          </w:tcPr>
          <w:p>
            <w:pPr>
              <w:jc w:val="right"/>
              <w:ind w:right="138"/>
              <w:spacing w:after="0"/>
              <w:rPr>
                <w:sz w:val="20"/>
                <w:szCs w:val="20"/>
                <w:color w:val="auto"/>
              </w:rPr>
            </w:pPr>
            <w:r>
              <w:rPr>
                <w:rFonts w:ascii="Arial" w:cs="Arial" w:eastAsia="Arial" w:hAnsi="Arial"/>
                <w:sz w:val="18"/>
                <w:szCs w:val="18"/>
                <w:b w:val="1"/>
                <w:bCs w:val="1"/>
                <w:i w:val="1"/>
                <w:iCs w:val="1"/>
                <w:color w:val="auto"/>
              </w:rPr>
              <w:t>X</w:t>
            </w:r>
          </w:p>
        </w:tc>
        <w:tc>
          <w:tcPr>
            <w:tcW w:w="4140" w:type="dxa"/>
            <w:vAlign w:val="bottom"/>
          </w:tcPr>
          <w:p>
            <w:pPr>
              <w:ind w:left="220"/>
              <w:spacing w:after="0"/>
              <w:rPr>
                <w:sz w:val="20"/>
                <w:szCs w:val="20"/>
                <w:color w:val="auto"/>
              </w:rPr>
            </w:pPr>
            <w:r>
              <w:rPr>
                <w:rFonts w:ascii="Arial" w:cs="Arial" w:eastAsia="Arial" w:hAnsi="Arial"/>
                <w:sz w:val="18"/>
                <w:szCs w:val="18"/>
                <w:color w:val="auto"/>
              </w:rPr>
              <w:t>No excise tax gross-up provisions.</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named executive officers.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53"/>
        </w:trPr>
        <w:tc>
          <w:tcPr>
            <w:tcW w:w="320" w:type="dxa"/>
            <w:vAlign w:val="bottom"/>
            <w:gridSpan w:val="2"/>
          </w:tcPr>
          <w:p>
            <w:pPr>
              <w:jc w:val="right"/>
              <w:ind w:right="143"/>
              <w:spacing w:after="0"/>
              <w:rPr>
                <w:sz w:val="20"/>
                <w:szCs w:val="20"/>
                <w:color w:val="auto"/>
              </w:rPr>
            </w:pPr>
            <w:r>
              <w:rPr>
                <w:rFonts w:ascii="Arial" w:cs="Arial" w:eastAsia="Arial" w:hAnsi="Arial"/>
                <w:sz w:val="18"/>
                <w:szCs w:val="18"/>
                <w:color w:val="auto"/>
                <w:w w:val="79"/>
              </w:rPr>
              <w:t>ü</w:t>
            </w:r>
          </w:p>
        </w:tc>
        <w:tc>
          <w:tcPr>
            <w:tcW w:w="4160" w:type="dxa"/>
            <w:vAlign w:val="bottom"/>
          </w:tcPr>
          <w:p>
            <w:pPr>
              <w:ind w:left="220"/>
              <w:spacing w:after="0"/>
              <w:rPr>
                <w:sz w:val="20"/>
                <w:szCs w:val="20"/>
                <w:color w:val="auto"/>
              </w:rPr>
            </w:pPr>
            <w:r>
              <w:rPr>
                <w:rFonts w:ascii="Arial" w:cs="Arial" w:eastAsia="Arial" w:hAnsi="Arial"/>
                <w:sz w:val="18"/>
                <w:szCs w:val="18"/>
                <w:color w:val="auto"/>
                <w:w w:val="90"/>
              </w:rPr>
              <w:t>Include robust hurdles in our 2014 OPP based on both</w:t>
            </w:r>
          </w:p>
        </w:tc>
        <w:tc>
          <w:tcPr>
            <w:tcW w:w="520" w:type="dxa"/>
            <w:vAlign w:val="bottom"/>
            <w:gridSpan w:val="2"/>
          </w:tcPr>
          <w:p>
            <w:pPr>
              <w:jc w:val="right"/>
              <w:ind w:right="138"/>
              <w:spacing w:after="0"/>
              <w:rPr>
                <w:sz w:val="20"/>
                <w:szCs w:val="20"/>
                <w:color w:val="auto"/>
              </w:rPr>
            </w:pPr>
            <w:r>
              <w:rPr>
                <w:rFonts w:ascii="Arial" w:cs="Arial" w:eastAsia="Arial" w:hAnsi="Arial"/>
                <w:sz w:val="18"/>
                <w:szCs w:val="18"/>
                <w:b w:val="1"/>
                <w:bCs w:val="1"/>
                <w:i w:val="1"/>
                <w:iCs w:val="1"/>
                <w:color w:val="auto"/>
              </w:rPr>
              <w:t>X</w:t>
            </w:r>
          </w:p>
        </w:tc>
        <w:tc>
          <w:tcPr>
            <w:tcW w:w="4140" w:type="dxa"/>
            <w:vAlign w:val="bottom"/>
          </w:tcPr>
          <w:p>
            <w:pPr>
              <w:ind w:left="220"/>
              <w:spacing w:after="0"/>
              <w:rPr>
                <w:sz w:val="20"/>
                <w:szCs w:val="20"/>
                <w:color w:val="auto"/>
              </w:rPr>
            </w:pPr>
            <w:r>
              <w:rPr>
                <w:rFonts w:ascii="Arial" w:cs="Arial" w:eastAsia="Arial" w:hAnsi="Arial"/>
                <w:sz w:val="18"/>
                <w:szCs w:val="18"/>
                <w:color w:val="auto"/>
              </w:rPr>
              <w:t>Don't allow repricing of stock options.</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w w:val="91"/>
              </w:rPr>
              <w:t>absolute and relative TRS, with no payout unless total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w w:val="99"/>
              </w:rPr>
              <w:t>return exceeds $2.5 billion or relative TRS is at or</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8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above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index companies.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33"/>
        </w:trPr>
        <w:tc>
          <w:tcPr>
            <w:tcW w:w="320" w:type="dxa"/>
            <w:vAlign w:val="bottom"/>
            <w:gridSpan w:val="2"/>
          </w:tcPr>
          <w:p>
            <w:pPr>
              <w:jc w:val="right"/>
              <w:ind w:right="143"/>
              <w:spacing w:after="0"/>
              <w:rPr>
                <w:sz w:val="20"/>
                <w:szCs w:val="20"/>
                <w:color w:val="auto"/>
              </w:rPr>
            </w:pPr>
            <w:r>
              <w:rPr>
                <w:rFonts w:ascii="Arial" w:cs="Arial" w:eastAsia="Arial" w:hAnsi="Arial"/>
                <w:sz w:val="18"/>
                <w:szCs w:val="18"/>
                <w:color w:val="auto"/>
                <w:w w:val="79"/>
              </w:rPr>
              <w:t>ü</w:t>
            </w:r>
          </w:p>
        </w:tc>
        <w:tc>
          <w:tcPr>
            <w:tcW w:w="4160" w:type="dxa"/>
            <w:vAlign w:val="bottom"/>
          </w:tcPr>
          <w:p>
            <w:pPr>
              <w:ind w:left="220"/>
              <w:spacing w:after="0"/>
              <w:rPr>
                <w:sz w:val="20"/>
                <w:szCs w:val="20"/>
                <w:color w:val="auto"/>
              </w:rPr>
            </w:pPr>
            <w:r>
              <w:rPr>
                <w:rFonts w:ascii="Arial" w:cs="Arial" w:eastAsia="Arial" w:hAnsi="Arial"/>
                <w:sz w:val="18"/>
                <w:szCs w:val="18"/>
                <w:color w:val="auto"/>
                <w:w w:val="93"/>
              </w:rPr>
              <w:t>Subject all future contract equity awards for our CEO</w:t>
            </w:r>
          </w:p>
        </w:tc>
        <w:tc>
          <w:tcPr>
            <w:tcW w:w="520" w:type="dxa"/>
            <w:vAlign w:val="bottom"/>
            <w:gridSpan w:val="2"/>
          </w:tcPr>
          <w:p>
            <w:pPr>
              <w:jc w:val="right"/>
              <w:ind w:right="138"/>
              <w:spacing w:after="0"/>
              <w:rPr>
                <w:sz w:val="20"/>
                <w:szCs w:val="20"/>
                <w:color w:val="auto"/>
              </w:rPr>
            </w:pPr>
            <w:r>
              <w:rPr>
                <w:rFonts w:ascii="Arial" w:cs="Arial" w:eastAsia="Arial" w:hAnsi="Arial"/>
                <w:sz w:val="18"/>
                <w:szCs w:val="18"/>
                <w:b w:val="1"/>
                <w:bCs w:val="1"/>
                <w:i w:val="1"/>
                <w:iCs w:val="1"/>
                <w:color w:val="auto"/>
              </w:rPr>
              <w:t>X</w:t>
            </w:r>
          </w:p>
        </w:tc>
        <w:tc>
          <w:tcPr>
            <w:tcW w:w="4140" w:type="dxa"/>
            <w:vAlign w:val="bottom"/>
          </w:tcPr>
          <w:p>
            <w:pPr>
              <w:ind w:left="220"/>
              <w:spacing w:after="0"/>
              <w:rPr>
                <w:sz w:val="20"/>
                <w:szCs w:val="20"/>
                <w:color w:val="auto"/>
              </w:rPr>
            </w:pPr>
            <w:r>
              <w:rPr>
                <w:rFonts w:ascii="Arial" w:cs="Arial" w:eastAsia="Arial" w:hAnsi="Arial"/>
                <w:sz w:val="18"/>
                <w:szCs w:val="18"/>
                <w:color w:val="auto"/>
                <w:w w:val="87"/>
              </w:rPr>
              <w:t>No single trigger cash severance or accelerated vesting</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w w:val="92"/>
              </w:rPr>
              <w:t>and President to performance-based vesting hurdles.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w w:val="90"/>
              </w:rPr>
              <w:t>in connection with a change in control (other than pre-</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2014 OPP awards).</w:t>
            </w:r>
          </w:p>
        </w:tc>
      </w:tr>
      <w:tr>
        <w:trPr>
          <w:trHeight w:val="453"/>
        </w:trPr>
        <w:tc>
          <w:tcPr>
            <w:tcW w:w="320" w:type="dxa"/>
            <w:vAlign w:val="bottom"/>
            <w:gridSpan w:val="2"/>
          </w:tcPr>
          <w:p>
            <w:pPr>
              <w:jc w:val="right"/>
              <w:ind w:right="143"/>
              <w:spacing w:after="0"/>
              <w:rPr>
                <w:sz w:val="20"/>
                <w:szCs w:val="20"/>
                <w:color w:val="auto"/>
              </w:rPr>
            </w:pPr>
            <w:r>
              <w:rPr>
                <w:rFonts w:ascii="Arial" w:cs="Arial" w:eastAsia="Arial" w:hAnsi="Arial"/>
                <w:sz w:val="18"/>
                <w:szCs w:val="18"/>
                <w:color w:val="auto"/>
                <w:w w:val="79"/>
              </w:rPr>
              <w:t>ü</w:t>
            </w:r>
          </w:p>
        </w:tc>
        <w:tc>
          <w:tcPr>
            <w:tcW w:w="4160" w:type="dxa"/>
            <w:vAlign w:val="bottom"/>
          </w:tcPr>
          <w:p>
            <w:pPr>
              <w:ind w:left="220"/>
              <w:spacing w:after="0"/>
              <w:rPr>
                <w:sz w:val="20"/>
                <w:szCs w:val="20"/>
                <w:color w:val="auto"/>
              </w:rPr>
            </w:pPr>
            <w:r>
              <w:rPr>
                <w:rFonts w:ascii="Arial" w:cs="Arial" w:eastAsia="Arial" w:hAnsi="Arial"/>
                <w:sz w:val="18"/>
                <w:szCs w:val="18"/>
                <w:color w:val="auto"/>
                <w:w w:val="90"/>
              </w:rPr>
              <w:t>Pay over 80% of 2014 total compensation for our CEO</w:t>
            </w:r>
          </w:p>
        </w:tc>
        <w:tc>
          <w:tcPr>
            <w:tcW w:w="520" w:type="dxa"/>
            <w:vAlign w:val="bottom"/>
            <w:gridSpan w:val="2"/>
          </w:tcPr>
          <w:p>
            <w:pPr>
              <w:jc w:val="right"/>
              <w:ind w:right="138"/>
              <w:spacing w:after="0"/>
              <w:rPr>
                <w:sz w:val="20"/>
                <w:szCs w:val="20"/>
                <w:color w:val="auto"/>
              </w:rPr>
            </w:pPr>
            <w:r>
              <w:rPr>
                <w:rFonts w:ascii="Arial" w:cs="Arial" w:eastAsia="Arial" w:hAnsi="Arial"/>
                <w:sz w:val="18"/>
                <w:szCs w:val="18"/>
                <w:b w:val="1"/>
                <w:bCs w:val="1"/>
                <w:i w:val="1"/>
                <w:iCs w:val="1"/>
                <w:color w:val="auto"/>
              </w:rPr>
              <w:t>X</w:t>
            </w:r>
          </w:p>
        </w:tc>
        <w:tc>
          <w:tcPr>
            <w:tcW w:w="4140" w:type="dxa"/>
            <w:vAlign w:val="bottom"/>
          </w:tcPr>
          <w:p>
            <w:pPr>
              <w:ind w:left="220"/>
              <w:spacing w:after="0"/>
              <w:rPr>
                <w:sz w:val="20"/>
                <w:szCs w:val="20"/>
                <w:color w:val="auto"/>
              </w:rPr>
            </w:pPr>
            <w:r>
              <w:rPr>
                <w:rFonts w:ascii="Arial" w:cs="Arial" w:eastAsia="Arial" w:hAnsi="Arial"/>
                <w:sz w:val="18"/>
                <w:szCs w:val="18"/>
                <w:color w:val="auto"/>
                <w:w w:val="89"/>
              </w:rPr>
              <w:t>Don't allow directors or officers to hedge our securities.</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and named executive officers in equity.</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spacing w:after="0"/>
              <w:rPr>
                <w:sz w:val="19"/>
                <w:szCs w:val="19"/>
                <w:color w:val="auto"/>
              </w:rPr>
            </w:pPr>
          </w:p>
        </w:tc>
      </w:tr>
    </w:tbl>
    <w:p>
      <w:pPr>
        <w:spacing w:after="0" w:line="237" w:lineRule="exact"/>
        <w:rPr>
          <w:sz w:val="20"/>
          <w:szCs w:val="20"/>
          <w:color w:val="auto"/>
        </w:rPr>
      </w:pPr>
    </w:p>
    <w:p>
      <w:pPr>
        <w:ind w:left="1680" w:right="6220" w:hanging="531"/>
        <w:spacing w:after="0" w:line="332"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Follow robust stock ownership guidelines for our directors and named executive officers.</w:t>
      </w:r>
    </w:p>
    <w:p>
      <w:pPr>
        <w:spacing w:after="0" w:line="166" w:lineRule="exact"/>
        <w:rPr>
          <w:rFonts w:ascii="Arial" w:cs="Arial" w:eastAsia="Arial" w:hAnsi="Arial"/>
          <w:sz w:val="16"/>
          <w:szCs w:val="16"/>
          <w:color w:val="auto"/>
        </w:rPr>
      </w:pPr>
    </w:p>
    <w:p>
      <w:pPr>
        <w:ind w:left="1680" w:right="610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a clawback policy with respect to incentive payments.</w:t>
      </w:r>
    </w:p>
    <w:p>
      <w:pPr>
        <w:spacing w:after="0" w:line="212" w:lineRule="exact"/>
        <w:rPr>
          <w:rFonts w:ascii="Arial" w:cs="Arial" w:eastAsia="Arial" w:hAnsi="Arial"/>
          <w:sz w:val="18"/>
          <w:szCs w:val="18"/>
          <w:color w:val="auto"/>
        </w:rPr>
      </w:pPr>
    </w:p>
    <w:p>
      <w:pPr>
        <w:ind w:left="1680" w:right="6160" w:hanging="531"/>
        <w:spacing w:after="0" w:line="306"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a double trigger for cash severance and accelerated vesting in connection with a change in control (other than pre-2014 OPP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Committee determines compensation for our named executive officers and is comprised of three of our independent directors, John H. Alschuler (Chairman), Edwin Thomas Burton, III and John S. Levy. The Committee exercises independent discretion in respect of executive compensation matters and administers our equity incentive programs, including reviewing and approving equity grants to our executives pursuant to the 2005 Plan. The Committee operates under a written charter adopted by the Board, a copy of which is available on our website at http://www.slgreen.com.</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Committee has retained Gressle &amp; McGinley LLC as its independent outside compensation consulting firm and has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With respect to our named executive officers, the Committee solicits recommendations from our Chief Executive Officer regarding total compensation, the allocation of this compensation among base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salary, annual bonus amounts and other long-term incentive compensation, as well as the portion of overall compensation to be provided in cash or equity. Our Chairman also advises the Committee on these matters as they pertain to the compensation of our Chief Executive Officer. FTI Consulting, Inc., or FTI Consulting, is retained by our management as a general business advisor and provides services to the Company in a number of areas, including compensation. FTI Consulting, which has relationships with certain officers of the Company, provides market data to our Chief Executive Officer and Chairman, which they review when considering their compensation recommendations. The recommendations with respect to compensation are formulated by our Chief Executive Officer and Chairman and are communicated to the Committee by them. The Committee is also provided with the market data compiled by FTI Consulting. The other named executive officers do not play a role in determining their own compensation, other than discussing their performance with our Chief Executive Officer.</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Committee, in analyzing the recommendations from the Chief Executive Officer and Chairman, also receives and reviews market and industry materials and data provided by the Committee's independent compensation consulting firm, Gressle &amp; McGinley LLC, as well as the compensation analysis and recommendations provided by that firm. Their sole role is as an 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2014, the Committee reviewed then-existing policies of certain of our institutional investors, Institutional Shareholder Services, or ISS, Glass Lewis and other governance groups, as well as feedback provided by such groups in prior year proxy research reports. In late 2014, members of our senior management discussed our compensation practices and our corporate governance and compensation practices with ISS. The Committee is currently engaged with stockholders,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72"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Our named executive officers' compensation and performance for 2014 was evaluated on both an absolute basis and by reference to a "peer group." The formulation of our peer group was re-evaluated for 2014 in response to stockholder feedback; our 2014 peer group is representative of the New York City real estate marketplace in which we conduct substantially all of our business, which is one of the most competitive in the world from both a business and compensation perspective.</w:t>
      </w:r>
    </w:p>
    <w:p>
      <w:pPr>
        <w:spacing w:after="0" w:line="197"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maintain the belief that being successful and competitive in the demanding New York City office real estate market requires having a highly talented management team and a compensation program structured to attract, retain and motivate top executives in one of the most expensive cities in the world. In the case of our Company, anything other than a comparable New York City peer group will not allow for an appropriate comparative analysis of our business performance in its operating market and its compensation program, given the unique characteristics of the New York City market and the prevalence of non-public direct competitors.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Peer Group Determination</w:t>
      </w:r>
    </w:p>
    <w:p>
      <w:pPr>
        <w:spacing w:after="0" w:line="225"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In 2014, as in prior years, the Committee undertook a detailed, comprehensive review of the Company's existing 2013 peer group with the goal of maintaining an appropriate peer group. As a guiding principle, the Committee unanimously agreed that our compensation peer group should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primarily consist of companies in the same business line as the Company (primarily office and finance), and be located and operating within New York City. The 2014 compensation peer group accomplishes those goals in line with the Committee's commitment to maintaining an accurate compensation peer group of both business and executive comparable peers operating within the unique New York City market.</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direct New York City competitors, both in terms of the real estate business and talent, are not limited to other public companies doing business in New York City. Rather, our competitors also consist of top performing hedge funds, international investors, large private firms and others that may have equal or greater financial resources, including access to cost-efficient capital. The Committee has determined that our direct New York City competitors are:</w:t>
      </w:r>
    </w:p>
    <w:p>
      <w:pPr>
        <w:spacing w:after="0" w:line="16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Alexandria Real Estate Equities, Inc.</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Hines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American Capital, Ltd.</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iStar Financial</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  Angelo, Gordon &amp; Co.</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Jamestown Properties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  Apollo Global Management, LLC</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KKR &amp; Co. L.P.</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Beacon Capital Partners</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Morgan Stanley Real Estate Funds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Blackstone Group, L.P</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NorthStar Realty Finance Corp.</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Boston Properties, Inc.</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Och-Ziff Capital Management Group</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Brookfield Office Properties, Inc.</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Paramount Group, Inc.</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Cerberus Capital Management, L.P.</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RXR Realty</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  Forest City Ratner Companies</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w w:val="90"/>
              </w:rPr>
              <w:t>Starwood Hotels &amp; Resorts Worldwide, Inc.</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  Fortress Investment Group LLC</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The Related Companies L.P.</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General Growth Properties, Inc.</w:t>
            </w: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Tishman Speyer</w:t>
            </w:r>
          </w:p>
        </w:tc>
      </w:tr>
      <w:tr>
        <w:trPr>
          <w:trHeight w:val="222"/>
        </w:trPr>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580" w:type="dxa"/>
            <w:vAlign w:val="bottom"/>
          </w:tcPr>
          <w:p>
            <w:pPr>
              <w:ind w:left="1460"/>
              <w:spacing w:after="0"/>
              <w:rPr>
                <w:sz w:val="20"/>
                <w:szCs w:val="20"/>
                <w:color w:val="auto"/>
              </w:rPr>
            </w:pPr>
            <w:r>
              <w:rPr>
                <w:rFonts w:ascii="Arial" w:cs="Arial" w:eastAsia="Arial" w:hAnsi="Arial"/>
                <w:sz w:val="18"/>
                <w:szCs w:val="18"/>
                <w:color w:val="auto"/>
              </w:rPr>
              <w:t>•</w:t>
            </w:r>
          </w:p>
        </w:tc>
        <w:tc>
          <w:tcPr>
            <w:tcW w:w="3200" w:type="dxa"/>
            <w:vAlign w:val="bottom"/>
          </w:tcPr>
          <w:p>
            <w:pPr>
              <w:ind w:left="60"/>
              <w:spacing w:after="0"/>
              <w:rPr>
                <w:sz w:val="20"/>
                <w:szCs w:val="20"/>
                <w:color w:val="auto"/>
              </w:rPr>
            </w:pPr>
            <w:r>
              <w:rPr>
                <w:rFonts w:ascii="Arial" w:cs="Arial" w:eastAsia="Arial" w:hAnsi="Arial"/>
                <w:sz w:val="18"/>
                <w:szCs w:val="18"/>
                <w:color w:val="auto"/>
              </w:rPr>
              <w:t>Vornado Realty Trust</w:t>
            </w:r>
          </w:p>
        </w:tc>
      </w:tr>
    </w:tbl>
    <w:p>
      <w:pPr>
        <w:spacing w:after="0" w:line="2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New York City focused peer companies, as detailed above, are companies with whom we regularly compete for investment opportunities and executive talent. Many of these companies are either private or a hybrid of private and public, resulting in their not disclosing their executive compensation levels. Given the lack of published compensation data for private companies, these companies have not been included in our selected compensation peer group. However, based on our understanding of the New York City market and on input from our compensation consultants (who are active within the New York City real estate and compensation market), we believe that the compensation levels of these additional New York City peer group companies are also in line with those of our New York City selected compensation peer group.</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selected compensation peer group for 2014 consists of the following eleven companies for which we were able to compare publicly available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3940" w:type="dxa"/>
            <w:vAlign w:val="bottom"/>
          </w:tcPr>
          <w:p>
            <w:pPr>
              <w:ind w:left="60"/>
              <w:spacing w:after="0"/>
              <w:rPr>
                <w:sz w:val="20"/>
                <w:szCs w:val="20"/>
                <w:color w:val="auto"/>
              </w:rPr>
            </w:pPr>
            <w:r>
              <w:rPr>
                <w:rFonts w:ascii="Arial" w:cs="Arial" w:eastAsia="Arial" w:hAnsi="Arial"/>
                <w:sz w:val="18"/>
                <w:szCs w:val="18"/>
                <w:color w:val="auto"/>
              </w:rPr>
              <w:t>Alexandria Real Estate Equities, Inc.</w:t>
            </w:r>
          </w:p>
        </w:tc>
        <w:tc>
          <w:tcPr>
            <w:tcW w:w="1800" w:type="dxa"/>
            <w:vAlign w:val="bottom"/>
          </w:tcPr>
          <w:p>
            <w:pPr>
              <w:ind w:left="1680"/>
              <w:spacing w:after="0"/>
              <w:rPr>
                <w:sz w:val="20"/>
                <w:szCs w:val="20"/>
                <w:color w:val="auto"/>
              </w:rPr>
            </w:pPr>
            <w:r>
              <w:rPr>
                <w:rFonts w:ascii="Arial" w:cs="Arial" w:eastAsia="Arial" w:hAnsi="Arial"/>
                <w:sz w:val="18"/>
                <w:szCs w:val="18"/>
                <w:color w:val="auto"/>
              </w:rPr>
              <w:t>•</w:t>
            </w:r>
          </w:p>
        </w:tc>
        <w:tc>
          <w:tcPr>
            <w:tcW w:w="5240" w:type="dxa"/>
            <w:vAlign w:val="bottom"/>
          </w:tcPr>
          <w:p>
            <w:pPr>
              <w:ind w:left="60"/>
              <w:spacing w:after="0"/>
              <w:rPr>
                <w:sz w:val="20"/>
                <w:szCs w:val="20"/>
                <w:color w:val="auto"/>
              </w:rPr>
            </w:pPr>
            <w:r>
              <w:rPr>
                <w:rFonts w:ascii="Arial" w:cs="Arial" w:eastAsia="Arial" w:hAnsi="Arial"/>
                <w:sz w:val="18"/>
                <w:szCs w:val="18"/>
                <w:color w:val="auto"/>
              </w:rPr>
              <w:t>General Growth Properties, Inc.</w:t>
            </w:r>
          </w:p>
        </w:tc>
      </w:tr>
      <w:tr>
        <w:trPr>
          <w:trHeight w:val="216"/>
        </w:trPr>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3940" w:type="dxa"/>
            <w:vAlign w:val="bottom"/>
          </w:tcPr>
          <w:p>
            <w:pPr>
              <w:ind w:left="60"/>
              <w:spacing w:after="0"/>
              <w:rPr>
                <w:sz w:val="20"/>
                <w:szCs w:val="20"/>
                <w:color w:val="auto"/>
              </w:rPr>
            </w:pPr>
            <w:r>
              <w:rPr>
                <w:rFonts w:ascii="Arial" w:cs="Arial" w:eastAsia="Arial" w:hAnsi="Arial"/>
                <w:sz w:val="18"/>
                <w:szCs w:val="18"/>
                <w:color w:val="auto"/>
              </w:rPr>
              <w:t>American Capital, Ltd.</w:t>
            </w:r>
          </w:p>
        </w:tc>
        <w:tc>
          <w:tcPr>
            <w:tcW w:w="1800" w:type="dxa"/>
            <w:vAlign w:val="bottom"/>
          </w:tcPr>
          <w:p>
            <w:pPr>
              <w:ind w:left="1680"/>
              <w:spacing w:after="0"/>
              <w:rPr>
                <w:sz w:val="20"/>
                <w:szCs w:val="20"/>
                <w:color w:val="auto"/>
              </w:rPr>
            </w:pPr>
            <w:r>
              <w:rPr>
                <w:rFonts w:ascii="Arial" w:cs="Arial" w:eastAsia="Arial" w:hAnsi="Arial"/>
                <w:sz w:val="18"/>
                <w:szCs w:val="18"/>
                <w:color w:val="auto"/>
              </w:rPr>
              <w:t>•</w:t>
            </w:r>
          </w:p>
        </w:tc>
        <w:tc>
          <w:tcPr>
            <w:tcW w:w="5240" w:type="dxa"/>
            <w:vAlign w:val="bottom"/>
          </w:tcPr>
          <w:p>
            <w:pPr>
              <w:ind w:left="60"/>
              <w:spacing w:after="0"/>
              <w:rPr>
                <w:sz w:val="20"/>
                <w:szCs w:val="20"/>
                <w:color w:val="auto"/>
              </w:rPr>
            </w:pPr>
            <w:r>
              <w:rPr>
                <w:rFonts w:ascii="Arial" w:cs="Arial" w:eastAsia="Arial" w:hAnsi="Arial"/>
                <w:sz w:val="18"/>
                <w:szCs w:val="18"/>
                <w:color w:val="auto"/>
              </w:rPr>
              <w:t>iStar Financial</w:t>
            </w:r>
          </w:p>
        </w:tc>
      </w:tr>
      <w:tr>
        <w:trPr>
          <w:trHeight w:val="216"/>
        </w:trPr>
        <w:tc>
          <w:tcPr>
            <w:tcW w:w="4380" w:type="dxa"/>
            <w:vAlign w:val="bottom"/>
            <w:gridSpan w:val="2"/>
          </w:tcPr>
          <w:p>
            <w:pPr>
              <w:ind w:left="320"/>
              <w:spacing w:after="0"/>
              <w:rPr>
                <w:sz w:val="20"/>
                <w:szCs w:val="20"/>
                <w:color w:val="auto"/>
              </w:rPr>
            </w:pPr>
            <w:r>
              <w:rPr>
                <w:rFonts w:ascii="Arial" w:cs="Arial" w:eastAsia="Arial" w:hAnsi="Arial"/>
                <w:sz w:val="18"/>
                <w:szCs w:val="18"/>
                <w:color w:val="auto"/>
              </w:rPr>
              <w:t>•  Apollo Global Management, LLC</w:t>
            </w:r>
          </w:p>
        </w:tc>
        <w:tc>
          <w:tcPr>
            <w:tcW w:w="7040" w:type="dxa"/>
            <w:vAlign w:val="bottom"/>
            <w:gridSpan w:val="2"/>
          </w:tcPr>
          <w:p>
            <w:pPr>
              <w:ind w:left="1680"/>
              <w:spacing w:after="0"/>
              <w:rPr>
                <w:sz w:val="20"/>
                <w:szCs w:val="20"/>
                <w:color w:val="auto"/>
              </w:rPr>
            </w:pPr>
            <w:r>
              <w:rPr>
                <w:rFonts w:ascii="Arial" w:cs="Arial" w:eastAsia="Arial" w:hAnsi="Arial"/>
                <w:sz w:val="18"/>
                <w:szCs w:val="18"/>
                <w:color w:val="auto"/>
              </w:rPr>
              <w:t>•  NorthStar Realty Finance Corp.</w:t>
            </w:r>
          </w:p>
        </w:tc>
      </w:tr>
      <w:tr>
        <w:trPr>
          <w:trHeight w:val="216"/>
        </w:trPr>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3940" w:type="dxa"/>
            <w:vAlign w:val="bottom"/>
          </w:tcPr>
          <w:p>
            <w:pPr>
              <w:ind w:left="60"/>
              <w:spacing w:after="0"/>
              <w:rPr>
                <w:sz w:val="20"/>
                <w:szCs w:val="20"/>
                <w:color w:val="auto"/>
              </w:rPr>
            </w:pPr>
            <w:r>
              <w:rPr>
                <w:rFonts w:ascii="Arial" w:cs="Arial" w:eastAsia="Arial" w:hAnsi="Arial"/>
                <w:sz w:val="18"/>
                <w:szCs w:val="18"/>
                <w:color w:val="auto"/>
              </w:rPr>
              <w:t>Blackstone Group, L.P</w:t>
            </w:r>
          </w:p>
        </w:tc>
        <w:tc>
          <w:tcPr>
            <w:tcW w:w="1800" w:type="dxa"/>
            <w:vAlign w:val="bottom"/>
          </w:tcPr>
          <w:p>
            <w:pPr>
              <w:ind w:left="1680"/>
              <w:spacing w:after="0"/>
              <w:rPr>
                <w:sz w:val="20"/>
                <w:szCs w:val="20"/>
                <w:color w:val="auto"/>
              </w:rPr>
            </w:pPr>
            <w:r>
              <w:rPr>
                <w:rFonts w:ascii="Arial" w:cs="Arial" w:eastAsia="Arial" w:hAnsi="Arial"/>
                <w:sz w:val="18"/>
                <w:szCs w:val="18"/>
                <w:color w:val="auto"/>
              </w:rPr>
              <w:t>•</w:t>
            </w:r>
          </w:p>
        </w:tc>
        <w:tc>
          <w:tcPr>
            <w:tcW w:w="5240" w:type="dxa"/>
            <w:vAlign w:val="bottom"/>
          </w:tcPr>
          <w:p>
            <w:pPr>
              <w:ind w:left="60"/>
              <w:spacing w:after="0"/>
              <w:rPr>
                <w:sz w:val="20"/>
                <w:szCs w:val="20"/>
                <w:color w:val="auto"/>
              </w:rPr>
            </w:pPr>
            <w:r>
              <w:rPr>
                <w:rFonts w:ascii="Arial" w:cs="Arial" w:eastAsia="Arial" w:hAnsi="Arial"/>
                <w:sz w:val="18"/>
                <w:szCs w:val="18"/>
                <w:color w:val="auto"/>
              </w:rPr>
              <w:t>Starwood Hotels &amp; Resorts Worldwide, Inc.</w:t>
            </w:r>
          </w:p>
        </w:tc>
      </w:tr>
      <w:tr>
        <w:trPr>
          <w:trHeight w:val="216"/>
        </w:trPr>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3940" w:type="dxa"/>
            <w:vAlign w:val="bottom"/>
          </w:tcPr>
          <w:p>
            <w:pPr>
              <w:ind w:left="60"/>
              <w:spacing w:after="0"/>
              <w:rPr>
                <w:sz w:val="20"/>
                <w:szCs w:val="20"/>
                <w:color w:val="auto"/>
              </w:rPr>
            </w:pPr>
            <w:r>
              <w:rPr>
                <w:rFonts w:ascii="Arial" w:cs="Arial" w:eastAsia="Arial" w:hAnsi="Arial"/>
                <w:sz w:val="18"/>
                <w:szCs w:val="18"/>
                <w:color w:val="auto"/>
              </w:rPr>
              <w:t>Boston Properties, Inc.</w:t>
            </w:r>
          </w:p>
        </w:tc>
        <w:tc>
          <w:tcPr>
            <w:tcW w:w="1800" w:type="dxa"/>
            <w:vAlign w:val="bottom"/>
          </w:tcPr>
          <w:p>
            <w:pPr>
              <w:ind w:left="1680"/>
              <w:spacing w:after="0"/>
              <w:rPr>
                <w:sz w:val="20"/>
                <w:szCs w:val="20"/>
                <w:color w:val="auto"/>
              </w:rPr>
            </w:pPr>
            <w:r>
              <w:rPr>
                <w:rFonts w:ascii="Arial" w:cs="Arial" w:eastAsia="Arial" w:hAnsi="Arial"/>
                <w:sz w:val="18"/>
                <w:szCs w:val="18"/>
                <w:color w:val="auto"/>
              </w:rPr>
              <w:t>•</w:t>
            </w:r>
          </w:p>
        </w:tc>
        <w:tc>
          <w:tcPr>
            <w:tcW w:w="5240" w:type="dxa"/>
            <w:vAlign w:val="bottom"/>
          </w:tcPr>
          <w:p>
            <w:pPr>
              <w:ind w:left="60"/>
              <w:spacing w:after="0"/>
              <w:rPr>
                <w:sz w:val="20"/>
                <w:szCs w:val="20"/>
                <w:color w:val="auto"/>
              </w:rPr>
            </w:pPr>
            <w:r>
              <w:rPr>
                <w:rFonts w:ascii="Arial" w:cs="Arial" w:eastAsia="Arial" w:hAnsi="Arial"/>
                <w:sz w:val="18"/>
                <w:szCs w:val="18"/>
                <w:color w:val="auto"/>
              </w:rPr>
              <w:t>Vornado Realty Trust</w:t>
            </w:r>
          </w:p>
        </w:tc>
      </w:tr>
      <w:tr>
        <w:trPr>
          <w:trHeight w:val="222"/>
        </w:trPr>
        <w:tc>
          <w:tcPr>
            <w:tcW w:w="4380" w:type="dxa"/>
            <w:vAlign w:val="bottom"/>
            <w:gridSpan w:val="2"/>
          </w:tcPr>
          <w:p>
            <w:pPr>
              <w:ind w:left="320"/>
              <w:spacing w:after="0"/>
              <w:rPr>
                <w:sz w:val="20"/>
                <w:szCs w:val="20"/>
                <w:color w:val="auto"/>
              </w:rPr>
            </w:pPr>
            <w:r>
              <w:rPr>
                <w:rFonts w:ascii="Arial" w:cs="Arial" w:eastAsia="Arial" w:hAnsi="Arial"/>
                <w:sz w:val="18"/>
                <w:szCs w:val="18"/>
                <w:color w:val="auto"/>
              </w:rPr>
              <w:t>•  Fortress Investment Group LLC</w:t>
            </w:r>
          </w:p>
        </w:tc>
        <w:tc>
          <w:tcPr>
            <w:tcW w:w="180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432"/>
        </w:trPr>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0" w:type="dxa"/>
            <w:vAlign w:val="bottom"/>
          </w:tcPr>
          <w:p>
            <w:pPr>
              <w:ind w:left="1240"/>
              <w:spacing w:after="0"/>
              <w:rPr>
                <w:sz w:val="20"/>
                <w:szCs w:val="20"/>
                <w:color w:val="auto"/>
              </w:rPr>
            </w:pPr>
            <w:r>
              <w:rPr>
                <w:rFonts w:ascii="Arial" w:cs="Arial" w:eastAsia="Arial" w:hAnsi="Arial"/>
                <w:sz w:val="18"/>
                <w:szCs w:val="18"/>
                <w:color w:val="auto"/>
              </w:rPr>
              <w:t>28</w:t>
            </w:r>
          </w:p>
        </w:tc>
        <w:tc>
          <w:tcPr>
            <w:tcW w:w="5240" w:type="dxa"/>
            <w:vAlign w:val="bottom"/>
          </w:tcPr>
          <w:p>
            <w:pPr>
              <w:spacing w:after="0"/>
              <w:rPr>
                <w:sz w:val="24"/>
                <w:szCs w:val="24"/>
                <w:color w:val="auto"/>
              </w:rPr>
            </w:pPr>
          </w:p>
        </w:tc>
      </w:tr>
      <w:tr>
        <w:trPr>
          <w:trHeight w:val="228"/>
        </w:trPr>
        <w:tc>
          <w:tcPr>
            <w:tcW w:w="4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analyzing our Chief Executive Officer's total compensation for 2014, the Committee reviewed an analysis of total compensation for 2013 paid to the chief executive officer or comparable real estate principal for each company in our selected compensation peer group, which was prepared by our compensation consultants based on publicly available information. Several of these companies are private equity firms where a substantial portion of executives' total compensation is paid in the form of distributions. The Committee considered total compensation information from these peer companies that included the amount of distributions received by these executives, where such amounts could be obtained from publicly available information. The Committee did not target a particular percentile for our Chief Executive Officer's total compensation for 2014, but did use this analysis to confirm that our Chief Executive Officer's total compensation for 2014 was within an appropriate range of the total compensation received by the chief executive officers or comparable real estate principal of these peers, considering relative size and performance. With respect to size, we ranked at or slightly below the median of these peers with respect to common equity market capitalization, total assets and total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Risk Associated with Our Executive Compensation Plans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setting compensation, we also consider the risks to our stockholders and to achievement of our goals that may be inherent in the compensation program.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that it is not reasonably likely that our compensation policies and practices will have a material adverse effect on us.</w:t>
      </w:r>
    </w:p>
    <w:p>
      <w:pPr>
        <w:spacing w:after="0" w:line="219"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a significant portion of our executive's compensation is performance-based and "at-risk," we believe our executive compensation plans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208" w:lineRule="exact"/>
        <w:rPr>
          <w:sz w:val="20"/>
          <w:szCs w:val="20"/>
          <w:color w:val="auto"/>
        </w:rPr>
      </w:pPr>
    </w:p>
    <w:p>
      <w:pPr>
        <w:jc w:val="both"/>
        <w:ind w:left="1080" w:right="80" w:hanging="532"/>
        <w:spacing w:after="0" w:line="335"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evaluate performance based upon the achievement of a variety of business objectives and goals including, by way of example, strength of our balance sheet, FFO growth, occupancy and leasing rates, TRS performance (both on an absolute and relative basis) and completion of successful debt and equity offerings, that we believe correlate to long-term creation of stockholder value and that are affected by management decisions;</w:t>
      </w:r>
    </w:p>
    <w:p>
      <w:pPr>
        <w:spacing w:after="0" w:line="169" w:lineRule="exact"/>
        <w:rPr>
          <w:rFonts w:ascii="Arial" w:cs="Arial" w:eastAsia="Arial" w:hAnsi="Arial"/>
          <w:sz w:val="15"/>
          <w:szCs w:val="15"/>
          <w:color w:val="auto"/>
        </w:rPr>
      </w:pPr>
    </w:p>
    <w:p>
      <w:pPr>
        <w:ind w:left="1080" w:right="30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adopted a balanced approach to equity compensation that incorporates the use of various equity-based compensation vehicles. By utilizing a balanced equity compensation mix comprised of several different types of equity-based compensation vehicles, including full value equity awards that retain value even in a depressed market, we lessen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183" w:lineRule="exact"/>
        <w:rPr>
          <w:rFonts w:ascii="Arial" w:cs="Arial" w:eastAsia="Arial" w:hAnsi="Arial"/>
          <w:sz w:val="16"/>
          <w:szCs w:val="16"/>
          <w:color w:val="auto"/>
        </w:rPr>
      </w:pPr>
    </w:p>
    <w:p>
      <w:pPr>
        <w:jc w:val="both"/>
        <w:ind w:left="1080" w:right="220" w:hanging="532"/>
        <w:spacing w:after="0" w:line="30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provide a significant portion of long-term incentive compensation in the form of Long-Term Incentive Awards, such as awards that may be earned under our 2014 Outperformance Plan. The amounts that ultimately may be earned under this program are tied to how we perform over a three-year period, which focuses management on sustaining our long-term performance;</w:t>
      </w:r>
    </w:p>
    <w:p>
      <w:pPr>
        <w:spacing w:after="0" w:line="174"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consider non-financial and other qualitative performance factors in determining actual compensation payouts;</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provide a significant portion of each executive's annual compensation in the form of equity-based compensation, which results in our executives having built sizable holdings of equity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Company. We note that executives are required to maintain sizable holdings of equity in the Company under the terms of our stock ownership guidelines, which aligns an appropriate portion of their personal wealth to our long-term performance; and</w:t>
      </w:r>
    </w:p>
    <w:p>
      <w:pPr>
        <w:spacing w:after="0" w:line="199" w:lineRule="exact"/>
        <w:rPr>
          <w:sz w:val="20"/>
          <w:szCs w:val="20"/>
          <w:color w:val="auto"/>
        </w:rPr>
      </w:pPr>
    </w:p>
    <w:p>
      <w:pPr>
        <w:ind w:left="1080" w:right="6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39" w:lineRule="exact"/>
        <w:rPr>
          <w:sz w:val="20"/>
          <w:szCs w:val="20"/>
          <w:color w:val="auto"/>
        </w:rPr>
      </w:pPr>
    </w:p>
    <w:p>
      <w:pPr>
        <w:ind w:right="240" w:firstLine="351"/>
        <w:spacing w:after="0" w:line="286" w:lineRule="auto"/>
        <w:rPr>
          <w:sz w:val="20"/>
          <w:szCs w:val="20"/>
          <w:color w:val="auto"/>
        </w:rPr>
      </w:pPr>
      <w:r>
        <w:rPr>
          <w:rFonts w:ascii="Arial" w:cs="Arial" w:eastAsia="Arial" w:hAnsi="Arial"/>
          <w:sz w:val="16"/>
          <w:szCs w:val="16"/>
          <w:color w:val="auto"/>
        </w:rPr>
        <w:t>In conclusion, our executive compensation program is structured so that (i) we avoid the type of disproportionately large short-term incentives that could encourage executives to take risks that may not be in our long-term interests, (ii) we provide incentives to manage the Company for long-term performance,</w:t>
      </w:r>
    </w:p>
    <w:p>
      <w:pPr>
        <w:ind w:right="80" w:firstLine="8"/>
        <w:spacing w:after="0" w:line="323" w:lineRule="auto"/>
        <w:tabs>
          <w:tab w:leader="none" w:pos="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adopted a policy for recoupment of incentive payments under certain circumstances and (iv) a significant amount of the wealth of our executives is tied to our long-term success. We believe this combination of factors encourages our executives to manage the Company in a prudent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Compensation Programs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adopted an executive compensation philosophy that rewards the achievement of annual and long-term goals of both the Company and individual executives. Our compensation programs are designed to achieve the following objectives:</w:t>
      </w:r>
    </w:p>
    <w:p>
      <w:pPr>
        <w:spacing w:after="0" w:line="21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performance-based incentives that create a strong alignment of management and stockholder interests;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attract and retain leadership in a market that is highly competitive for New York City commercial real estate management talent; and</w:t>
      </w:r>
    </w:p>
    <w:p>
      <w:pPr>
        <w:spacing w:after="0" w:line="261"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achieve an appropriate balance between risk and reward in our compensation programs that does not create incentives for unnecessary or excessive risk taking.</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order to reach these goals, the Committee, in consultation with our Chief Executive Officer and the Committee's independent compensation consultant, has adopted executive compensation practices that follow a pay-for-performance philosophy. Our primary business objective of maximizing TRS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compensation currently has three primary components:</w:t>
      </w:r>
    </w:p>
    <w:p>
      <w:pPr>
        <w:spacing w:after="0" w:line="252"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base salary and deferred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incentive awards, which include cash and equity bonuses;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equity incentive awards, which include stock options and full-value equity awards, which may be granted pursuant to an employment agreement, our outperformance plans or otherwise.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detailed discussion of each of these components is contained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 and Deferred Compensation</w:t>
      </w:r>
    </w:p>
    <w:p>
      <w:pPr>
        <w:spacing w:after="0" w:line="225"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Base salaries are established at levels intended to reflect the scope of each executive's duties and responsibilities and further take into account the competitive market compensation paid by other companies for similar positions. However, they do not serve our objective of paying for performance, and therefore are intentionally structured to be a relatively low percentage of total compensation.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sets forth the annual base salaries for our named executive officers for 2013 and 2014, which reflect amounts agreed to in each executive's employment agreement:</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Base Salary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Base Salary</w:t>
            </w: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James Mead</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525,000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Levine</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to base salary, each of Messrs. Holliday, Green and Mathias also received a contribution of deferred notional stock units that are subject to vesting based on continued employment during a one year period following the contribution and are only paid upon termination of employment or a change in control. The amounts of deferred compensation that each of Messrs. Holliday, Green and Mathias received for 2014 was equal to the minimum amount that we had previously agreed to provide under the executive's employment agreement and associated deferred compensation agreement that was in effect for 2014. This deferred compensation is viewed as being similar to annual base salary, in that fixed amounts are granted each year regardless of performance. However, because the value of this deferred compensation is tied to the value of our common stock and these executives will not receive this deferred compensation until the termination of their employment or a change in control, this deferred compensation program further establishes alignment of management and stockholder interests and helps ensure that the executives remain focused on long-term stockholder value creation. The following table sets forth the deferred compensation grants made to our executives in 2014:</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Deferred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Notional Stock</w:t>
            </w:r>
          </w:p>
        </w:tc>
        <w:tc>
          <w:tcPr>
            <w:tcW w:w="0" w:type="dxa"/>
            <w:vAlign w:val="bottom"/>
          </w:tcPr>
          <w:p>
            <w:pPr>
              <w:spacing w:after="0"/>
              <w:rPr>
                <w:sz w:val="1"/>
                <w:szCs w:val="1"/>
                <w:color w:val="auto"/>
              </w:rPr>
            </w:pPr>
          </w:p>
        </w:tc>
      </w:t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Units(1)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4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45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4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80" w:hanging="531"/>
        <w:spacing w:after="0" w:line="318" w:lineRule="auto"/>
        <w:tabs>
          <w:tab w:leader="none" w:pos="1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Deferred compensation contributions were converted into notional stock units based on the current market price of our common stock on the date of the contribution and the ultimate payout determined will be determined based on the performance of our common stock between the date of the contribution and the payment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pay annual incentive awards in the form of annual cash and equity bonuses to focus and reward our named executive officers on achieving key corporate financial and operational objectives and individual goals. Based in part on the feedback we received in connection with our outreach efforts relating to executive compensation, the Committee decided to revise the structure of our annual incentive award program for 2014. For 2014, the entire amount of the annual cash bonuses paid to our top three named executive officers was determined pursuant to a new formulaic annual cash bonus program, which is described in more detail below. The annual cash bonuses for our other named executive officers were determined by the Committee in a manner similar to the historical determination of annual incentive awards. Short-term and long-term performance of our Company and the executive, as well as the Committee's view of appropriate annual incentive awards in light of the executive's historical compensation, skill, experience and position and competitive market factors, were all taken into account. These factors were also used in determining grants under our an annual equity bonus program for all of our named executive officers as part of our overall annual incentive award program.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Formulaic Annual Cash Bonus Program</w:t>
      </w:r>
    </w:p>
    <w:p>
      <w:pPr>
        <w:spacing w:after="0" w:line="225" w:lineRule="exact"/>
        <w:rPr>
          <w:sz w:val="20"/>
          <w:szCs w:val="20"/>
          <w:color w:val="auto"/>
        </w:rPr>
      </w:pPr>
    </w:p>
    <w:p>
      <w:pPr>
        <w:ind w:right="340" w:firstLine="341"/>
        <w:spacing w:after="0" w:line="294" w:lineRule="auto"/>
        <w:rPr>
          <w:sz w:val="20"/>
          <w:szCs w:val="20"/>
          <w:color w:val="auto"/>
        </w:rPr>
      </w:pPr>
      <w:r>
        <w:rPr>
          <w:rFonts w:ascii="Arial" w:cs="Arial" w:eastAsia="Arial" w:hAnsi="Arial"/>
          <w:sz w:val="16"/>
          <w:szCs w:val="16"/>
          <w:color w:val="auto"/>
        </w:rPr>
        <w:t>As noted above, we restructured our annual incentive awards program to determine the entire annual cash bonuses to our top three named executive. Pursuant to this program, the Committee established specific threshold, target and maximum cash bonus amounts that each of our top three named executive officers could earn for 2014 and established specific performance criteria that were to be used in a formulaic manner to determine 60% of each of these executives' bonuses. For 2014, each of Messrs. Holliday, Green and Mathias were eligible to earn the following percentages of his base salary (with linear interpolation used to determine the percentage earned for performance that falls between threshold, target and/or maximum):</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Threshold</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Target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Sixty percent of each executive's annual cash bonus was determined in a formulaic manner based on the level of our achievement of a number of performance criteria as compared to the level established in advance by the Committee. The following set forth the specific performance criteria selected for 2014, the relative weighting of each of these criteria, the threshold, target and maximum performance levels established by the Committee in advance for each of these criteria and our actual 2014 results for each of these criteria:</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61"/>
        </w:trPr>
        <w:tc>
          <w:tcPr>
            <w:tcW w:w="2820" w:type="dxa"/>
            <w:vAlign w:val="bottom"/>
            <w:gridSpan w:val="4"/>
          </w:tcPr>
          <w:p>
            <w:pPr>
              <w:spacing w:after="0"/>
              <w:rPr>
                <w:sz w:val="20"/>
                <w:szCs w:val="20"/>
                <w:color w:val="auto"/>
              </w:rPr>
            </w:pPr>
            <w:r>
              <w:rPr>
                <w:rFonts w:ascii="Arial" w:cs="Arial" w:eastAsia="Arial" w:hAnsi="Arial"/>
                <w:sz w:val="14"/>
                <w:szCs w:val="14"/>
                <w:b w:val="1"/>
                <w:bCs w:val="1"/>
                <w:color w:val="auto"/>
              </w:rPr>
              <w:t>Performance criteria</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Levels</w:t>
            </w:r>
          </w:p>
        </w:tc>
        <w:tc>
          <w:tcPr>
            <w:tcW w:w="1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Threshold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Target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Maximum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Core FFO per share(1)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w w:val="95"/>
              </w:rPr>
              <w:t>Annual square footage of Manhattan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gridSpan w:val="3"/>
          </w:tcPr>
          <w:p>
            <w:pPr>
              <w:ind w:left="160"/>
              <w:spacing w:after="0"/>
              <w:rPr>
                <w:sz w:val="20"/>
                <w:szCs w:val="20"/>
                <w:color w:val="auto"/>
              </w:rPr>
            </w:pPr>
            <w:r>
              <w:rPr>
                <w:rFonts w:ascii="Arial" w:cs="Arial" w:eastAsia="Arial" w:hAnsi="Arial"/>
                <w:sz w:val="18"/>
                <w:szCs w:val="18"/>
                <w:color w:val="auto"/>
              </w:rPr>
              <w:t>leases signed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1,750,000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2,079,317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Same-store Manhattan(2) portfolio</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Mark-to-market on signed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gridSpan w:val="3"/>
          </w:tcPr>
          <w:p>
            <w:pPr>
              <w:ind w:left="160"/>
              <w:spacing w:after="0"/>
              <w:rPr>
                <w:sz w:val="20"/>
                <w:szCs w:val="20"/>
                <w:color w:val="auto"/>
              </w:rPr>
            </w:pPr>
            <w:r>
              <w:rPr>
                <w:rFonts w:ascii="Arial" w:cs="Arial" w:eastAsia="Arial" w:hAnsi="Arial"/>
                <w:sz w:val="18"/>
                <w:szCs w:val="18"/>
                <w:color w:val="auto"/>
              </w:rPr>
              <w:t>Manhattan leases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Same-store cash NOI growth</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Dividend rate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Relative TRS for 2014(3)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w w:val="89"/>
              </w:rPr>
              <w:t>40</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Percentile</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w w:val="87"/>
              </w:rPr>
              <w:t>60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w w:val="89"/>
              </w:rPr>
              <w:t>80</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Percentile</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w w:val="87"/>
              </w:rPr>
              <w:t>80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Absolute TRS for 2014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500" w:hanging="531"/>
        <w:spacing w:after="0" w:line="239" w:lineRule="auto"/>
        <w:tabs>
          <w:tab w:leader="none" w:pos="1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Core FFO per share represents the adjusted FFO per share metric that we report to investors. For 2014, this number represented FFO per share before transaction costs of $9.1 million, or $0.09 per share.</w:t>
      </w:r>
    </w:p>
    <w:p>
      <w:pPr>
        <w:spacing w:after="0" w:line="111" w:lineRule="exact"/>
        <w:rPr>
          <w:rFonts w:ascii="Arial" w:cs="Arial" w:eastAsia="Arial" w:hAnsi="Arial"/>
          <w:sz w:val="14"/>
          <w:szCs w:val="14"/>
          <w:color w:val="auto"/>
        </w:rPr>
      </w:pPr>
    </w:p>
    <w:p>
      <w:pPr>
        <w:ind w:left="1680" w:hanging="531"/>
        <w:spacing w:after="0" w:line="230" w:lineRule="auto"/>
        <w:tabs>
          <w:tab w:leader="none" w:pos="1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Same-store Manhattan portfolio occupancy reflects the occupancy of the properties that comprised the same store portfolio at the beginning of 2014 as of December 31, 2014, inclusive of leases signed but not yet commenced. For properties that were removed from the same store portfolio during 2014 because they were sold (i.e., 673 First Avenue), occupancy is reflected as of the date of the sale. For properties that were removed from the same store portfolio during 2014, but we continue to manage, (i.e., 388-390 Greenwich Street), occupancy is reflected as of December 31, 2014.</w:t>
      </w:r>
    </w:p>
    <w:p>
      <w:pPr>
        <w:spacing w:after="0" w:line="112" w:lineRule="exact"/>
        <w:rPr>
          <w:rFonts w:ascii="Arial" w:cs="Arial" w:eastAsia="Arial" w:hAnsi="Arial"/>
          <w:sz w:val="14"/>
          <w:szCs w:val="14"/>
          <w:color w:val="auto"/>
        </w:rPr>
      </w:pPr>
    </w:p>
    <w:p>
      <w:pPr>
        <w:ind w:left="1680" w:hanging="531"/>
        <w:spacing w:after="0"/>
        <w:tabs>
          <w:tab w:leader="none" w:pos="1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Relative TRS for 2014 was based on our TRS relative to the TRS of the constituents of the SNL US REIT Office Index.</w:t>
      </w:r>
    </w:p>
    <w:p>
      <w:pPr>
        <w:spacing w:after="0" w:line="20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Consistent with the timing of prior years' annual cash bonus determinations, determinations under the formulaic annual cash bonus program were made in December 2014 based on a combination of actual results through that point in time and estimates of full year results. If actual results, once they are determined, would have resulted in a different payout, the amount of the next year's annual cash bonus would be appropriately adjusted. For 2014, actual results would not have resulted in a different payout. Based on our performance as measured against each of the specific performance levels set forth above, each of our executives earned the maximum amount with respect to the formulaic component of our cash bonus program.</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remaining 40% of each executive's annual cash bonus was determined by the Committee based on specific financial and operational data in relation to 2014 performance goals, but not in a formulaic manner. In determining this component of each executive's annual cash bonus, the Committee considered our performance as compared to our initial FFO per share guidance for 2014 and the other specific company goals and objectives for 2014 that were initially presented at our investor day conference in December 2013 as set forth below:</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2014 Goals and Objectives</w:t>
            </w:r>
          </w:p>
        </w:tc>
        <w:tc>
          <w:tcPr>
            <w:tcW w:w="2560" w:type="dxa"/>
            <w:vAlign w:val="bottom"/>
          </w:tcPr>
          <w:p>
            <w:pPr>
              <w:jc w:val="right"/>
              <w:ind w:right="833"/>
              <w:spacing w:after="0"/>
              <w:rPr>
                <w:sz w:val="20"/>
                <w:szCs w:val="20"/>
                <w:color w:val="auto"/>
              </w:rPr>
            </w:pPr>
            <w:r>
              <w:rPr>
                <w:rFonts w:ascii="Arial" w:cs="Arial" w:eastAsia="Arial" w:hAnsi="Arial"/>
                <w:sz w:val="14"/>
                <w:szCs w:val="14"/>
                <w:b w:val="1"/>
                <w:bCs w:val="1"/>
                <w:color w:val="auto"/>
              </w:rPr>
              <w:t>2014 Results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per share initial guidance of $5.62-$5.72 per share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2,000,000 square feet of Manhattan leases signed</w:t>
            </w:r>
          </w:p>
        </w:tc>
        <w:tc>
          <w:tcPr>
            <w:tcW w:w="2560" w:type="dxa"/>
            <w:vAlign w:val="bottom"/>
          </w:tcPr>
          <w:p>
            <w:pPr>
              <w:jc w:val="right"/>
              <w:spacing w:after="0"/>
              <w:rPr>
                <w:sz w:val="20"/>
                <w:szCs w:val="20"/>
                <w:color w:val="auto"/>
              </w:rPr>
            </w:pPr>
            <w:r>
              <w:rPr>
                <w:rFonts w:ascii="Arial" w:cs="Arial" w:eastAsia="Arial" w:hAnsi="Arial"/>
                <w:sz w:val="18"/>
                <w:szCs w:val="18"/>
                <w:color w:val="auto"/>
              </w:rPr>
              <w:t>2,079,317 sq. ft. signed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96.0% same-store Manhattan portfolio occupancy</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5-8% mark-to-market on signed Manhattan office leases</w:t>
            </w:r>
          </w:p>
        </w:tc>
        <w:tc>
          <w:tcPr>
            <w:tcW w:w="25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 same-store cash NOI growth</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$400 million of acquisitions of office properties</w:t>
            </w:r>
          </w:p>
        </w:tc>
        <w:tc>
          <w:tcPr>
            <w:tcW w:w="2560" w:type="dxa"/>
            <w:vAlign w:val="bottom"/>
          </w:tcPr>
          <w:p>
            <w:pPr>
              <w:jc w:val="right"/>
              <w:spacing w:after="0"/>
              <w:rPr>
                <w:sz w:val="20"/>
                <w:szCs w:val="20"/>
                <w:color w:val="auto"/>
              </w:rPr>
            </w:pPr>
            <w:r>
              <w:rPr>
                <w:rFonts w:ascii="Arial" w:cs="Arial" w:eastAsia="Arial" w:hAnsi="Arial"/>
                <w:sz w:val="18"/>
                <w:szCs w:val="18"/>
                <w:color w:val="auto"/>
              </w:rPr>
              <w:t>$2.6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 million of office property dispositions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$500 million of investments in residential and retail properties</w:t>
            </w:r>
          </w:p>
        </w:tc>
        <w:tc>
          <w:tcPr>
            <w:tcW w:w="2560" w:type="dxa"/>
            <w:vAlign w:val="bottom"/>
          </w:tcPr>
          <w:p>
            <w:pPr>
              <w:jc w:val="right"/>
              <w:spacing w:after="0"/>
              <w:rPr>
                <w:sz w:val="20"/>
                <w:szCs w:val="20"/>
                <w:color w:val="auto"/>
              </w:rPr>
            </w:pPr>
            <w:r>
              <w:rPr>
                <w:rFonts w:ascii="Arial" w:cs="Arial" w:eastAsia="Arial" w:hAnsi="Arial"/>
                <w:sz w:val="18"/>
                <w:szCs w:val="18"/>
                <w:color w:val="auto"/>
              </w:rPr>
              <w:t>$435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 million of retained debt and preferred equity originations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Sign retail anchor for 650 Fifth</w:t>
            </w:r>
          </w:p>
        </w:tc>
        <w:tc>
          <w:tcPr>
            <w:tcW w:w="2560" w:type="dxa"/>
            <w:vAlign w:val="bottom"/>
          </w:tcPr>
          <w:p>
            <w:pPr>
              <w:jc w:val="right"/>
              <w:spacing w:after="0"/>
              <w:rPr>
                <w:sz w:val="20"/>
                <w:szCs w:val="20"/>
                <w:color w:val="auto"/>
              </w:rPr>
            </w:pPr>
            <w:r>
              <w:rPr>
                <w:rFonts w:ascii="Arial" w:cs="Arial" w:eastAsia="Arial" w:hAnsi="Arial"/>
                <w:sz w:val="18"/>
                <w:szCs w:val="18"/>
                <w:color w:val="auto"/>
              </w:rPr>
              <w:t>Did not sign retail anchor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 lease extension at 388-390 Greenwich</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Retained lease extension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Dispose of at least one suburban asset</w:t>
            </w:r>
          </w:p>
        </w:tc>
        <w:tc>
          <w:tcPr>
            <w:tcW w:w="2560" w:type="dxa"/>
            <w:vAlign w:val="bottom"/>
          </w:tcPr>
          <w:p>
            <w:pPr>
              <w:jc w:val="right"/>
              <w:spacing w:after="0"/>
              <w:rPr>
                <w:sz w:val="20"/>
                <w:szCs w:val="20"/>
                <w:color w:val="auto"/>
              </w:rPr>
            </w:pPr>
            <w:r>
              <w:rPr>
                <w:rFonts w:ascii="Arial" w:cs="Arial" w:eastAsia="Arial" w:hAnsi="Arial"/>
                <w:sz w:val="18"/>
                <w:szCs w:val="18"/>
                <w:color w:val="auto"/>
              </w:rPr>
              <w:t>Sold one suburban asset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increase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TRS greater than 10%</w:t>
            </w:r>
          </w:p>
        </w:tc>
        <w:tc>
          <w:tcPr>
            <w:tcW w:w="2560" w:type="dxa"/>
            <w:vAlign w:val="bottom"/>
          </w:tcPr>
          <w:p>
            <w:pPr>
              <w:jc w:val="right"/>
              <w:spacing w:after="0"/>
              <w:rPr>
                <w:sz w:val="20"/>
                <w:szCs w:val="20"/>
                <w:color w:val="auto"/>
              </w:rPr>
            </w:pPr>
            <w:r>
              <w:rPr>
                <w:rFonts w:ascii="Arial" w:cs="Arial" w:eastAsia="Arial" w:hAnsi="Arial"/>
                <w:sz w:val="18"/>
                <w:szCs w:val="18"/>
                <w:color w:val="auto"/>
              </w:rPr>
              <w:t>TRS of 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TRS in excess of MSCI US REIT Index by 300 basis points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TRS &lt; Index + 300 basis points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Refinance out basis in 724 Fifth</w:t>
            </w:r>
          </w:p>
        </w:tc>
        <w:tc>
          <w:tcPr>
            <w:tcW w:w="2560" w:type="dxa"/>
            <w:vAlign w:val="bottom"/>
          </w:tcPr>
          <w:p>
            <w:pPr>
              <w:jc w:val="right"/>
              <w:spacing w:after="0"/>
              <w:rPr>
                <w:sz w:val="20"/>
                <w:szCs w:val="20"/>
                <w:color w:val="auto"/>
              </w:rPr>
            </w:pPr>
            <w:r>
              <w:rPr>
                <w:rFonts w:ascii="Arial" w:cs="Arial" w:eastAsia="Arial" w:hAnsi="Arial"/>
                <w:sz w:val="18"/>
                <w:szCs w:val="18"/>
                <w:color w:val="auto"/>
              </w:rPr>
              <w:t>Completed refinancing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Apply for special permit for One Vanderbilt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Applied for special permit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Growth portfolio EBITDA increase of $40 million</w:t>
            </w:r>
          </w:p>
        </w:tc>
        <w:tc>
          <w:tcPr>
            <w:tcW w:w="2560" w:type="dxa"/>
            <w:vAlign w:val="bottom"/>
          </w:tcPr>
          <w:p>
            <w:pPr>
              <w:jc w:val="right"/>
              <w:spacing w:after="0"/>
              <w:rPr>
                <w:sz w:val="20"/>
                <w:szCs w:val="20"/>
                <w:color w:val="auto"/>
              </w:rPr>
            </w:pPr>
            <w:r>
              <w:rPr>
                <w:rFonts w:ascii="Arial" w:cs="Arial" w:eastAsia="Arial" w:hAnsi="Arial"/>
                <w:sz w:val="18"/>
                <w:szCs w:val="18"/>
                <w:color w:val="auto"/>
              </w:rPr>
              <w:t>Increase of &lt;$40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Obtain Fitch investment grade rating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Obtained investment grade rating</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a result of our superior performance as reflected in the level of our achievement of these goals and objectives, the Committee decided to award each of our executives the maximum amount with respect to the non-formulaic component of our cash bonus program.</w:t>
      </w:r>
    </w:p>
    <w:p>
      <w:pPr>
        <w:spacing w:after="0" w:line="186"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2014, Messrs. Holliday, Green and Mathias were permitted to elect to receive LTIP units in lieu of any cash bonus earned under our annual cash bonus program. The number of LTIP units to be issued was to be based on the closing price of our common stock on the date on which the Committee determined the amount of the cash bonus that was earned or another date selected by the Committee within 15 days thereafter. The LTIP units were to be vested upon grant, but subject to a no-sell restriction until two years after the date they were granted. For 2014, Mr. Holliday elected to receive 65% of his annual cash bonus in LTIP units and Messrs. Green and Mathias each elected to receive his entire annual cash bonus in LTIP units.</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Based on the above actual 2014 performance and the Committee's determinations with respect to 2014 performance, the following 2014 cash bonuses were awarded to Messrs. Holliday, Green and Mathias, respectively, pursuant to our formulaic annual cash bonus program and were paid as follows, based on each executive's individual elections: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2014 Formulaic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8"/>
              </w:rPr>
              <w:t>2014 Formulaic</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2014 Formulaic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3"/>
              </w:rPr>
              <w:t>Cash Bonus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3"/>
              </w:rPr>
              <w:t>Cash Bonus</w:t>
            </w:r>
          </w:p>
        </w:tc>
        <w:tc>
          <w:tcPr>
            <w:tcW w:w="0" w:type="dxa"/>
            <w:vAlign w:val="bottom"/>
          </w:tcPr>
          <w:p>
            <w:pPr>
              <w:spacing w:after="0"/>
              <w:rPr>
                <w:sz w:val="1"/>
                <w:szCs w:val="1"/>
                <w:color w:val="auto"/>
              </w:rPr>
            </w:pPr>
          </w:p>
        </w:tc>
      </w:tr>
      <w:tr>
        <w:trPr>
          <w:trHeight w:val="161"/>
        </w:trPr>
        <w:tc>
          <w:tcPr>
            <w:tcW w:w="398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Executive</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Cash Bonus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Paid in Cash</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0"/>
              </w:rPr>
              <w:t>Paid in Equity</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1,875,000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80" w:type="dxa"/>
            <w:vAlign w:val="bottom"/>
          </w:tcPr>
          <w:p>
            <w:pPr>
              <w:jc w:val="right"/>
              <w:ind w:right="672"/>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number of LTIP units that each of these executives received with respect to the portion of the 2014 cash bonus that was paid in equity was as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Holliday—17,007; Mr. Green—15,574 and Mr. Mathias—16,612.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Equity Bonuses and Other Cash Bonuses</w:t>
      </w:r>
    </w:p>
    <w:p>
      <w:pPr>
        <w:spacing w:after="0" w:line="225"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We also maintain an equity bonus program for our top three named executive officers and provide annual bonuses for our other named executive officers that are determined by the Committee, in its discretion, based on the short-term and long-term performance of our Company and the executive, the Committee's view of appropriate annual incentive awards in light of the executive's historical compensation, skill, experience and position, competitive market factors and such other factors as are determined appropriate by the Committee. In making these awards for 2014, the Committee sought to find a balance between</w:t>
      </w:r>
    </w:p>
    <w:p>
      <w:pPr>
        <w:spacing w:after="0" w:line="3" w:lineRule="exact"/>
        <w:rPr>
          <w:sz w:val="20"/>
          <w:szCs w:val="20"/>
          <w:color w:val="auto"/>
        </w:rPr>
      </w:pPr>
    </w:p>
    <w:p>
      <w:pPr>
        <w:ind w:right="140" w:firstLine="8"/>
        <w:spacing w:after="0" w:line="287" w:lineRule="auto"/>
        <w:tabs>
          <w:tab w:leader="none" w:pos="2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acknowledging the significant operational achievements attained during the year, as highlighted above, (ii) ensuring that annual incentive award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(iii) continuing to ensure our compensation programs create shoulder-to-shoulder alignment of management and stockholder interests by appropriately rewarding our named executive officers for the attainment of performance achievements that drive long-term value creation and (iv) rewarding our continued superior long-term TRS performance. The differences in compensation awarded to our named executive officers are generally a function of the executive's position and authority, as well as the competitive landscape for executives in similar positions in the New York City commercial real estate industry. For 2014, the Committee approved a cash bonus of $1,100,000 for Mr. Mead and the following annual equity bonus awards for Messrs. Holliday, Green, Mathias and Levine:</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Equity Bonus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Andrew S. Levine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Mr. Mead's bonus was paid entirely in cash primarily because of the transition in the Chief Financial Officer role that was to occur on January 1, 2015. The 2014 equity bonuses paid to each of our other named executive officers were paid in early 2015 in the form of LTIP units that were vested upon grant, but subject to a no-sell restriction until two years after the date they were granted. Our named executive officers receive the following number of LTIP units for these equity bonuses: Mr. Holliday—40,286; Mr. Green—21,804; Mr. Mathias—30,733 and Mr. Levine—9,968.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Long-term equity incentives have been provided to our named executive officers through the grant of stock options, restricted stock, restricted stock units and/or LTIP units pursuant to our outperformance plans and in connection with new or extended employment agreements, and the majority of these awards have included performance-based vesting hurdles that must be met in order for recipients to earn them. The grant of equity awards links a named executive officer's compensation and net worth directly to the performance of our stock price as well as the achievement of other performance-based vesting hurdles in some cases, which we believe encourages our named executive officers to make decisions with an ownership mentality and provides alignment of interest with our stockholders. Due to these features of long-term equity incentive awards, the Committee has made these awards a central part of our executive compensation program.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Outperformance Plans</w:t>
      </w:r>
    </w:p>
    <w:p>
      <w:pPr>
        <w:spacing w:after="0" w:line="225" w:lineRule="exact"/>
        <w:rPr>
          <w:sz w:val="20"/>
          <w:szCs w:val="20"/>
          <w:color w:val="auto"/>
        </w:rPr>
      </w:pPr>
    </w:p>
    <w:p>
      <w:pPr>
        <w:ind w:right="180" w:firstLine="341"/>
        <w:spacing w:after="0" w:line="290" w:lineRule="auto"/>
        <w:rPr>
          <w:sz w:val="20"/>
          <w:szCs w:val="20"/>
          <w:color w:val="auto"/>
        </w:rPr>
      </w:pPr>
      <w:r>
        <w:rPr>
          <w:rFonts w:ascii="Arial" w:cs="Arial" w:eastAsia="Arial" w:hAnsi="Arial"/>
          <w:sz w:val="16"/>
          <w:szCs w:val="16"/>
          <w:color w:val="auto"/>
        </w:rPr>
        <w:t>A main component of our long-term equity incentive award program is our outperformance plans. Our outperformance plans provide equity awards to our named executive officers and others that are subject to performance-based vesting hurdles based on TRS or stock price appreciation over a multi-year period, subject to potential acceleration in some circumstances. These outperformance plans incorporate challenging performance hurdles and during periods where stockholders did not realize superior returns, such as during 2008 and 2009, our outperformance plans did not provide payouts. In addition to the performance-based vesting hurdles, all of these equity awards have additional time-based vesting provisions of four to five years in the aggregate with principally back-end vesting, based on continued employment, that act as a retention device and provide a strong incentive to the executives to increase stockholder value during the vesting period.</w:t>
      </w:r>
    </w:p>
    <w:p>
      <w:pPr>
        <w:spacing w:after="0" w:line="172"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Our outperformance plans are designed to provide strong and direct alignment of our executive's interests with long-term stockholder interests. As a result, historically, we have provided a meaningful percentage of our executives' total compensation in the form of equity awards under our outperformance plans. We anticipate continuing to utilize these types of plans as a significant component of our future compensation program.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2014, three notable events occurred with respect to our outperformance plans:</w:t>
      </w:r>
    </w:p>
    <w:p>
      <w:pPr>
        <w:spacing w:after="0" w:line="239"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three-year performance period for our 2011 Outperformance Plan concluded and, as a result of the fact that our aggregate total return exceeded $2.6 billion during that performance period, we achieved maximum performance;</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granted additional LTIP units to substantially all of the participants in our 2011 Outperformance Plan in recognition of our strong continued stock price appreciation during the three-year performance period under our 2011 Outperformance Plan, which exceeded the level needed to achieve maximum performance under the plan; and</w:t>
      </w:r>
    </w:p>
    <w:p>
      <w:pPr>
        <w:spacing w:after="0" w:line="207" w:lineRule="exact"/>
        <w:rPr>
          <w:rFonts w:ascii="Arial" w:cs="Arial" w:eastAsia="Arial" w:hAnsi="Arial"/>
          <w:sz w:val="18"/>
          <w:szCs w:val="18"/>
          <w:color w:val="auto"/>
        </w:rPr>
      </w:pPr>
    </w:p>
    <w:p>
      <w:pPr>
        <w:ind w:left="1080" w:right="70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Committee established the general terms of our 2014 Outperformance Plan, which has a three-year performance period beginning on September 1, 2014, following the conclusion of the performance period for our 2011 Outperformance Plan.</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addition, the equity awards earned under the SL Green Realty Corp. 2010 Notional Unit Long-Term Compensation Plan, or our 2010 Notional Unit Plan, continued to align our executive's interest with those of our stockholders as the final vesting date for these equity awards did not occur until January 1,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Outperformance Plan</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August 2011, the Committee approved the general terms of the SL Green Realty Corp. 2011 Long-Term Outperformance Plan, or our 2011 Outperformance Plan. Participants in our 2011 Outperformance Plan were eligible to earn, in the aggregate, up to $85 million of LTIP units based on our total return to stockholders for the three-year period beginning September 1, 2011. Under our 2011 Outperformance Plan, participants were entitled to share in a "performance pool" comprised of LTIP units with a value equal to 10% of the amount, if any, by which our total return to stockholders during the three-year period exceeded a cumulative total return to stockholders of 25%, subject to the maximum of $85 million of LTIP units; provided that if maximum performance was achieved, approximately one-third of each award could be earned at any time after the beginning of the second year and an additional approximately one-third of each award could be earned at any time after the beginning of the third year. All of our named executive officers received awards under our 2011 Outperformance Plan prior to 2014 and, in accordance with the provisions in his employment agreement, we granted an additional award under our 2011 Outperformance Plan to Mr. Mathias in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early 2014 pursuant to which Mr. Mathias could earn up to $1,000,000 of LTIP units if maximum performance was achieved.</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a result of the total return to stockholders that we generated, on June 11, 2014, the Committee determined that maximum performance had been achieved, resulting in the earning of two-thirds of each award as of June 11, 2014. On September 11, 2014, the Compensation Committee determined the amounts of the final awards that were earned based on performance through the end of the performance period on August 31, 2014. Because the amount of our aggregate total return to stockholders during the three-year performance period exceeded $2.6 billion and, as a result, was more than $850 million above the 25% baseline established by our 2011 Outperformance Plan, participants earned the maximum award under our 2011 Outperformance Plan. Accordingly, our named executive officers earned the following number of LTIP units under our 2011 Outperformance Plan during 2014, 50% of which vested on August 31, 2014, and the remaining 50% of which is scheduled to vest on August 31, 2015, subject to continued employment through such date: Mr. Holliday—190,884; Mr. Green— 84,213; Mr. Mathias—144,649; Mr. Mead—21,301; and Mr. Levine—35,420. In accordance with the terms of our 2011 Outperformance Plan, distributions were not paid on any LTIP units until they were earned, at which time we paid all distributions that would have been paid on the earned LTIP units since the beginning of the performance period, with such distributions being paid partly in cash and partly in the form of additional LTIP units.</w:t>
      </w:r>
    </w:p>
    <w:p>
      <w:pPr>
        <w:spacing w:after="0" w:line="17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of a change in control, all unvested awards issued under our 2011 Outperformance Plan will become fully vested upon the change in control. Additionally, under our 2011 Outperformance Plan, an award recipient's termination due to death or disability will be treated in the same manner, for that award recipient, as if a change in control had occurred on the date of such termination. The awards made to our named executive officers under our 2011 Outperformance Plan also provide that if that executive's employment is terminated by us without cause or by the executive for good reason, then the executive is treated under our 2011 Outperformance Plan as if he had remained employed by us for 12 months after the date of his termination.</w:t>
      </w:r>
    </w:p>
    <w:p>
      <w:pPr>
        <w:spacing w:after="0" w:line="170"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total of 39 of our employees received awards pursuant to our 2011 Outperformance Plan, with 42% going to employees other than our named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LTIP Units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During 2014, the Committee granted additional LTIP units to substantially all of the participants in our 2011 Outperformance Plan in recognition of our strong continued stock price appreciation during the three-year performance period under our 2011 Outperformance Plan, which exceeded the level needed to achieve maximum performance under the plan. The number of these LTIP units granted to our executives are as follows: Mr. Holliday—14,962; Mr. Green— 6,601; Mr. Mathias—11,339; and Mr. Levine—2,775. These LTIP units vest pro-rata over a three-year period on June 30, 2015, 2016 and 2017, subject to continued employment through such dates and the achievement of either an 8% per year increase in FFO per share or TRS in the top 35% of the constituents of the MSCI US REIT Index in the year prior to the applicable vesting date or on a cumulative basis from 2014 through the year prior to the applicable vesting date. Once vested, these LTIP units remain subject to a two-year restriction on transfer from the vesting date. See "Potential Payments Upon Termination or a Change-in-Control" below, for a discussion regarding potential acceleration of the equity awards and a description of the material terms of each named executive officer's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Outperformance Plan</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In August 2014, the Committee approved the general terms of the SL Green Realty Corp. 2014 Outperformance Plan, or our 2014 Outperformance Plan. Under our 2014 Outperformance Plan, participants may earn awards based on our TRS on an absolute basis as well as on a relative basis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compared to the constituents of the MSCI US REIT Index, or Index Companies, over a three-year performance period beginning on September 1, 2014 and continuing through August 31, 2017. Awards earned based on absolute TRS will be determined independently of awards earned based on relative TRS. In order for participants to earn the full award under our 2014 Outperformance Plan, our TRS during the performance period must equal or exceed 50%, which would represent total returns to stockholders in excess of $5 billion, and be in the top 25% of Index Companies. Our 2014 Outperformance Plan was designed to be complementary to our 2011 Outperformance Plan, as the baseline stock price for measuring performance under our 2014 Outperformance Plan exceeds the stock price at which maximum stock price appreciation would be achieved under our 2011 Outperformance Plan.</w:t>
      </w:r>
    </w:p>
    <w:p>
      <w:pPr>
        <w:spacing w:after="0" w:line="174"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Awards that are earned under our 2014 Outperformance Plan will also be subject to vesting based on continued employment through August 31, 2018, with 50% of the awards earned vesting on August 31, 2017 and the remaining 50% vesting on August 31, 2018. The maximum number of LTIP units that may be earned under our 2014 Outperformance Plan will be 610,000 LTIP units; however, as of the date hereof, the Compensation Committee has only granted awards for 426,029 LTIP units and will retain discretion as to whether or when it will award the remainder of the total LTIP units.</w:t>
      </w:r>
    </w:p>
    <w:p>
      <w:pPr>
        <w:spacing w:after="0" w:line="16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For each individual award, two-thirds of the LTIP units may be earned based on our absolute TRS and one-third of the LTIP units may be earned based on our relative TRS compared to Index Companies. In order for participants to earn the full award under our 2014 Outperformance Plan, our TRS during the performance period must equal or exceed 50% for the absolute component and be in the top 25% of Index Companies for the relative component. If our TRS during the performance period is 25% and at the 50th percentile of Index Companies, participants will earn 37.5% of the total awards. Participants will not earn any awards under our 2014 Outperformance Plan if our TRS during the performance period does not meet these minimum thresholds. The number of LTIP units that are earned if performance is above the minimum thresholds, but below the maximum hurdles, will be determined based on linear interpolation between the percentages earned at the minimum and maximum thresholds.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manner in which the performance hurdles for our 2014 Outperformance Plan operate are illustrated below. In particular, as illustrated below, the absolute TRS component of our 2014 Outperformance Plan is structured so that the aggregate total return to our stockholders during the three-year performance period must exceed $2.6 billion before awards subject to absolute TRS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will be earned, and maximum awards will only be earned if the aggregate total return equals or exceeds $5.2 billion.</w:t>
      </w:r>
    </w:p>
    <w:p>
      <w:pPr>
        <w:spacing w:after="0" w:line="219" w:lineRule="exact"/>
        <w:rPr>
          <w:sz w:val="20"/>
          <w:szCs w:val="20"/>
          <w:color w:val="auto"/>
        </w:rPr>
      </w:pPr>
    </w:p>
    <w:p>
      <w:pPr>
        <w:ind w:left="1620"/>
        <w:spacing w:after="0"/>
        <w:tabs>
          <w:tab w:leader="none" w:pos="6340" w:val="left"/>
        </w:tabs>
        <w:rPr>
          <w:sz w:val="20"/>
          <w:szCs w:val="20"/>
          <w:color w:val="auto"/>
        </w:rPr>
      </w:pPr>
      <w:r>
        <w:rPr>
          <w:rFonts w:ascii="Arial" w:cs="Arial" w:eastAsia="Arial" w:hAnsi="Arial"/>
          <w:sz w:val="18"/>
          <w:szCs w:val="18"/>
          <w:b w:val="1"/>
          <w:bCs w:val="1"/>
          <w:color w:val="auto"/>
        </w:rPr>
        <w:t>Awards Earned for Absolute TRS Performance</w:t>
      </w:r>
      <w:r>
        <w:rPr>
          <w:sz w:val="20"/>
          <w:szCs w:val="20"/>
          <w:color w:val="auto"/>
        </w:rPr>
        <w:tab/>
      </w:r>
      <w:r>
        <w:rPr>
          <w:rFonts w:ascii="Arial" w:cs="Arial" w:eastAsia="Arial" w:hAnsi="Arial"/>
          <w:sz w:val="16"/>
          <w:szCs w:val="16"/>
          <w:b w:val="1"/>
          <w:bCs w:val="1"/>
          <w:color w:val="auto"/>
        </w:rPr>
        <w:t>Awards Earned for Relative TRS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289560</wp:posOffset>
            </wp:positionV>
            <wp:extent cx="5840095" cy="2452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009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the event our performance reaches the maximum absolute TRS or relative TRS hurdle before the end of the three-year performance period, a pro-rata portion of the maximum award may be earned. For each component, if our performance reaches the maximum threshold during the second half of the performance period, participants will earn one-third of the maximum award. If our performance reaches the maximum threshold during the third year of the performance period for a component, participants will earn up to two-thirds of the maximum award that may be earned for that component. Except in the event of a change in control, no awards may be earned during the first half of the performance period and, with respect to the last one-third of the maximum award, no awards may be earned prior to the end of the performance period.</w:t>
      </w:r>
    </w:p>
    <w:p>
      <w:pPr>
        <w:spacing w:after="0" w:line="174"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Awards may be earned upon a change in control as follows, but any such awards remain subject to vesting based on continued employment, as set forth above, with acceleration only occurring for a named executive officer in the event of a termination of the executive's employment by us without cause or by the executive for good reason. In the event of a change in control during the first year of the performance period, participants will earn, for each component, the greater of (i) a prorated award based on the attainment of prorated performance hurdles or (ii) a non-prorated award based on attainment of the full, non-prorated performance hurdles, in each case, using the change in control as the end of the performance period. In the event a change in control occurs after the first year of the performance period, awards will be earned for each component based upon the attainment of prorated performance hurdles using the change in control as the end of the performance period.</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awards made to our named executive officers under our 2014 Outperformance Plan also provide that if that executive's employment is terminated by us without cause or by the executive officer for good reason, then the executive officer is treated under our 2014 Outperformance Plan as if he had remained employed by us for 12 months after the date of his termination. If the executive officer's employment terminates due to death or disability, then such termination will be treated in the same manner, for that award recipient, as if a change in control occurred on the date of such termination; provided that any LTIP units earned in connection with death or disability will vest in full as of the date on which they are earned.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Distributions are not payable unless and until awards are earned. If awards are earned under our 2014 Outperformance Plan, each participant will then be entitled to the distributions that would have been paid had the number of earned LTIP units been earned at the beginning of the performance period. Those distributions will be paid in cash or additional LTIP units as determined by the Committee. Thereafter, distributions will be paid currently with respect to all earned LTIP units, whether vested or unvested.</w:t>
      </w:r>
    </w:p>
    <w:p>
      <w:pPr>
        <w:spacing w:after="0" w:line="197" w:lineRule="exact"/>
        <w:rPr>
          <w:sz w:val="20"/>
          <w:szCs w:val="20"/>
          <w:color w:val="auto"/>
        </w:rPr>
      </w:pPr>
    </w:p>
    <w:p>
      <w:pPr>
        <w:jc w:val="both"/>
        <w:ind w:right="380" w:firstLine="351"/>
        <w:spacing w:after="0" w:line="335" w:lineRule="auto"/>
        <w:rPr>
          <w:sz w:val="20"/>
          <w:szCs w:val="20"/>
          <w:color w:val="auto"/>
        </w:rPr>
      </w:pPr>
      <w:r>
        <w:rPr>
          <w:rFonts w:ascii="Arial" w:cs="Arial" w:eastAsia="Arial" w:hAnsi="Arial"/>
          <w:sz w:val="15"/>
          <w:szCs w:val="15"/>
          <w:color w:val="auto"/>
        </w:rPr>
        <w:t>Initial awards under our 2014 Outperformance Plan were made to our named executive officers in January 2015. No awards were granted to our named executive officers during 2014. Pursuant to our employment agreements with Messrs. Holliday and Mathias, we have agreed to allocate at least 22.67% and 16.00%, respectively, of the total awards under each of our future outperformance plans, which includes our 2014 Outperformance Plan, to these executives.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Awards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second main component of our long-term equity incentive award program is equity awards granted for retention purposes or in connection with new or extended employment agreements or the provisions of such agreements. We have typically entered into employment agreements with each of our named executive officers, other than Mr. Green, that have terms of three or four years. In connection with these agreements, we have typically granted one or more types of equity awards to our named executive officers that have vesting periods aligned with the terms of these agreements. Vesting of these awards has been based on continued employment and, for a majority of these awards, the achievement of performance hurdles.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Most recently, we entered into new employment agreements with Messrs. Holliday, Mathias, Mead and Levine in 2013, which superseded their previous employment agreements. In connection with these new employment agreements, we granted equity awards to Messrs. Mathias, Mead and Levine on the effective date of each such agreement. In addition, our employment agreements with Messrs. Holliday and Mathias provide for the granting of the LTIP units noted in the chart below, which, collectively for each of Mr. Holliday and Mr. Mathias, are scheduled to vest pro rata over the three-year term of the agreement. These long-term equity incentive awards were not granted at the time these agreements were entered into and, instead, these agreements provide that the executives will be entitled to terminate their employment with us and receive severance payments and benefits if we do not make these grants on or before their scheduled vesting dates. These provisions were included instead of making long-term grants at the time the agreement was entered into, in part, in order to avoid the distortion in measuring annual compensation that otherwise might have occurred if these grants were all made in the year in which we entered into the agreements. Regardless of the ultimate grant dates, for purposes of evaluating our executive compensation, we believe these awards should be viewed collectively as long-term equity awards, which is consistent with how the Committee has viewed these awards.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summarizes the terms of the long-term equity incentive awards made to our named executive officers in connection with their most recent employment agreements or renewed term or provided for in these agreements and the grant dates for these awards: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720" w:type="dxa"/>
            <w:vAlign w:val="bottom"/>
          </w:tcPr>
          <w:p>
            <w:pPr>
              <w:spacing w:after="0"/>
              <w:rPr>
                <w:sz w:val="14"/>
                <w:szCs w:val="14"/>
                <w:color w:val="auto"/>
              </w:rPr>
            </w:pPr>
          </w:p>
        </w:tc>
        <w:tc>
          <w:tcPr>
            <w:tcW w:w="2900" w:type="dxa"/>
            <w:vAlign w:val="bottom"/>
          </w:tcPr>
          <w:p>
            <w:pPr>
              <w:ind w:left="1040"/>
              <w:spacing w:after="0"/>
              <w:rPr>
                <w:sz w:val="20"/>
                <w:szCs w:val="20"/>
                <w:color w:val="auto"/>
              </w:rPr>
            </w:pPr>
            <w:r>
              <w:rPr>
                <w:rFonts w:ascii="Arial" w:cs="Arial" w:eastAsia="Arial" w:hAnsi="Arial"/>
                <w:sz w:val="14"/>
                <w:szCs w:val="14"/>
                <w:b w:val="1"/>
                <w:bCs w:val="1"/>
                <w:color w:val="auto"/>
              </w:rPr>
              <w:t>Equity Award</w:t>
            </w:r>
          </w:p>
        </w:tc>
        <w:tc>
          <w:tcPr>
            <w:tcW w:w="200" w:type="dxa"/>
            <w:vAlign w:val="bottom"/>
          </w:tcPr>
          <w:p>
            <w:pPr>
              <w:spacing w:after="0"/>
              <w:rPr>
                <w:sz w:val="14"/>
                <w:szCs w:val="14"/>
                <w:color w:val="auto"/>
              </w:rPr>
            </w:pPr>
          </w:p>
        </w:tc>
        <w:tc>
          <w:tcPr>
            <w:tcW w:w="2920" w:type="dxa"/>
            <w:vAlign w:val="bottom"/>
          </w:tcPr>
          <w:p>
            <w:pPr>
              <w:ind w:left="900"/>
              <w:spacing w:after="0"/>
              <w:rPr>
                <w:sz w:val="20"/>
                <w:szCs w:val="20"/>
                <w:color w:val="auto"/>
              </w:rPr>
            </w:pPr>
            <w:r>
              <w:rPr>
                <w:rFonts w:ascii="Arial" w:cs="Arial" w:eastAsia="Arial" w:hAnsi="Arial"/>
                <w:sz w:val="14"/>
                <w:szCs w:val="14"/>
                <w:b w:val="1"/>
                <w:bCs w:val="1"/>
                <w:color w:val="auto"/>
              </w:rPr>
              <w:t>Vesting/Grant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 Holliday</w:t>
            </w:r>
          </w:p>
        </w:tc>
        <w:tc>
          <w:tcPr>
            <w:tcW w:w="362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200,000 stock options</w:t>
            </w:r>
          </w:p>
        </w:tc>
        <w:tc>
          <w:tcPr>
            <w:tcW w:w="31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One-third vesting on 1/17/14, 1/17/15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and 1/17/16; 5-year term (50%) and 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 term (50%); granted in 2013</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gridSpan w:val="2"/>
          </w:tcPr>
          <w:p>
            <w:pPr>
              <w:ind w:left="720"/>
              <w:spacing w:after="0"/>
              <w:rPr>
                <w:sz w:val="20"/>
                <w:szCs w:val="20"/>
                <w:color w:val="auto"/>
              </w:rPr>
            </w:pPr>
            <w:r>
              <w:rPr>
                <w:rFonts w:ascii="Arial" w:cs="Arial" w:eastAsia="Arial" w:hAnsi="Arial"/>
                <w:sz w:val="18"/>
                <w:szCs w:val="18"/>
                <w:color w:val="auto"/>
              </w:rPr>
              <w:t>87,870 LTIP units</w:t>
            </w: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Vest on 1/17/14; 60%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7"/>
              </w:rPr>
              <w:t>performance-based vesting; two-year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7"/>
              </w:rPr>
              <w:t>post-vesting no-sale; granted in 2014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87,870 LTIP units</w:t>
            </w: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 on 1/17/15; 100%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performance-based vesting; two-year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post-vesting no-sale; granted in 2015</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gridSpan w:val="2"/>
          </w:tcPr>
          <w:p>
            <w:pPr>
              <w:ind w:left="720"/>
              <w:spacing w:after="0"/>
              <w:rPr>
                <w:sz w:val="20"/>
                <w:szCs w:val="20"/>
                <w:color w:val="auto"/>
              </w:rPr>
            </w:pPr>
            <w:r>
              <w:rPr>
                <w:rFonts w:ascii="Arial" w:cs="Arial" w:eastAsia="Arial" w:hAnsi="Arial"/>
                <w:sz w:val="18"/>
                <w:szCs w:val="18"/>
                <w:color w:val="auto"/>
              </w:rPr>
              <w:t>87,870 LTIP units</w:t>
            </w: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Vest on 1/17/16; 100%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7"/>
              </w:rPr>
              <w:t>performance-based vesting; two-year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6"/>
              </w:rPr>
              <w:t>post-vesting no-sale; to be granted by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vesting date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Mathias(1)</w:t>
            </w:r>
          </w:p>
        </w:tc>
        <w:tc>
          <w:tcPr>
            <w:tcW w:w="3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130,000 stock options</w:t>
            </w: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One-third vesting on 12/31/14, 12/31/15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and 12/31/16; 5-year term (50%) and 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 term (50%); granted in 2013</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gridSpan w:val="2"/>
          </w:tcPr>
          <w:p>
            <w:pPr>
              <w:ind w:left="720"/>
              <w:spacing w:after="0"/>
              <w:rPr>
                <w:sz w:val="20"/>
                <w:szCs w:val="20"/>
                <w:color w:val="auto"/>
              </w:rPr>
            </w:pPr>
            <w:r>
              <w:rPr>
                <w:rFonts w:ascii="Arial" w:cs="Arial" w:eastAsia="Arial" w:hAnsi="Arial"/>
                <w:sz w:val="18"/>
                <w:szCs w:val="18"/>
                <w:color w:val="auto"/>
              </w:rPr>
              <w:t>58,666 LTIP units</w:t>
            </w: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Vest on 12/31/14; 60%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7"/>
              </w:rPr>
              <w:t>performance-based vesting; two-year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7"/>
              </w:rPr>
              <w:t>post-vesting no-sale; granted in 2014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58,667 LTIP units</w:t>
            </w: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 on 12/31/15; 100%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performance-based vesting; two-year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post-vesting no-sale; granted in 2015</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gridSpan w:val="2"/>
          </w:tcPr>
          <w:p>
            <w:pPr>
              <w:ind w:left="720"/>
              <w:spacing w:after="0"/>
              <w:rPr>
                <w:sz w:val="20"/>
                <w:szCs w:val="20"/>
                <w:color w:val="auto"/>
              </w:rPr>
            </w:pPr>
            <w:r>
              <w:rPr>
                <w:rFonts w:ascii="Arial" w:cs="Arial" w:eastAsia="Arial" w:hAnsi="Arial"/>
                <w:sz w:val="18"/>
                <w:szCs w:val="18"/>
                <w:color w:val="auto"/>
              </w:rPr>
              <w:t>58,667 LTIP units</w:t>
            </w: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Vest on 12/31/16; 100%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7"/>
              </w:rPr>
              <w:t>performance-based vesting; two-year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6"/>
              </w:rPr>
              <w:t>post-vesting no-sale; to be granted by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vesting date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Mead</w:t>
            </w:r>
          </w:p>
        </w:tc>
        <w:tc>
          <w:tcPr>
            <w:tcW w:w="3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7,500 shares of restricted stock</w:t>
            </w: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One-fourth vesting at end of each fiscal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quarter in 2014; granted in 2013</w:t>
            </w:r>
          </w:p>
        </w:tc>
        <w:tc>
          <w:tcPr>
            <w:tcW w:w="0" w:type="dxa"/>
            <w:vAlign w:val="bottom"/>
          </w:tcPr>
          <w:p>
            <w:pPr>
              <w:spacing w:after="0"/>
              <w:rPr>
                <w:sz w:val="1"/>
                <w:szCs w:val="1"/>
                <w:color w:val="auto"/>
              </w:rPr>
            </w:pPr>
          </w:p>
        </w:tc>
      </w:tr>
      <w:tr>
        <w:trPr>
          <w:trHeight w:val="424"/>
        </w:trPr>
        <w:tc>
          <w:tcPr>
            <w:tcW w:w="2400" w:type="dxa"/>
            <w:vAlign w:val="bottom"/>
            <w:gridSpan w:val="3"/>
          </w:tcPr>
          <w:p>
            <w:pPr>
              <w:spacing w:after="0"/>
              <w:rPr>
                <w:sz w:val="20"/>
                <w:szCs w:val="20"/>
                <w:color w:val="auto"/>
              </w:rPr>
            </w:pPr>
            <w:r>
              <w:rPr>
                <w:rFonts w:ascii="Arial" w:cs="Arial" w:eastAsia="Arial" w:hAnsi="Arial"/>
                <w:sz w:val="18"/>
                <w:szCs w:val="18"/>
                <w:color w:val="auto"/>
              </w:rPr>
              <w:t>Andrew S. Levine</w:t>
            </w:r>
          </w:p>
        </w:tc>
        <w:tc>
          <w:tcPr>
            <w:tcW w:w="3620" w:type="dxa"/>
            <w:vAlign w:val="bottom"/>
            <w:gridSpan w:val="2"/>
          </w:tcPr>
          <w:p>
            <w:pPr>
              <w:ind w:left="720"/>
              <w:spacing w:after="0"/>
              <w:rPr>
                <w:sz w:val="20"/>
                <w:szCs w:val="20"/>
                <w:color w:val="auto"/>
              </w:rPr>
            </w:pPr>
            <w:r>
              <w:rPr>
                <w:rFonts w:ascii="Arial" w:cs="Arial" w:eastAsia="Arial" w:hAnsi="Arial"/>
                <w:sz w:val="18"/>
                <w:szCs w:val="18"/>
                <w:color w:val="auto"/>
              </w:rPr>
              <w:t>42,000 LTIP units</w:t>
            </w: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2"/>
              </w:rPr>
              <w:t>One-third vesting on 1/1/14, 1/1/15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9"/>
              </w:rPr>
              <w:t>1/1/16; 50% subject to performance-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based vesting; granted in 2013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Excludes additional allocations of awards under our outperformance plans that were made to Mr. Mathias in connection with his employment agreement.</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a result of amendments to the employment agreements with Messrs. Holliday and Mathias in 2014, 100% of future LTIP unit awards granted under their employment agreements are subject to performance-based vesting hurdles, with restructured hurdles that are more difficult to achieve than those originally established. For future awards, the vesting of the performance-based LTIP units set forth above is based on the achievement of any of the following financial performance goals: (i) 8% or greater increase in FFO on a per-share basis, (ii) 8% or greater TRS or (iii) TRS in the top 35% of the constituents of the MSCI US REIT Index. The performance hurdle will be met if any of such goals are met during the year prior to the vesting date (or, for Mr. Mathias, the year in which the vesting date occurs) or on a cumulative basis beginning with 2013 (or 2014 for Mr. Mathias) through the end of such year. In addition, LTIP units not earned in one year may vest on a subsequent vesting date occurring during the term of employment. The vesting of the performance-based LTIP units set forth above that were granted in 2014 or earlier is based on the achievement of any of the following financial performance goals: (i) 7% or greater increase in FFO on a per-share basis, (ii) 7% or greater TRS or (iii) TRS or percentage increase in FFO per share in the top 40% of a peer group of companies determined each year by the Committee. All of the LTIP units granted to Messrs. Holliday and Mathias include or will include a restriction on transfer until the earlier of two years after vesting, termination of employment or a change in control. These equity awards help us retain the continued services of and obtain non-competition covenants from our named executive officers, provide strong alignment of our executive's interests with those of our stockholders and incentivize our executives to meet long-term performance hurdles during the course of their employment term.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 and our Chief Executive Officer receives certain insurance benefits. The costs of these benefits constitute only a small percentage of the applicable executive's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Compensation—Potential Payments Upon Termination or Change-in-Control" for a summary of the employment agreements with our named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The Board has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Anti-hedging Policy</w:t>
      </w:r>
    </w:p>
    <w:p>
      <w:pPr>
        <w:spacing w:after="0" w:line="225" w:lineRule="exact"/>
        <w:rPr>
          <w:sz w:val="20"/>
          <w:szCs w:val="20"/>
          <w:color w:val="auto"/>
        </w:rPr>
      </w:pPr>
    </w:p>
    <w:p>
      <w:pPr>
        <w:jc w:val="both"/>
        <w:ind w:right="220" w:firstLine="348"/>
        <w:spacing w:after="0" w:line="294" w:lineRule="auto"/>
        <w:rPr>
          <w:sz w:val="20"/>
          <w:szCs w:val="20"/>
          <w:color w:val="auto"/>
        </w:rPr>
      </w:pPr>
      <w:r>
        <w:rPr>
          <w:rFonts w:ascii="Arial" w:cs="Arial" w:eastAsia="Arial" w:hAnsi="Arial"/>
          <w:sz w:val="16"/>
          <w:szCs w:val="16"/>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Director Stock Ownership Guidelines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December 2011, in furtherance of the Committee's ongoing efforts to foster an ownership culture among our senior leadership team, we adopted stock ownership guidelines for our named executive officers and independent directors. We have subsequently revised these guidelines to increase the amount of equity our named executive officers are required to own in order to satisfy the guidelines. Pursuant to the current guidelines, our Chief Executive Officer is required to hold equity interests in the Company or its operating partnership having a market value equal to or greater than a multiple of eight times such officer's annual base salary, our other named executive officers are required to hold equity interests having a market value equal to or greater than a multiple of six times each such officer's base salary, and our independent directors are required to hold a number of shares of Company stock having a market value equal to or greater than three times their annual retainer. Named executive officers and directors have three years from the date of adoption of the guidelines to attain compliance with the stock ownership requirements, or in the case of a new named executive officer or independent director, three years from the commencement of their employment or election to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Tax Treatment. </w:t>
      </w:r>
      <w:r>
        <w:rPr>
          <w:rFonts w:ascii="Arial" w:cs="Arial" w:eastAsia="Arial" w:hAnsi="Arial"/>
          <w:sz w:val="16"/>
          <w:szCs w:val="16"/>
          <w:color w:val="auto"/>
        </w:rPr>
        <w:t>The Committee reviews and considers the tax efficiency of executive compensation as part of its decision-making process.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IRC generally limits the deductibility of compensation over $1 million to a corporation's named executive officers. We are a real estate investment trust and therefore generally does not pay income taxes. In addition, our named executive officers provide most of their services to our operating partnership. We have received a private letter ruling from the Internal Revenue Service to the effect that the deduction limitation of Section 162(m) does not apply with respect to compensation to our named executive officers for services rendered to our operating partnership. As a result, the amounts and form of compensation that we provide to our named executive officers is not materially impacted by Section 162(m) of the IRC.</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LTIP units. </w:t>
      </w:r>
      <w:r>
        <w:rPr>
          <w:rFonts w:ascii="Arial" w:cs="Arial" w:eastAsia="Arial" w:hAnsi="Arial"/>
          <w:sz w:val="16"/>
          <w:szCs w:val="16"/>
          <w:color w:val="auto"/>
        </w:rPr>
        <w:t>Under our 2010 Notional Unit Plan as well our 2014 and 2011 Outperformance Plans, in lieu of issuing shares of restricted stock, we issued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class of units of limited partnership interest in our operating partnership, which we refer to as LTIP units. We also used LTIP units for the equity bonuses that we granted to our named executive officers for 2014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6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2014 and 2011 Outperformance Plans and our 2010 Notional Unit Plan. We believe that the use of LTIP units in these plans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 We also believe that these benefits outweigh the loss of the U.S. federal income tax business-expense deduction from the issuance of LTIP units, as compared to restricted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2014.</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following table sets forth information regarding the compensation paid to the individuals who served as our Chief Executive Officer and Chief Financial Officer during our 2014 fiscal year and each of our three most highly compensated executive officers, other than our Chief Executive Officer and Chief Financial Officer, whose total compensation exceeded $100,000 during the fiscal year ended December 31, 2014, or collectively, the "named executive officers."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Incentive Plan</w:t>
            </w:r>
          </w:p>
        </w:tc>
        <w:tc>
          <w:tcPr>
            <w:tcW w:w="22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20" w:type="dxa"/>
            <w:vAlign w:val="bottom"/>
            <w:gridSpan w:val="2"/>
          </w:tcPr>
          <w:p>
            <w:pPr>
              <w:jc w:val="right"/>
              <w:ind w:right="174"/>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Salary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1"/>
              </w:rPr>
              <w:t>Bonus</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Compensation</w:t>
            </w:r>
          </w:p>
        </w:tc>
        <w:tc>
          <w:tcPr>
            <w:tcW w:w="22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Awards(2)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374"/>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4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2014</w:t>
            </w:r>
          </w:p>
        </w:tc>
        <w:tc>
          <w:tcPr>
            <w:tcW w:w="2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1,102,500</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$ 14,160,346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41,215</w:t>
            </w:r>
          </w:p>
        </w:tc>
        <w:tc>
          <w:tcPr>
            <w:tcW w:w="2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16,354,061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1,050,000</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1,100,000</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6,632,200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3,849,590</w:t>
            </w:r>
          </w:p>
        </w:tc>
        <w:tc>
          <w:tcPr>
            <w:tcW w:w="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38,938</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12,670,728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1,000,000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2,000,000</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7,241,604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39,051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10,280,655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10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750,000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4,468,371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173,992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5,392,363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Chairman of the Board</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4,543,356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148,389</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5,441,745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750,000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6"/>
              </w:rPr>
              <w:t>2,000,000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4,054,936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147,810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6,952,746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66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$ 10,188,264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10,996,064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5,370,869</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3,136,874</w:t>
            </w:r>
          </w:p>
        </w:tc>
        <w:tc>
          <w:tcPr>
            <w:tcW w:w="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28,863</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9,286,606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2,500,000</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4,940,748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8,211,660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100" w:type="dxa"/>
            <w:vAlign w:val="bottom"/>
            <w:gridSpan w:val="3"/>
          </w:tcPr>
          <w:p>
            <w:pPr>
              <w:spacing w:after="0"/>
              <w:rPr>
                <w:sz w:val="20"/>
                <w:szCs w:val="20"/>
                <w:color w:val="auto"/>
              </w:rPr>
            </w:pPr>
            <w:r>
              <w:rPr>
                <w:rFonts w:ascii="Arial" w:cs="Arial" w:eastAsia="Arial" w:hAnsi="Arial"/>
                <w:sz w:val="14"/>
                <w:szCs w:val="14"/>
                <w:color w:val="auto"/>
              </w:rPr>
              <w:t>James Mead</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525,000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6"/>
              </w:rPr>
              <w:t>1,100,000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7,800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1,632,800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Former Chief Financial Officer(1)</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1,142,587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7,650</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2,450,237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500,000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750,000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585,938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79,500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1,915,438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66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490,000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2,033,308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2,531,108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Chief Legal Officer and General</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2013</w:t>
            </w:r>
          </w:p>
        </w:tc>
        <w:tc>
          <w:tcPr>
            <w:tcW w:w="2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475,000</w:t>
            </w:r>
          </w:p>
        </w:tc>
        <w:tc>
          <w:tcPr>
            <w:tcW w:w="2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100,000</w:t>
            </w:r>
          </w:p>
        </w:tc>
        <w:tc>
          <w:tcPr>
            <w:tcW w:w="2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3,264,228</w:t>
            </w:r>
          </w:p>
        </w:tc>
        <w:tc>
          <w:tcPr>
            <w:tcW w:w="2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592,749</w:t>
            </w:r>
          </w:p>
        </w:tc>
        <w:tc>
          <w:tcPr>
            <w:tcW w:w="70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7,650</w:t>
            </w:r>
          </w:p>
        </w:tc>
        <w:tc>
          <w:tcPr>
            <w:tcW w:w="2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4,439,627</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Counsel</w:t>
            </w:r>
          </w:p>
        </w:tc>
        <w:tc>
          <w:tcPr>
            <w:tcW w:w="1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462,500</w:t>
            </w:r>
          </w:p>
        </w:tc>
        <w:tc>
          <w:tcPr>
            <w:tcW w:w="220" w:type="dxa"/>
            <w:vAlign w:val="bottom"/>
            <w:tcBorders>
              <w:right w:val="single" w:sz="8" w:color="CCEEFF"/>
            </w:tcBorders>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877,113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1,797,113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58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48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James Mead was our Chief Financial Officer during fiscal year 2014 and was succeeded by Matthew DiLiberto effective January 1, 2015.</w:t>
      </w:r>
    </w:p>
    <w:p>
      <w:pPr>
        <w:spacing w:after="0" w:line="122" w:lineRule="exact"/>
        <w:rPr>
          <w:rFonts w:ascii="Arial" w:cs="Arial" w:eastAsia="Arial" w:hAnsi="Arial"/>
          <w:sz w:val="14"/>
          <w:szCs w:val="14"/>
          <w:color w:val="auto"/>
        </w:rPr>
      </w:pPr>
    </w:p>
    <w:p>
      <w:pPr>
        <w:ind w:left="1680" w:hanging="531"/>
        <w:spacing w:after="0" w:line="263" w:lineRule="auto"/>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2014, 2013 and 2012, respectively. In accordance with SEC disclosure requirements, the amounts for 2014, 2013 and 2012 include the full grant date fair value of the executives' allocations in our 2011 Outperformance Plan granted during such years. The grant date fair value of such awards is computed in accordance with ASC 718, "Compensation-Stock Compensation" by the use of Monte Carlo simulation models that consider the probable outcomes of the market-based performance conditions governing such awards. For the awards granted under our 2011 Outperformance Plan during 2012, the Monte Carlo simulation model used an assumed stock price volatility level of 47% on the Company's common stock and a risk-free interest rate of 0.30%. For the awards granted under our 2011 Outperformance Plan during 2014, the Monte Carlo simulation model used an assumed stock price volatility level of 19% on the Company's common stock and a risk-free interest rate of 0.08%. The actual value of awards with respect to our 2011 Outperformance Plan was contingent upon the attainment of stockholder return targets over a three-year measurement period ending August 31, 2014. Assuming that maximum performance is achieved under our 2011 Outperformance Plan, the value at the grant date of the awards made under our 2011 Outperformance Plan during 2012 would each have been as follows: Mr. Holliday—$9,633,333; Mr. Green—$4,250,000; Mr. Mathias—$6,800,000; Mr. Mead—$1,075,000; and Mr. Levine—$1,750,000, respectively. Assuming that maximum performance is achieved under our 2011 Outperformance Plan, the value at the grant date of the awards made under our 2011 Outperformance Plan during 2014 would have been $1,000,000 with respect to Mr. Mathias.</w:t>
      </w:r>
    </w:p>
    <w:p>
      <w:pPr>
        <w:spacing w:after="0" w:line="103" w:lineRule="exact"/>
        <w:rPr>
          <w:rFonts w:ascii="Arial" w:cs="Arial" w:eastAsia="Arial" w:hAnsi="Arial"/>
          <w:sz w:val="12"/>
          <w:szCs w:val="12"/>
          <w:color w:val="auto"/>
        </w:rPr>
      </w:pPr>
    </w:p>
    <w:p>
      <w:pPr>
        <w:ind w:left="1680" w:hanging="531"/>
        <w:spacing w:after="0"/>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table and footnotes below shows the components of this column for 2014, which include certain perquisites such as Company 401(k) matching contributions.</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6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08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5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41,215(a)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Arial" w:cs="Arial" w:eastAsia="Arial" w:hAnsi="Arial"/>
                <w:sz w:val="14"/>
                <w:szCs w:val="14"/>
                <w:color w:val="auto"/>
              </w:rPr>
              <w:t>Stephen L. Green</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173,992(b)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7,800(c)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Arial" w:cs="Arial" w:eastAsia="Arial" w:hAnsi="Arial"/>
                <w:sz w:val="14"/>
                <w:szCs w:val="14"/>
                <w:color w:val="auto"/>
              </w:rPr>
              <w:t>James Mead</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7,800(d)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7,800(e)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60" w:hanging="540"/>
        <w:spacing w:after="0" w:line="233" w:lineRule="auto"/>
        <w:tabs>
          <w:tab w:leader="none" w:pos="2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($7,800), (ii) leased car payments ($22,103) and (iii) life insurance premiums ($11,312). The Company's 401(k) matching contributions are credited in the year subsequent to which employees make their contributions.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120" w:hanging="540"/>
        <w:spacing w:after="0" w:line="268" w:lineRule="auto"/>
        <w:tabs>
          <w:tab w:leader="none" w:pos="22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leased car ($22,007) and full-time driver payments ($151,985). Mr. Green is the only officer in the Company provided with a full-time driver, which allows him to use his time efficiently for business purposes during his travel time, and it is the Company's policy to not provide such perquisite to any officer other than</w:t>
      </w:r>
    </w:p>
    <w:p>
      <w:pPr>
        <w:ind w:left="2260"/>
        <w:spacing w:after="0"/>
        <w:rPr>
          <w:rFonts w:ascii="Arial" w:cs="Arial" w:eastAsia="Arial" w:hAnsi="Arial"/>
          <w:sz w:val="12"/>
          <w:szCs w:val="12"/>
          <w:color w:val="auto"/>
        </w:rPr>
      </w:pPr>
      <w:r>
        <w:rPr>
          <w:rFonts w:ascii="Arial" w:cs="Arial" w:eastAsia="Arial" w:hAnsi="Arial"/>
          <w:sz w:val="14"/>
          <w:szCs w:val="14"/>
          <w:color w:val="auto"/>
        </w:rPr>
        <w:t>Mr. Green.</w:t>
      </w:r>
    </w:p>
    <w:p>
      <w:pPr>
        <w:spacing w:after="0" w:line="110" w:lineRule="exact"/>
        <w:rPr>
          <w:rFonts w:ascii="Arial" w:cs="Arial" w:eastAsia="Arial" w:hAnsi="Arial"/>
          <w:sz w:val="12"/>
          <w:szCs w:val="12"/>
          <w:color w:val="auto"/>
        </w:rPr>
      </w:pPr>
    </w:p>
    <w:p>
      <w:pPr>
        <w:ind w:left="2260" w:hanging="540"/>
        <w:spacing w:after="0" w:line="239" w:lineRule="auto"/>
        <w:tabs>
          <w:tab w:leader="none" w:pos="2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($7,800).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2260" w:hanging="540"/>
        <w:spacing w:after="0" w:line="239" w:lineRule="auto"/>
        <w:tabs>
          <w:tab w:leader="none" w:pos="2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($7,800).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2260" w:hanging="540"/>
        <w:spacing w:after="0" w:line="239" w:lineRule="auto"/>
        <w:tabs>
          <w:tab w:leader="none" w:pos="2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($7,800). The Company's 401(k) matching contributions are credited in the year subsequent to which employees make their contributions.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Grants of Plan-Based Awards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2014.</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 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4"/>
              </w:rPr>
              <w:t>Estimated Possible Payouts</w:t>
            </w:r>
          </w:p>
        </w:tc>
        <w:tc>
          <w:tcPr>
            <w:tcW w:w="20" w:type="dxa"/>
            <w:vAlign w:val="bottom"/>
          </w:tcPr>
          <w:p>
            <w:pPr>
              <w:spacing w:after="0"/>
              <w:rPr>
                <w:sz w:val="12"/>
                <w:szCs w:val="12"/>
                <w:color w:val="auto"/>
              </w:rPr>
            </w:pPr>
          </w:p>
        </w:tc>
        <w:tc>
          <w:tcPr>
            <w:tcW w:w="238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86"/>
              </w:rPr>
              <w:t>Estimated Future Payouts</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6"/>
            <w:vMerge w:val="continue"/>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0"/>
              </w:rPr>
              <w:t>Awards;</w:t>
            </w:r>
          </w:p>
        </w:tc>
        <w:tc>
          <w:tcPr>
            <w:tcW w:w="40" w:type="dxa"/>
            <w:vAlign w:val="bottom"/>
          </w:tcPr>
          <w:p>
            <w:pPr>
              <w:spacing w:after="0"/>
              <w:rPr>
                <w:sz w:val="10"/>
                <w:szCs w:val="10"/>
                <w:color w:val="auto"/>
              </w:rPr>
            </w:pPr>
          </w:p>
        </w:tc>
        <w:tc>
          <w:tcPr>
            <w:tcW w:w="880" w:type="dxa"/>
            <w:vAlign w:val="bottom"/>
            <w:gridSpan w:val="3"/>
          </w:tcPr>
          <w:p>
            <w:pPr>
              <w:jc w:val="center"/>
              <w:ind w:right="160"/>
              <w:spacing w:after="0" w:line="122"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Under Non-Equity Incentive</w:t>
            </w:r>
          </w:p>
        </w:tc>
        <w:tc>
          <w:tcPr>
            <w:tcW w:w="20" w:type="dxa"/>
            <w:vAlign w:val="bottom"/>
          </w:tcPr>
          <w:p>
            <w:pPr>
              <w:spacing w:after="0"/>
              <w:rPr>
                <w:sz w:val="13"/>
                <w:szCs w:val="13"/>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Under Equity Incentive Plan</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rPr>
              <w:t>Plan Awards (#)</w:t>
            </w: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center"/>
              <w:ind w:right="120"/>
              <w:spacing w:after="0" w:line="115" w:lineRule="exact"/>
              <w:rPr>
                <w:sz w:val="20"/>
                <w:szCs w:val="20"/>
                <w:color w:val="auto"/>
              </w:rPr>
            </w:pPr>
            <w:r>
              <w:rPr>
                <w:rFonts w:ascii="Arial" w:cs="Arial" w:eastAsia="Arial" w:hAnsi="Arial"/>
                <w:sz w:val="12"/>
                <w:szCs w:val="12"/>
                <w:b w:val="1"/>
                <w:bCs w:val="1"/>
                <w:color w:val="auto"/>
              </w:rPr>
              <w:t>Awards (#)</w:t>
            </w: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75"/>
              </w:rPr>
              <w:t>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4"/>
              </w:rPr>
              <w:t>Shares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Approval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Threshold</w:t>
            </w: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Maximum</w:t>
            </w: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Threshold</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Maximum</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 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Date</w:t>
            </w: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90"/>
              </w:rPr>
              <w:t>($/#)</w:t>
            </w:r>
          </w:p>
        </w:tc>
        <w:tc>
          <w:tcPr>
            <w:tcW w:w="22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Units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7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01/10/2014</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55,241(1)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4,101,534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35,148(2)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2,609,669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52,722(3)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3,914,503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01/18/2014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09/10/2013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5,922(4)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06/11/2014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06/11/2014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5,220(5)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5,220(5)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09/11/2014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09/11/2014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9,742(5)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9,742(5)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12/12/2014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12/12/2014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17,007(10)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1,637,978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52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4"/>
                <w:szCs w:val="14"/>
                <w:color w:val="auto"/>
                <w:w w:val="95"/>
              </w:rPr>
              <w:t>357,500(11)$ 735,000(11)$ 1,102,500(11)</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1060" w:type="dxa"/>
            <w:vAlign w:val="bottom"/>
            <w:gridSpan w:val="3"/>
          </w:tcPr>
          <w:p>
            <w:pPr>
              <w:spacing w:after="0"/>
              <w:rPr>
                <w:sz w:val="20"/>
                <w:szCs w:val="20"/>
                <w:color w:val="auto"/>
              </w:rPr>
            </w:pPr>
            <w:r>
              <w:rPr>
                <w:rFonts w:ascii="Arial" w:cs="Arial" w:eastAsia="Arial" w:hAnsi="Arial"/>
                <w:sz w:val="14"/>
                <w:szCs w:val="14"/>
                <w:color w:val="auto"/>
                <w:w w:val="94"/>
              </w:rPr>
              <w:t>Stephen L. Green</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01/01/2014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12/09/2009</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1,633(6)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150,857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01/10/2014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29,950(1)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2,223,728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06/11/2014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06/11/2014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2,303(5)</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2,303(5)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209,985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09/11/2014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09/11/2014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4,298(5)</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4,298(5)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383,838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12/12/2014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12/12/2014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15,574(10) $</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1,499,963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0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01/01/2014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11/08/2013</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4,355(6)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402,315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27,732(1)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2,059,046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23,466(7)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1,742,304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35,200(8)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35,200(8)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2,695,202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01/10/2014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238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—(9)$ 1,000,000(9)$ 1,000,000(9)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06/11/2014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06/11/2014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3,955(5)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3,955(5)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09/11/2014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09/11/2014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7,384(5)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7,384(5)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12/12/2014</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12/12/2014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16,612(10)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1,599,935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60" w:type="dxa"/>
            <w:vAlign w:val="bottom"/>
            <w:gridSpan w:val="3"/>
          </w:tcPr>
          <w:p>
            <w:pPr>
              <w:spacing w:after="0"/>
              <w:rPr>
                <w:sz w:val="20"/>
                <w:szCs w:val="20"/>
                <w:color w:val="auto"/>
              </w:rPr>
            </w:pPr>
            <w:r>
              <w:rPr>
                <w:rFonts w:ascii="Arial" w:cs="Arial" w:eastAsia="Arial" w:hAnsi="Arial"/>
                <w:sz w:val="14"/>
                <w:szCs w:val="14"/>
                <w:color w:val="auto"/>
              </w:rPr>
              <w:t>James Mead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2"/>
              </w:rPr>
              <w:t>Andrew S. Levine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01/10/2014</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11,093(1)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823,633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06/11/2014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06/11/2014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968(5)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968(5)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88,261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09/11/2014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09/11/2014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1,807(5)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1,807(5)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12/12/2014</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12/12/2014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9,968(1)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960,038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LTIP units vested immediately upon grant, but remains subject to a two-year restriction on transfer from the date of grant.</w:t>
      </w:r>
    </w:p>
    <w:p>
      <w:pPr>
        <w:spacing w:after="0" w:line="122" w:lineRule="exact"/>
        <w:rPr>
          <w:rFonts w:ascii="Arial" w:cs="Arial" w:eastAsia="Arial" w:hAnsi="Arial"/>
          <w:sz w:val="14"/>
          <w:szCs w:val="14"/>
          <w:color w:val="auto"/>
        </w:rPr>
      </w:pPr>
    </w:p>
    <w:p>
      <w:pPr>
        <w:ind w:left="1680" w:right="180" w:hanging="531"/>
        <w:spacing w:after="0" w:line="318"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Holliday's employment agreement and was subject to vesting based on continued employment through January 17, 2014. Once vested, these LTIP units remain subject to a restriction on transfer until the earlier of two years after vesting, termination of employment or a change in control.</w:t>
      </w:r>
    </w:p>
    <w:p>
      <w:pPr>
        <w:spacing w:after="0" w:line="66" w:lineRule="exact"/>
        <w:rPr>
          <w:rFonts w:ascii="Arial" w:cs="Arial" w:eastAsia="Arial" w:hAnsi="Arial"/>
          <w:sz w:val="12"/>
          <w:szCs w:val="12"/>
          <w:color w:val="auto"/>
        </w:rPr>
      </w:pPr>
    </w:p>
    <w:p>
      <w:pPr>
        <w:ind w:left="1680" w:right="40" w:hanging="531"/>
        <w:spacing w:after="0" w:line="233"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Holliday's employment agreement based on the achievement of certain performance criteria for 2013 and was subject to vesting based on continued employment through January 17, 2014. Once vested, these LTIP units remain subject to a restriction on transfer until the earlier of two years after vesting, termination of employment or a change in control.</w:t>
      </w:r>
    </w:p>
    <w:p>
      <w:pPr>
        <w:spacing w:after="0" w:line="111" w:lineRule="exact"/>
        <w:rPr>
          <w:rFonts w:ascii="Arial" w:cs="Arial" w:eastAsia="Arial" w:hAnsi="Arial"/>
          <w:sz w:val="14"/>
          <w:szCs w:val="14"/>
          <w:color w:val="auto"/>
        </w:rPr>
      </w:pPr>
    </w:p>
    <w:p>
      <w:pPr>
        <w:ind w:left="1680" w:right="160" w:hanging="531"/>
        <w:spacing w:after="0" w:line="239"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notional stock units was subject to vesting based on continued employment through January 17, 2015. Each stock unit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right="80" w:hanging="531"/>
        <w:spacing w:after="0" w:line="273"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LTIP units granted in recognition of our strong stock price performance during the three-year performance period under our 2011 Outperformance Plan, which exceeded the level needed to achieve maximum performance under the plan. This grant of LTIP units vests pro-rata over a three-year period on June 30, 2015, 2016 and 2017, respectively, subject to continued employment through such dates and the achievement of either an 8% per year increase in FFO per share or total return to stockholders in the top 35% of the constituents of the MSCI US REIT Index in the year prior to the applicable vesting date or on a cumulative basis from 2014 through the year prior to the applicable vesting date. Once vested, these LTIP units remain subject to a restriction on transfer until the earlier of two</w:t>
      </w:r>
    </w:p>
    <w:p>
      <w:pPr>
        <w:sectPr>
          <w:pgSz w:w="11900" w:h="16838" w:orient="portrait"/>
          <w:cols w:equalWidth="0" w:num="1">
            <w:col w:w="11400"/>
          </w:cols>
          <w:pgMar w:left="240" w:top="131" w:right="25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300"/>
        <w:spacing w:after="0" w:line="233" w:lineRule="auto"/>
        <w:rPr>
          <w:sz w:val="20"/>
          <w:szCs w:val="20"/>
          <w:color w:val="auto"/>
        </w:rPr>
      </w:pPr>
      <w:r>
        <w:rPr>
          <w:rFonts w:ascii="Arial" w:cs="Arial" w:eastAsia="Arial" w:hAnsi="Arial"/>
          <w:sz w:val="14"/>
          <w:szCs w:val="14"/>
          <w:color w:val="auto"/>
        </w:rPr>
        <w:t>years after vesting, termination of employment or a change in control. The "Maximum ($/#)" column represents the maximum number of LTIP units that could be earned. The "Target ($/#)" column represents the number of LTIP units that would be earned if the performance goals are achieved. The LTIP units only provide for a single level of performance each year. Accordingly, the "Threshold($/#)" subcolumn is not applicable.</w:t>
      </w:r>
    </w:p>
    <w:p>
      <w:pPr>
        <w:spacing w:after="0" w:line="179" w:lineRule="exact"/>
        <w:rPr>
          <w:sz w:val="20"/>
          <w:szCs w:val="20"/>
          <w:color w:val="auto"/>
        </w:rPr>
      </w:pPr>
    </w:p>
    <w:p>
      <w:pPr>
        <w:ind w:left="1680" w:right="40" w:hanging="531"/>
        <w:spacing w:after="0" w:line="239"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notional stock units was subject to vesting based on continued employment through December 31, 2014. Each stock unit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right="100" w:hanging="531"/>
        <w:spacing w:after="0" w:line="318" w:lineRule="auto"/>
        <w:tabs>
          <w:tab w:leader="none" w:pos="1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Mathias's employment agreement and was subject to vesting based on continued employment through December 31, 2014. Once vested, these LTIP units remain subject to a restriction on transfer until the earlier of two years after vesting, termination of employment or a change in control.</w:t>
      </w:r>
    </w:p>
    <w:p>
      <w:pPr>
        <w:spacing w:after="0" w:line="66" w:lineRule="exact"/>
        <w:rPr>
          <w:rFonts w:ascii="Arial" w:cs="Arial" w:eastAsia="Arial" w:hAnsi="Arial"/>
          <w:sz w:val="12"/>
          <w:szCs w:val="12"/>
          <w:color w:val="auto"/>
        </w:rPr>
      </w:pPr>
    </w:p>
    <w:p>
      <w:pPr>
        <w:ind w:left="1680" w:right="20" w:hanging="531"/>
        <w:spacing w:after="0" w:line="268" w:lineRule="auto"/>
        <w:tabs>
          <w:tab w:leader="none" w:pos="1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Mathias's employment agreement and was subject to vesting based on the achievement of any of the following financial performance goals during 2014 (or on a cumulative basis beginning with 2014 through the end of 2015 or 2016) and continued employment through the end of the year as of which the financial performance goals are achieved: (i) 7% or greater increase in FFO on a per-share basis, (ii) 7% or greater TRS or (iii) TRS or percentage increase in FFO per share in the top 40% of a peer group of companies determined each year by our Compensation Committee. Once vested, these LTIP units remain subject to a restriction on transfer until the earlier of two years after vesting, termination of employment or a change in control. The "Maximum ($/#)" column represents the maximum number of LTIP units that could be earned. The "Target ($/#)" column represents the number of LTIP units that would be earned if the performance goals are achieved. The LTIP units only provide for a single level of performance. Accordingly, the "Threshold($/#)" subcolumn is not applicable.</w:t>
      </w:r>
    </w:p>
    <w:p>
      <w:pPr>
        <w:spacing w:after="0" w:line="96" w:lineRule="exact"/>
        <w:rPr>
          <w:rFonts w:ascii="Arial" w:cs="Arial" w:eastAsia="Arial" w:hAnsi="Arial"/>
          <w:sz w:val="12"/>
          <w:szCs w:val="12"/>
          <w:color w:val="auto"/>
        </w:rPr>
      </w:pPr>
    </w:p>
    <w:p>
      <w:pPr>
        <w:ind w:left="1680" w:right="60" w:hanging="531"/>
        <w:spacing w:after="0" w:line="269" w:lineRule="auto"/>
        <w:tabs>
          <w:tab w:leader="none" w:pos="1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awards made under our 2011 Outperformance Plan. Under our 2011 Outperformance Plan, awards were to be paid to each executive in LTIP units with a value equal to the dollar amount earned by such executive under the plan. See "Compensation Discussion and Analysis—Long-Term Incentive Awards—Outperformance Plans—2011 Outperformance Plan" for a description of the terms of our 2011 Outperformance Plan. The "Maximum ($/#)" column represents the maximum dollar amount that could have been earned under our 2011 Outperformance Plan based on the portion of the awards that were allocated in 2014 to the named executive officer. The "Target ($/#)" column represents the dollar amount that would be earned based on TRS during the three-year performance period under our 2011 Outperformance Plan of September 1, 2011 through August 31, 2014. Awards under our 2011 Outperformance Plan could have ranged from $0 to the maximum amount set forth in the table. Accordingly, the "Threshold($/#)" subcolumn is not applicable.</w:t>
      </w:r>
    </w:p>
    <w:p>
      <w:pPr>
        <w:spacing w:after="0" w:line="246" w:lineRule="exact"/>
        <w:rPr>
          <w:rFonts w:ascii="Arial" w:cs="Arial" w:eastAsia="Arial" w:hAnsi="Arial"/>
          <w:sz w:val="12"/>
          <w:szCs w:val="12"/>
          <w:color w:val="auto"/>
        </w:rPr>
      </w:pPr>
    </w:p>
    <w:p>
      <w:pPr>
        <w:ind w:left="1680" w:right="20" w:hanging="531"/>
        <w:spacing w:after="0" w:line="228"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LTIP units granted pursuant to our formulaic annual cash bonus program for 2014. As noted above, each of Messrs. Holliday, Green and Mathias was permitted to elect to receive LTIP units in lieu of any cash bonus earned under our formulaic annual cash bonus program. Mr. Holliday elected to receive 65% of his cash bonus in LTIP units and each of Messrs. Green and Mathias elected to receive 100% of his cash bonus in LTIP units. These grants are reported as Stock Awards because the agreements pursuant to which each of these executives had the option to elect settlement in LTIP units was within the scope of ASC 718. These LTIP units were vested upon grant, but remained subject to a two-year restriction on transfer from the date of grant.</w:t>
      </w:r>
    </w:p>
    <w:p>
      <w:pPr>
        <w:spacing w:after="0" w:line="113" w:lineRule="exact"/>
        <w:rPr>
          <w:rFonts w:ascii="Arial" w:cs="Arial" w:eastAsia="Arial" w:hAnsi="Arial"/>
          <w:sz w:val="14"/>
          <w:szCs w:val="14"/>
          <w:color w:val="auto"/>
        </w:rPr>
      </w:pPr>
    </w:p>
    <w:p>
      <w:pPr>
        <w:ind w:left="1680" w:right="140" w:hanging="531"/>
        <w:spacing w:after="0" w:line="233"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cash payouts that were possible pursuant to our formulaic annual cash bonus program for 2014. This only includes the portion of cash bonus that Mr. Holliday did not elect to receive in LTIP units, which was 35% of his cash bonus for 2014. See "Compensation Discussion and Analysis—Annual Incentive Awards—Formulaic Cash Bonus Program" for a description of this award.</w:t>
      </w:r>
    </w:p>
    <w:p>
      <w:pPr>
        <w:spacing w:after="0" w:line="19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Grants of all equity awards were made pursuant to the 2005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accrue cash dividends, dividend equivalents or distributions prior to the achievement of these hurdles, and such accrued amounts are only paid to the executives if and when the performance hurdles are met.</w:t>
      </w:r>
    </w:p>
    <w:p>
      <w:pPr>
        <w:spacing w:after="0" w:line="16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See "Potential Payments Upon Termination or a Change-in-Control" below, for a discussion regarding potential acceleration of the equity awards and a description of the material terms of each named executive officer's employment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2014</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2014.</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gridSpan w:val="2"/>
          </w:tcPr>
          <w:p>
            <w:pPr>
              <w:jc w:val="center"/>
              <w:ind w:left="92"/>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or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Options (#)</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Have Not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13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Rights that Have</w:t>
            </w:r>
          </w:p>
        </w:tc>
        <w:tc>
          <w:tcPr>
            <w:tcW w:w="0" w:type="dxa"/>
            <w:vAlign w:val="bottom"/>
          </w:tcPr>
          <w:p>
            <w:pPr>
              <w:spacing w:after="0"/>
              <w:rPr>
                <w:sz w:val="1"/>
                <w:szCs w:val="1"/>
                <w:color w:val="auto"/>
              </w:rPr>
            </w:pPr>
          </w:p>
        </w:tc>
      </w:t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Unexerciseable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Vested(2)</w:t>
            </w:r>
          </w:p>
        </w:tc>
        <w:tc>
          <w:tcPr>
            <w:tcW w:w="11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Not Vested(2)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10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33,333(4)</w:t>
            </w:r>
          </w:p>
        </w:tc>
        <w:tc>
          <w:tcPr>
            <w:tcW w:w="11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66,667(4)$</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76.65</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01/02/2018</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168,410</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20,044,158</w:t>
            </w:r>
          </w:p>
        </w:tc>
        <w:tc>
          <w:tcPr>
            <w:tcW w:w="13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9,975(3)$</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1,187,225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33,333(4)</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66,667(4)$</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01/02/2023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100" w:type="dxa"/>
            <w:vAlign w:val="bottom"/>
            <w:gridSpan w:val="3"/>
          </w:tcPr>
          <w:p>
            <w:pPr>
              <w:spacing w:after="0"/>
              <w:rPr>
                <w:sz w:val="20"/>
                <w:szCs w:val="20"/>
                <w:color w:val="auto"/>
              </w:rPr>
            </w:pPr>
            <w:r>
              <w:rPr>
                <w:rFonts w:ascii="Arial" w:cs="Arial" w:eastAsia="Arial" w:hAnsi="Arial"/>
                <w:sz w:val="14"/>
                <w:szCs w:val="14"/>
                <w:color w:val="auto"/>
                <w:w w:val="97"/>
              </w:rPr>
              <w:t>Stephen L. Green</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77,156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9,183,107</w:t>
            </w:r>
          </w:p>
        </w:tc>
        <w:tc>
          <w:tcPr>
            <w:tcW w:w="1360" w:type="dxa"/>
            <w:vAlign w:val="bottom"/>
            <w:gridSpan w:val="4"/>
          </w:tcPr>
          <w:p>
            <w:pPr>
              <w:jc w:val="right"/>
              <w:spacing w:after="0"/>
              <w:rPr>
                <w:sz w:val="20"/>
                <w:szCs w:val="20"/>
                <w:color w:val="auto"/>
              </w:rPr>
            </w:pPr>
            <w:r>
              <w:rPr>
                <w:rFonts w:ascii="Arial" w:cs="Arial" w:eastAsia="Arial" w:hAnsi="Arial"/>
                <w:sz w:val="14"/>
                <w:szCs w:val="14"/>
                <w:color w:val="auto"/>
              </w:rPr>
              <w:t>4,402(3)$</w:t>
            </w:r>
          </w:p>
        </w:tc>
        <w:tc>
          <w:tcPr>
            <w:tcW w:w="920" w:type="dxa"/>
            <w:vAlign w:val="bottom"/>
          </w:tcPr>
          <w:p>
            <w:pPr>
              <w:jc w:val="right"/>
              <w:spacing w:after="0"/>
              <w:rPr>
                <w:sz w:val="20"/>
                <w:szCs w:val="20"/>
                <w:color w:val="auto"/>
              </w:rPr>
            </w:pPr>
            <w:r>
              <w:rPr>
                <w:rFonts w:ascii="Arial" w:cs="Arial" w:eastAsia="Arial" w:hAnsi="Arial"/>
                <w:sz w:val="14"/>
                <w:szCs w:val="14"/>
                <w:color w:val="auto"/>
              </w:rPr>
              <w:t>523,926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21,666(5)</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43,334(5)$</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11/08/2018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132,703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15,794,311</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7,560(3)$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899,791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21,666(5)</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43,334(5)$</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11/08/2018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100" w:type="dxa"/>
            <w:vAlign w:val="bottom"/>
            <w:gridSpan w:val="3"/>
          </w:tcPr>
          <w:p>
            <w:pPr>
              <w:spacing w:after="0"/>
              <w:rPr>
                <w:sz w:val="20"/>
                <w:szCs w:val="20"/>
                <w:color w:val="auto"/>
              </w:rPr>
            </w:pPr>
            <w:r>
              <w:rPr>
                <w:rFonts w:ascii="Arial" w:cs="Arial" w:eastAsia="Arial" w:hAnsi="Arial"/>
                <w:sz w:val="14"/>
                <w:szCs w:val="14"/>
                <w:color w:val="auto"/>
              </w:rPr>
              <w:t>James Mead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14,618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1,739,834</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Andrew S. Levine</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12,500(6)$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12/12/2018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6,189,754</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8,851(3)$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1,053,446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12,500(6)$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12/12/2023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each of our named executive officers, includes the following:</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Performance-   Time-Based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Notional</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Based</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Employment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Notional</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Unit Plan</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2011</w:t>
            </w:r>
          </w:p>
        </w:tc>
        <w:tc>
          <w:tcPr>
            <w:tcW w:w="76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Employment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Agreement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LTIP</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Outperformance</w:t>
            </w:r>
          </w:p>
        </w:tc>
        <w:tc>
          <w:tcPr>
            <w:tcW w:w="1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LTIP</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Agreement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LTIP</w:t>
            </w:r>
          </w:p>
        </w:tc>
        <w:tc>
          <w:tcPr>
            <w:tcW w:w="0" w:type="dxa"/>
            <w:vAlign w:val="bottom"/>
          </w:tcPr>
          <w:p>
            <w:pPr>
              <w:spacing w:after="0"/>
              <w:rPr>
                <w:sz w:val="1"/>
                <w:szCs w:val="1"/>
                <w:color w:val="auto"/>
              </w:rPr>
            </w:pPr>
          </w:p>
        </w:tc>
      </w:tr>
      <w:tr>
        <w:trPr>
          <w:trHeight w:val="161"/>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Units(a)</w:t>
            </w:r>
          </w:p>
        </w:tc>
        <w:tc>
          <w:tcPr>
            <w:tcW w:w="1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Units(b)</w:t>
            </w: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Plan Units(c)</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Units(d)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Units(e)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LTIP Units(f)</w:t>
            </w: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Units(g)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00" w:type="dxa"/>
            <w:vAlign w:val="bottom"/>
            <w:tcBorders>
              <w:right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5,922</w:t>
            </w:r>
          </w:p>
        </w:tc>
        <w:tc>
          <w:tcPr>
            <w:tcW w:w="8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62,059</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95,442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4,987</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Stephen L. Green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32,850</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42,107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2,199</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54,750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72,325</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Jim Mead</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3,967</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10,651</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12,373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17,710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220" w:hanging="540"/>
        <w:spacing w:after="0" w:line="230" w:lineRule="auto"/>
        <w:tabs>
          <w:tab w:leader="none" w:pos="22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Represents notional stock units, each of which represents the contingent right to receive the value of one share of common stock in accordance with the terms of a deferred compensation agreement. These notional stock units vested on 01/17/2015. Vested notional stock units are settled in cash no later than 30 days following the earliest of (i) Mr. Holliday's death, (ii) the date of Mr. Holliday's separation from service with us, and (iii) the effective date of a Change-in-Control (as defined in the deferred compensation agreement).</w:t>
      </w:r>
    </w:p>
    <w:p>
      <w:pPr>
        <w:spacing w:after="0" w:line="112" w:lineRule="exact"/>
        <w:rPr>
          <w:rFonts w:ascii="Arial" w:cs="Arial" w:eastAsia="Arial" w:hAnsi="Arial"/>
          <w:sz w:val="14"/>
          <w:szCs w:val="14"/>
          <w:color w:val="auto"/>
        </w:rPr>
      </w:pPr>
    </w:p>
    <w:p>
      <w:pPr>
        <w:ind w:left="2260" w:right="320" w:hanging="540"/>
        <w:spacing w:after="0" w:line="318" w:lineRule="auto"/>
        <w:tabs>
          <w:tab w:leader="none" w:pos="22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Represents LTIP unit awards with respect to which the performance-based vesting conditions had been met under our 2010 Notional Unit Plan, but which remained subject to vesting requirements based on continued employment, which vested on 01/01/2015 subject to continued employment through such date.</w:t>
      </w:r>
    </w:p>
    <w:p>
      <w:pPr>
        <w:spacing w:after="0" w:line="66" w:lineRule="exact"/>
        <w:rPr>
          <w:rFonts w:ascii="Arial" w:cs="Arial" w:eastAsia="Arial" w:hAnsi="Arial"/>
          <w:sz w:val="12"/>
          <w:szCs w:val="12"/>
          <w:color w:val="auto"/>
        </w:rPr>
      </w:pPr>
    </w:p>
    <w:p>
      <w:pPr>
        <w:ind w:left="2260" w:right="180" w:hanging="540"/>
        <w:spacing w:after="0" w:line="318" w:lineRule="auto"/>
        <w:tabs>
          <w:tab w:leader="none" w:pos="22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Represents LTIP unit awards with respect to which the performance-based vesting conditions had been met under our 2011 Outperformance Plan, but which remained subject to vesting requirements based on continued employment, which are scheduled to vest on 08/31/2015 subject to continued employment through such date.</w:t>
      </w:r>
    </w:p>
    <w:p>
      <w:pPr>
        <w:spacing w:after="0" w:line="66" w:lineRule="exact"/>
        <w:rPr>
          <w:rFonts w:ascii="Arial" w:cs="Arial" w:eastAsia="Arial" w:hAnsi="Arial"/>
          <w:sz w:val="12"/>
          <w:szCs w:val="12"/>
          <w:color w:val="auto"/>
        </w:rPr>
      </w:pPr>
    </w:p>
    <w:p>
      <w:pPr>
        <w:ind w:left="2260" w:hanging="540"/>
        <w:spacing w:after="0"/>
        <w:tabs>
          <w:tab w:leader="none" w:pos="22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Represents LTIP units granted on 11/08/2013, which vested on 01/01/2015.</w:t>
      </w:r>
    </w:p>
    <w:p>
      <w:pPr>
        <w:spacing w:after="0" w:line="122" w:lineRule="exact"/>
        <w:rPr>
          <w:rFonts w:ascii="Arial" w:cs="Arial" w:eastAsia="Arial" w:hAnsi="Arial"/>
          <w:sz w:val="14"/>
          <w:szCs w:val="14"/>
          <w:color w:val="auto"/>
        </w:rPr>
      </w:pPr>
    </w:p>
    <w:p>
      <w:pPr>
        <w:ind w:left="2260" w:right="300" w:hanging="540"/>
        <w:spacing w:after="0" w:line="233" w:lineRule="auto"/>
        <w:tabs>
          <w:tab w:leader="none" w:pos="22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Represents LTIP Units granted in recognition of our strong stock price performance during the three-year performance period under our 2011 Outperformance Plan, which exceeded the level needed to achieve maximum performance under the plan, and which vest on 6/30/2015 based on 2014 performance, subject to continued employment through such dates.</w:t>
      </w:r>
    </w:p>
    <w:p>
      <w:pPr>
        <w:spacing w:after="0" w:line="111" w:lineRule="exact"/>
        <w:rPr>
          <w:rFonts w:ascii="Arial" w:cs="Arial" w:eastAsia="Arial" w:hAnsi="Arial"/>
          <w:sz w:val="14"/>
          <w:szCs w:val="14"/>
          <w:color w:val="auto"/>
        </w:rPr>
      </w:pPr>
    </w:p>
    <w:p>
      <w:pPr>
        <w:ind w:left="2260" w:hanging="540"/>
        <w:spacing w:after="0"/>
        <w:tabs>
          <w:tab w:leader="none" w:pos="22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Represents LTIP units granted on 06/27/2013, which vested on 01/01/2015 based on 2014 performance.</w:t>
      </w:r>
    </w:p>
    <w:p>
      <w:pPr>
        <w:spacing w:after="0" w:line="122" w:lineRule="exact"/>
        <w:rPr>
          <w:rFonts w:ascii="Arial" w:cs="Arial" w:eastAsia="Arial" w:hAnsi="Arial"/>
          <w:sz w:val="14"/>
          <w:szCs w:val="14"/>
          <w:color w:val="auto"/>
        </w:rPr>
      </w:pPr>
    </w:p>
    <w:p>
      <w:pPr>
        <w:ind w:left="2260" w:hanging="540"/>
        <w:spacing w:after="0" w:line="239" w:lineRule="auto"/>
        <w:tabs>
          <w:tab w:leader="none" w:pos="22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Represents LTIP units granted on 06/27/2013, of which one-half vested on 01/01/2015 and one-half is scheduled to vest on 01/01/2016, subject to continued employment through such date.</w:t>
      </w:r>
    </w:p>
    <w:p>
      <w:pPr>
        <w:spacing w:after="0" w:line="179" w:lineRule="exact"/>
        <w:rPr>
          <w:rFonts w:ascii="Arial" w:cs="Arial" w:eastAsia="Arial" w:hAnsi="Arial"/>
          <w:sz w:val="14"/>
          <w:szCs w:val="14"/>
          <w:color w:val="auto"/>
        </w:rPr>
      </w:pPr>
    </w:p>
    <w:p>
      <w:pPr>
        <w:ind w:left="1680" w:right="8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a price of $119.02 per share/unit, which was the closing price on the New York Stock Exchange of one share of our common stock on December 31, 2014. Assumes that the value of LTIP units on a per unit basis is equal to the per share value of our common stock.</w:t>
      </w:r>
    </w:p>
    <w:p>
      <w:pPr>
        <w:spacing w:after="0" w:line="111" w:lineRule="exact"/>
        <w:rPr>
          <w:rFonts w:ascii="Arial" w:cs="Arial" w:eastAsia="Arial" w:hAnsi="Arial"/>
          <w:sz w:val="14"/>
          <w:szCs w:val="14"/>
          <w:color w:val="auto"/>
        </w:rPr>
      </w:pPr>
    </w:p>
    <w:p>
      <w:pPr>
        <w:ind w:left="1680" w:right="60" w:hanging="531"/>
        <w:spacing w:after="0" w:line="270"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the following LTIP Units granted in recognition of our strong stock price performance during the three-year performance period under our 2011 Outperformance Plan, which exceeded the level needed to achieve maximum performance under the plan, and which vest pro-rata on 06/30/2016 and 06/30/2017, respectively, subject to continued employment through such dates and the achievement of either an 8% per year increase in FFO per share or TRS in the top 35% of the constituents of the MSCI US REIT Index in the year prior to the applicable vesting date or on a cumulative basis from 2014 through the year prior to the applicable vesting date: Mr. Holliday—9,975 LTIP units, Mr. Green— 4,402 LTIP units, Mr. Mathias—7,560 LTIP units and Mr. Levine—1,851 LTIP units. For Mr. Levine, also includes 7,000 LTIP units granted on 06/27/2013, which are scheduled to vest on 01/01/2016, based on the attainment of specified performance goals during the vesting period and subject to continued employment through such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40" w:hanging="531"/>
        <w:spacing w:after="0" w:line="233"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an award of 100,000 stock options that expire five years after the date of grant and an award of 100,000 stock options that expire 10 years after the date of grant, of which one-third of each vested on 01/17/2014 and an additional one-third of each is scheduled to vest on each of 01/17/2015 and 01/17/2016 subject to continued employment through such dates.</w:t>
      </w:r>
    </w:p>
    <w:p>
      <w:pPr>
        <w:spacing w:after="0" w:line="111" w:lineRule="exact"/>
        <w:rPr>
          <w:rFonts w:ascii="Arial" w:cs="Arial" w:eastAsia="Arial" w:hAnsi="Arial"/>
          <w:sz w:val="14"/>
          <w:szCs w:val="14"/>
          <w:color w:val="auto"/>
        </w:rPr>
      </w:pPr>
    </w:p>
    <w:p>
      <w:pPr>
        <w:jc w:val="both"/>
        <w:ind w:left="1680" w:right="180" w:hanging="531"/>
        <w:spacing w:after="0" w:line="233"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an award of 65,000 stock options that expire five years after the date of grant and an award of 65,000 stock options that expire 10 years after the date of grant, of which one-third of each vested on 12/31/2014 and an additional one-third of each is scheduled to vest on each of 12/31/2015 and 12/31/2016 subject to continued employment through such dates.</w:t>
      </w:r>
    </w:p>
    <w:p>
      <w:pPr>
        <w:spacing w:after="0" w:line="111" w:lineRule="exact"/>
        <w:rPr>
          <w:rFonts w:ascii="Arial" w:cs="Arial" w:eastAsia="Arial" w:hAnsi="Arial"/>
          <w:sz w:val="14"/>
          <w:szCs w:val="14"/>
          <w:color w:val="auto"/>
        </w:rPr>
      </w:pPr>
    </w:p>
    <w:p>
      <w:pPr>
        <w:ind w:left="1680" w:right="260" w:hanging="531"/>
        <w:spacing w:after="0" w:line="318"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an award of 12,500 stock options that expire five years after the date of grant and an award of 12,500 stock options that expire 10 years after the date of grant, each of which vests pro-rata over a three-year period on 01/01/2015, 01/01/2016 and 01/01/2017, respectively, subject to continued employment through such 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Option Exercises and Stock Vested</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LTIP units and similar instruments for each named executive officer during the fiscal year ended December 31, 2014.</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Vesting(1)</w:t>
            </w:r>
          </w:p>
        </w:tc>
        <w:tc>
          <w:tcPr>
            <w:tcW w:w="0" w:type="dxa"/>
            <w:vAlign w:val="bottom"/>
          </w:tcPr>
          <w:p>
            <w:pPr>
              <w:spacing w:after="0"/>
              <w:rPr>
                <w:sz w:val="1"/>
                <w:szCs w:val="1"/>
                <w:color w:val="auto"/>
              </w:rPr>
            </w:pPr>
          </w:p>
        </w:tc>
      </w:tr>
      <w:tr>
        <w:trPr>
          <w:trHeight w:val="16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261,256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26,311,675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89,263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9,453,264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179,689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19,983,114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18,150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1,971,521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vesting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provided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 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8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amounts shown below assume that such Change-in-Control or such termination was effective as of December 31, 2014 and are estimates of the amounts that would be provided to the named executive officers upon such Change-in-Control or termination of employment. The value of the acceleration of vesting of shares of restricted stock and the LTIP units is based on the value of unvested awards set forth in the "Outstanding Equity Awards" table above.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Health and welfare benefits are valued based on the estimated amount of future premiums that would be paid on behalf of the named executive officer under our existing plans, based on the premiums in effect as of December 31, 2014. The actual amounts to be paid out can only be 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We have designed our equity-based awards to encourage retention and continued performance. As a result, the executive would suffer a material economic forfeiture should an executive leave our employment without Good Reason.</w:t>
      </w:r>
    </w:p>
    <w:p>
      <w:pPr>
        <w:spacing w:after="0" w:line="191"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b w:val="1"/>
          <w:bCs w:val="1"/>
          <w:color w:val="auto"/>
        </w:rPr>
        <w:t>Stephen L. Green.</w:t>
      </w:r>
      <w:r>
        <w:rPr>
          <w:sz w:val="20"/>
          <w:szCs w:val="20"/>
          <w:color w:val="auto"/>
        </w:rPr>
        <w:tab/>
      </w:r>
      <w:r>
        <w:rPr>
          <w:rFonts w:ascii="Arial" w:cs="Arial" w:eastAsia="Arial" w:hAnsi="Arial"/>
          <w:sz w:val="15"/>
          <w:szCs w:val="15"/>
          <w:color w:val="auto"/>
        </w:rPr>
        <w:t>Stephen L. Green's amended and restated employment and non-competition agreement had an initial term commencing 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December 24, 2010 and ending on December 31, 2011, subject to automatic renewal for successive one-year periods unless either party delivers six months'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of non-renewal under the agreement. As neither party provided written notice of non-renewal prior to June 30, 2014, the term was automatically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extended through December 31, 2015. The agreement provides for an annual salary of no less than $750,000 from January 1, 2011 through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period, and such discretionary annual bonuses as we, in our sole discretion, may deem appropriate to reward Mr. Green for job performance.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to annual salary and bonuses, the agreement provides for annual contributions of notional stock units with a value equal to $150,000, on January 1st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year during the employment period, into a deferred compensation account maintained on Mr. Green's behalf, with vesting of each annual contribution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occurring on December 31st of that year subject to continued employment. Under the agreement, we are also obligated to maintain a life insurance policy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of Mr. Green's beneficiaries in the face amount of $5 million, or if not available at reasonable rates, to self-insure Mr. Green up to the maximum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payable under the agreement. The benefit payable under this policy to Mr. Green's beneficiaries will offset certain other benefits that would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provided to his estate under this agreement, as more fully described below.</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Green's employment is terminated for any reason, under the agreement he will be subject to the following continuing obligations after termination:</w:t>
      </w:r>
    </w:p>
    <w:p>
      <w:pPr>
        <w:spacing w:after="0" w:line="38" w:lineRule="exact"/>
        <w:rPr>
          <w:sz w:val="20"/>
          <w:szCs w:val="20"/>
          <w:color w:val="auto"/>
        </w:rPr>
      </w:pPr>
    </w:p>
    <w:p>
      <w:pPr>
        <w:ind w:right="20" w:firstLine="8"/>
        <w:spacing w:after="0" w:line="292"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Green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2014, Mr. Green would have been entitled to the following payments and benefits:</w:t>
      </w:r>
    </w:p>
    <w:p>
      <w:pPr>
        <w:spacing w:after="0" w:line="184" w:lineRule="exact"/>
        <w:rPr>
          <w:sz w:val="20"/>
          <w:szCs w:val="20"/>
          <w:color w:val="auto"/>
        </w:rPr>
      </w:pPr>
    </w:p>
    <w:p>
      <w:pPr>
        <w:ind w:left="1080" w:right="32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our 2010 Notional Unit Plan and our 2011 Outperformance Plan, the time-based vesting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unvested awards would have been accelerated. The accelerated time-based vesting under our 2010 Notional Unit Plan and 2011 Outperformance Plan would have resulted in Mr. Green receiving a total value of $8,921,382.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5" w:lineRule="auto"/>
        <w:rPr>
          <w:sz w:val="20"/>
          <w:szCs w:val="20"/>
          <w:color w:val="auto"/>
        </w:rPr>
      </w:pPr>
      <w:r>
        <w:rPr>
          <w:rFonts w:ascii="Arial" w:cs="Arial" w:eastAsia="Arial" w:hAnsi="Arial"/>
          <w:sz w:val="16"/>
          <w:szCs w:val="16"/>
          <w:color w:val="auto"/>
        </w:rPr>
        <w:t>Mr. Green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In order to avoid creating an opportunity for a successor to induce Mr. Green to terminate his employment without Good Reason following a Change-in-Control, Mr. Green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 In addition, upon a Change-in-Control, the performance-based vesting criteria for the additional LTIP unit awards granted to Mr. Green in 2014 in recognition of our strong stock price performance during the three-year performance period under our 2011 Outperformance Plan will be determined based on performance through the date of the Change-in-Control, but these awards will remain subject to vesting based on continued employment through the originally established vesting dates. If a Change-in-Control had occurred on December 31, 2014, the performance-based vesting criteria for these awards would have been satisfied.</w:t>
      </w:r>
    </w:p>
    <w:p>
      <w:pPr>
        <w:spacing w:after="0" w:line="196"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would have received no payments or benefits.</w:t>
      </w:r>
    </w:p>
    <w:p>
      <w:pPr>
        <w:spacing w:after="0" w:line="252" w:lineRule="exact"/>
        <w:rPr>
          <w:rFonts w:ascii="Arial" w:cs="Arial" w:eastAsia="Arial" w:hAnsi="Arial"/>
          <w:sz w:val="18"/>
          <w:szCs w:val="18"/>
          <w:color w:val="auto"/>
        </w:rPr>
      </w:pPr>
    </w:p>
    <w:p>
      <w:pPr>
        <w:ind w:left="1080" w:hanging="532"/>
        <w:spacing w:after="0" w:line="301"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Green's employment agreement, Mr. Green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$10,600,000, which is equal to the sum of (i) his average annual base salary in effect during the preceding 24 months, or his Average Annual Base Salary, plus (ii) a bonus equal to the average annual cash bonuses (including any portion of the annual cash bonus paid in the form of equity awards, but excluding any annual or other equity awards made other than as payment of a cash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Green's employment was terminated (and the prior year if such bonus had not yet been determined) based on Mr. Green's Average Annual Cash Bonus. Under Mr. Green's employment agreement,</w:t>
      </w:r>
    </w:p>
    <w:p>
      <w:pPr>
        <w:spacing w:after="0" w:line="4" w:lineRule="exact"/>
        <w:rPr>
          <w:rFonts w:ascii="Arial" w:cs="Arial" w:eastAsia="Arial" w:hAnsi="Arial"/>
          <w:sz w:val="15"/>
          <w:szCs w:val="15"/>
          <w:color w:val="auto"/>
        </w:rPr>
      </w:pPr>
    </w:p>
    <w:p>
      <w:pPr>
        <w:ind w:left="1080" w:right="260"/>
        <w:spacing w:after="0" w:line="310" w:lineRule="auto"/>
        <w:rPr>
          <w:rFonts w:ascii="Arial" w:cs="Arial" w:eastAsia="Arial" w:hAnsi="Arial"/>
          <w:sz w:val="15"/>
          <w:szCs w:val="15"/>
          <w:color w:val="auto"/>
        </w:rPr>
      </w:pPr>
      <w:r>
        <w:rPr>
          <w:rFonts w:ascii="Arial" w:cs="Arial" w:eastAsia="Arial" w:hAnsi="Arial"/>
          <w:sz w:val="15"/>
          <w:szCs w:val="15"/>
          <w:color w:val="auto"/>
        </w:rPr>
        <w:t>Mr. Green also would have received his medical and welfare benefits for 12 months, the cost of which to us is projected to aggregate approximately $26,838. Under Mr. Green's employment agreement, all of his outstanding equity awards, other than those made under our outperformance plans, and all of his outstanding unvested deferred compensation contributions would have fully vested upon termination. This accelerated vesting would have resulted in total value of $785,651. Under our 2010 Notional Unit Plan and our 2011 Outperformance Plan, Mr. Green also would have 12 months of additional vesting for his awards under those plans. Mr. Green would have received a total value of $8,921,382 from this 12 months of additional vesting. Mr. Green only would have been entitled to receive the severance payments, accelerated vesting and other benefits provided for in his employment agreement, as described above, if he executed a general release of claims with us.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02"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Green's employment agreement, if Mr. Green had been terminated by us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Cause or by Mr. Green for Good Reason in connection with or within 18 months after a Change-in-Control, Mr. Green would have received a cash severance payment of $22,100,000,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w:t>
      </w:r>
    </w:p>
    <w:p>
      <w:pPr>
        <w:spacing w:after="0" w:line="1" w:lineRule="exact"/>
        <w:rPr>
          <w:rFonts w:ascii="Arial" w:cs="Arial" w:eastAsia="Arial" w:hAnsi="Arial"/>
          <w:sz w:val="15"/>
          <w:szCs w:val="15"/>
          <w:color w:val="auto"/>
        </w:rPr>
      </w:pPr>
    </w:p>
    <w:p>
      <w:pPr>
        <w:ind w:left="1080" w:right="160"/>
        <w:spacing w:after="0" w:line="290" w:lineRule="auto"/>
        <w:rPr>
          <w:rFonts w:ascii="Arial" w:cs="Arial" w:eastAsia="Arial" w:hAnsi="Arial"/>
          <w:sz w:val="15"/>
          <w:szCs w:val="15"/>
          <w:color w:val="auto"/>
        </w:rPr>
      </w:pPr>
      <w:r>
        <w:rPr>
          <w:rFonts w:ascii="Arial" w:cs="Arial" w:eastAsia="Arial" w:hAnsi="Arial"/>
          <w:sz w:val="16"/>
          <w:szCs w:val="16"/>
          <w:color w:val="auto"/>
        </w:rPr>
        <w:t>Mr. Green also would have received his medical and welfare benefits for 24 months, the cost of which to us is projected to aggregate approximately $53,676. Mr. Green's equity awards and outstanding unvested deferred compensation contributions would have fully vested resulting in total value of $9,707,033. Under Mr. Green's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w:t>
      </w:r>
    </w:p>
    <w:p>
      <w:pPr>
        <w:spacing w:after="0" w:line="199" w:lineRule="exact"/>
        <w:rPr>
          <w:rFonts w:ascii="Arial" w:cs="Arial" w:eastAsia="Arial" w:hAnsi="Arial"/>
          <w:sz w:val="15"/>
          <w:szCs w:val="15"/>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Green's employment agreement, Mr. Green would have received a cash severance payment of</w:t>
      </w:r>
    </w:p>
    <w:p>
      <w:pPr>
        <w:spacing w:after="0" w:line="38" w:lineRule="exact"/>
        <w:rPr>
          <w:rFonts w:ascii="Arial" w:cs="Arial" w:eastAsia="Arial" w:hAnsi="Arial"/>
          <w:sz w:val="16"/>
          <w:szCs w:val="16"/>
          <w:color w:val="auto"/>
        </w:rPr>
      </w:pPr>
    </w:p>
    <w:p>
      <w:pPr>
        <w:ind w:left="1080" w:right="20"/>
        <w:spacing w:after="0" w:line="286" w:lineRule="auto"/>
        <w:rPr>
          <w:rFonts w:ascii="Arial" w:cs="Arial" w:eastAsia="Arial" w:hAnsi="Arial"/>
          <w:sz w:val="16"/>
          <w:szCs w:val="16"/>
          <w:color w:val="auto"/>
        </w:rPr>
      </w:pPr>
      <w:r>
        <w:rPr>
          <w:rFonts w:ascii="Arial" w:cs="Arial" w:eastAsia="Arial" w:hAnsi="Arial"/>
          <w:sz w:val="16"/>
          <w:szCs w:val="16"/>
          <w:color w:val="auto"/>
        </w:rPr>
        <w:t>$10,600,000,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 Mr. Green also would have continued to receive his medical and welfare benefits for 36 months, the cost of which to us is projected to aggregate approximately $80,514. Mr. Green also would have received 24 months of additional vesting for his outstanding equity awards, other than awards made under our 2010 Notional Unit Plan and our 2011 Outperformance Plan, and full vesting for his stock options, equity awards granted in lieu of cash bonuses and any unvested deferred compensation contributions. Under our 2010 Notional Unit Plan and our 2011 Outperformance Plan, the time-based vesting of the awards would have been accelerated. The combination of the accelerated vesting under Mr. Green's employment agreement, our 2010 Notional Unit Plan and our 2011 Outperformance Plan results in total value of $9,445,149. Mr. Green only would have been entitled to receive the severance payments, accelerated vesting and other benefits provided for in his employment agreement, as described above, if he had executed a general release of claims with us.</w:t>
      </w:r>
    </w:p>
    <w:p>
      <w:pPr>
        <w:spacing w:after="0" w:line="188" w:lineRule="exact"/>
        <w:rPr>
          <w:rFonts w:ascii="Arial" w:cs="Arial" w:eastAsia="Arial" w:hAnsi="Arial"/>
          <w:sz w:val="16"/>
          <w:szCs w:val="16"/>
          <w:color w:val="auto"/>
        </w:rPr>
      </w:pPr>
    </w:p>
    <w:p>
      <w:pPr>
        <w:ind w:left="1080" w:hanging="532"/>
        <w:spacing w:after="0" w:line="283"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Green's employment agreement, Mr. Green's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his pro rata bonus for the year in which his employment was terminated (and the prior year if such bonus had not yet been determined) based on his Average Annual Cash Bonus, (ii) 24 months of additional vesting for his outstanding equity awards, other than awards made under our 2010 Notional Unit Plan and our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Arial" w:cs="Arial" w:eastAsia="Arial" w:hAnsi="Arial"/>
          <w:sz w:val="16"/>
          <w:szCs w:val="16"/>
          <w:color w:val="auto"/>
        </w:rPr>
      </w:pPr>
    </w:p>
    <w:p>
      <w:pPr>
        <w:ind w:left="1080" w:right="40"/>
        <w:spacing w:after="0" w:line="290" w:lineRule="auto"/>
        <w:rPr>
          <w:rFonts w:ascii="Arial" w:cs="Arial" w:eastAsia="Arial" w:hAnsi="Arial"/>
          <w:sz w:val="16"/>
          <w:szCs w:val="16"/>
          <w:color w:val="auto"/>
        </w:rPr>
      </w:pPr>
      <w:r>
        <w:rPr>
          <w:rFonts w:ascii="Arial" w:cs="Arial" w:eastAsia="Arial" w:hAnsi="Arial"/>
          <w:sz w:val="16"/>
          <w:szCs w:val="16"/>
          <w:color w:val="auto"/>
        </w:rPr>
        <w:t>Mr. Green would have fully vested. Under our 2010 Notional Unit Plan and our 2011 Outperformance Plan, the time-based vesting of the awards would have been accelerated. However, notwithstanding the foregoing, Mr. Green's estate only would have been entitled to receive the pro rata bonus, vesting credit, payments and other benefits described above to the extent that the aggregate value of such pro rata bonus, vesting credit, payments and other benefits exceeds the amount payable to Mr. Green's beneficiaries under the life insurance policy, or self-insurance, maintained by us. As we maintained a life insurance policy for the benefit of Mr. Green's beneficiaries in the face amount of $5 million as of December 31, 2014, the aggregate value that Mr. Green's estate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would have received with respect to the pro rata bonus, vesting credit, payments and other benefits described above would have been $9,295,149, which equals the amount by which their value exceeded $5 million.</w:t>
      </w:r>
    </w:p>
    <w:p>
      <w:pPr>
        <w:spacing w:after="0" w:line="180"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Marc Holliday's amended and restated employment and non-competition agreement has an initial term commencing on January 18, 2013</w:t>
      </w:r>
      <w:r>
        <w:rPr>
          <w:rFonts w:ascii="Arial" w:cs="Arial" w:eastAsia="Arial" w:hAnsi="Arial"/>
          <w:sz w:val="16"/>
          <w:szCs w:val="16"/>
          <w:b w:val="1"/>
          <w:bCs w:val="1"/>
          <w:color w:val="auto"/>
        </w:rPr>
        <w:t xml:space="preserve"> </w:t>
      </w:r>
      <w:r>
        <w:rPr>
          <w:rFonts w:ascii="Arial" w:cs="Arial" w:eastAsia="Arial" w:hAnsi="Arial"/>
          <w:sz w:val="16"/>
          <w:szCs w:val="16"/>
          <w:color w:val="auto"/>
        </w:rPr>
        <w:t>and ending on January 17, 2016; provided that, if a Change-in-Control occurs within 18 months prior to the scheduled expiration of the term, Mr. Holliday may elect to extend the term until the date that is 18 months after such Change-in-Control. The agreement provides for an annual salary of no less than $1,050,000 from January 18, 2013 through the end of the employment period, and such annual bonuses as we, in our sole discretion, may deem appropriate to reward</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Mr. Holliday for job performance. In addition to annual salary and bonuses, the agreement provides for annual contributions of notional stock units with a value equal to $550,000 for 2014 and $600,000 for 2015, to be made on January 18th of each respective year, into a deferred compensation account maintained on Mr. Holliday's behalf, with vesting of each annual contribution occurring on January 17th of the following year subject to continued employment. Under the agreement, Mr. Holliday will also be entitled to a percentage award allocation in any outperformance plan implemented during the employment period that is no less than his current percentage allocation in our 2011 Outperformance Plan, which is 22.67%. The agreement also provided that Good Reason would exist if we did not grant 87,870 LTIP units to Mr. Holliday on or before January 17th of each of 2014, 2015 and 2016, of which 60% would be subject to performance-based vesting, based on the goals described below, and 40% would be subject to time-based vesting based on continued employment through January 17th of such year. The vesting of the performance-based LTIP units to be granted each year was to be based on the achievement of any of the following financial performance goals during the prior year (or on a cumulative basis beginning with 2013 through the end of such year or, if later, 2014 or 2015) and continued employment through January 17th of the year following the year as of which the financial performance goals are achieved: (i) 7% or greater increase in FFO on a per-share basis,</w:t>
      </w:r>
    </w:p>
    <w:p>
      <w:pPr>
        <w:spacing w:after="0" w:line="5" w:lineRule="exact"/>
        <w:rPr>
          <w:sz w:val="20"/>
          <w:szCs w:val="20"/>
          <w:color w:val="auto"/>
        </w:rPr>
      </w:pPr>
    </w:p>
    <w:p>
      <w:pPr>
        <w:ind w:right="20" w:firstLine="8"/>
        <w:spacing w:after="0" w:line="281"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7% or greater TRS or (iii) TRS or percentage increase in FFO per share in the top 40% of a peer group of companies determined each year by our Compensation Committee. As a result of an amendment to his employment agreements agreed to by Mr. Holliday in 2014, 100% of the future LTIP units that we are required to grant to avoid creating Good Reason under his employment agreement are subject to performance-based vesting hurdles and the hurdles that must be achieved are more difficult. For future awards, the vesting of the performance-based LTIP units set forth above is based on the achievement of any of the following financial performance goals during the applicable time period: (i) 8% or greater increase in FFO on a per-share basis, (ii) 8% or greater TRS or</w:t>
      </w:r>
    </w:p>
    <w:p>
      <w:pPr>
        <w:spacing w:after="0" w:line="3" w:lineRule="exact"/>
        <w:rPr>
          <w:rFonts w:ascii="Arial" w:cs="Arial" w:eastAsia="Arial" w:hAnsi="Arial"/>
          <w:sz w:val="16"/>
          <w:szCs w:val="16"/>
          <w:color w:val="auto"/>
        </w:rPr>
      </w:pPr>
    </w:p>
    <w:p>
      <w:pPr>
        <w:ind w:right="20" w:firstLine="8"/>
        <w:spacing w:after="0" w:line="292" w:lineRule="auto"/>
        <w:tabs>
          <w:tab w:leader="none" w:pos="3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TRS in the top 35% of the constituents of the MSCI US REIT Index. All of the LTIP units will include a restriction on transfer until the earlier of two years after vesting, termination of Mr. Holliday's employment or a Change-in-Control. Under the agreement, we are also obligated to maintain a life insurance policy for the benefit of Mr. Holliday's beneficiaries in the face amount of $10 million, or if not available at reasonable rates, to self-insure Mr. Holliday up to the maximum cash severance payable under the agreement. The benefit payable under this policy to Mr. Holliday's beneficiaries will offset certain other benefits that would otherwise be provided to his estate under this agreement, as more fully described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Holliday's employment is terminated for any reason, under the agreement he will be subject to the following continuing obligations after termination:</w:t>
      </w:r>
    </w:p>
    <w:p>
      <w:pPr>
        <w:spacing w:after="0" w:line="38" w:lineRule="exact"/>
        <w:rPr>
          <w:sz w:val="20"/>
          <w:szCs w:val="20"/>
          <w:color w:val="auto"/>
        </w:rPr>
      </w:pPr>
    </w:p>
    <w:p>
      <w:pPr>
        <w:ind w:right="60" w:firstLine="8"/>
        <w:spacing w:after="0" w:line="295" w:lineRule="auto"/>
        <w:tabs>
          <w:tab w:leader="none" w:pos="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Holliday with Good Reason in connection with or within 18 months after a Change-in-Control, in which case the nonsolicitation provision will not extend beyond termination of employment); and (iii) nondisparagement of us and non-interference with our business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one year. In connection with a Triggering Event occurring as of December 31, 2014, Mr. Holliday would have been entitled to the following payments and benefits:</w:t>
      </w:r>
    </w:p>
    <w:p>
      <w:pPr>
        <w:spacing w:after="0" w:line="199" w:lineRule="exact"/>
        <w:rPr>
          <w:sz w:val="20"/>
          <w:szCs w:val="20"/>
          <w:color w:val="auto"/>
        </w:rPr>
      </w:pPr>
    </w:p>
    <w:p>
      <w:pPr>
        <w:ind w:left="1080" w:right="80" w:hanging="532"/>
        <w:spacing w:after="0" w:line="28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our 2010 Notional Unit Plan and our 2011 Outperformance Plan, the time-based vesting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would have been accelerated. The accelerated time-based vesting under our 2010 Notional Unit Plan and our 2011 Outperformance Plan would have resulted in Mr. Holliday receiving a total value of $18,745,769. Mr. Holliday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 In order to avoid creating an opportunity for a successor to induce Mr. Holliday to terminate his employment without Good Reason following a Change-in-Control,</w:t>
      </w:r>
    </w:p>
    <w:p>
      <w:pPr>
        <w:spacing w:after="0" w:line="5" w:lineRule="exact"/>
        <w:rPr>
          <w:rFonts w:ascii="Arial" w:cs="Arial" w:eastAsia="Arial" w:hAnsi="Arial"/>
          <w:sz w:val="16"/>
          <w:szCs w:val="16"/>
          <w:color w:val="auto"/>
        </w:rPr>
      </w:pPr>
    </w:p>
    <w:p>
      <w:pPr>
        <w:ind w:left="1080"/>
        <w:spacing w:after="0" w:line="285" w:lineRule="auto"/>
        <w:rPr>
          <w:rFonts w:ascii="Arial" w:cs="Arial" w:eastAsia="Arial" w:hAnsi="Arial"/>
          <w:sz w:val="16"/>
          <w:szCs w:val="16"/>
          <w:color w:val="auto"/>
        </w:rPr>
      </w:pPr>
      <w:r>
        <w:rPr>
          <w:rFonts w:ascii="Arial" w:cs="Arial" w:eastAsia="Arial" w:hAnsi="Arial"/>
          <w:sz w:val="16"/>
          <w:szCs w:val="16"/>
          <w:color w:val="auto"/>
        </w:rPr>
        <w:t>Mr. Holliday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 In addition, upon a Change-in-Control, the performance-based vesting criteria for the additional LTIP unit awards granted to Mr. Holliday in 2014 in recognition of our strong stock price performance during the three-year performance period under our 2011 Outperformance Plan and 60% of the LTIP units that we are required to grant on or before January 17, 2016 to avoid creating Good Reason under Mr. Holliday's employment agreement will be determined based on performance through the date of the Change-in-Control, but these awards will remain subject to vesting based on continued employment through the originally established vesting dates. If a Change-in-Control had occurred on December 31, 2014, the performance-based vesting criteria for these awards would have been satisfied. The vesting of the remaining 40% of the LTIP units that we are required to grant on or before January 17, 2016 to avoid creating Good Reason under Mr. Holliday's employment agreement will be based solely on continued employment through the original established vesting date.</w:t>
      </w:r>
    </w:p>
    <w:p>
      <w:pPr>
        <w:spacing w:after="0" w:line="207"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would have received no payments or benefits.</w:t>
      </w:r>
    </w:p>
    <w:p>
      <w:pPr>
        <w:spacing w:after="0" w:line="238" w:lineRule="exact"/>
        <w:rPr>
          <w:rFonts w:ascii="Arial" w:cs="Arial" w:eastAsia="Arial" w:hAnsi="Arial"/>
          <w:sz w:val="18"/>
          <w:szCs w:val="18"/>
          <w:color w:val="auto"/>
        </w:rPr>
      </w:pPr>
    </w:p>
    <w:p>
      <w:pPr>
        <w:ind w:left="1080" w:right="60" w:hanging="532"/>
        <w:spacing w:after="0" w:line="287"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for Good Reason. </w:t>
      </w:r>
      <w:r>
        <w:rPr>
          <w:rFonts w:ascii="Arial" w:cs="Arial" w:eastAsia="Arial" w:hAnsi="Arial"/>
          <w:sz w:val="16"/>
          <w:szCs w:val="16"/>
          <w:color w:val="auto"/>
        </w:rPr>
        <w:t>Under Mr. Holliday's employment agreement, Mr. Holliday would have received a cash</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payment of $16,030,000, which is equal to the sum of (i) his average annual base salary in effect during the preceding 24 months, or his Average Annual Base Salary, plus (ii) a bonus equal to the average annual cash bonuses (including any portion of the annual cash bonus paid in the form of equity awards, but excluding any annual or other equity awards made other than as payment of a cash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Holliday's employment was terminated (and the prior year if such bonus had not yet been determined) based on Mr. Holliday's Average Annual Cash Bonus. Under Mr. Holliday's employment agreement, Mr. Holliday also would have received payments for his medical and welfare benefits for 12 months, which is projected to aggregate approximately $26,537. Under Mr. Holliday's employment agreement, all of his outstanding equity awards,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90" w:lineRule="auto"/>
        <w:rPr>
          <w:sz w:val="20"/>
          <w:szCs w:val="20"/>
          <w:color w:val="auto"/>
        </w:rPr>
      </w:pPr>
      <w:r>
        <w:rPr>
          <w:rFonts w:ascii="Arial" w:cs="Arial" w:eastAsia="Arial" w:hAnsi="Arial"/>
          <w:sz w:val="16"/>
          <w:szCs w:val="16"/>
          <w:color w:val="auto"/>
        </w:rPr>
        <w:t>other than those made under our outperformance plans, and all of his outstanding unvested deferred compensation contributions would have fully vested upon termination. In addition, any of the equity awards to be granted on or before each January 17 during the term to avoid creating Good Reason, described above, that had not yet been granted would have been granted and been fully vested. These grants and the accelerated vesting would have resulted in total value of $29,051,550. Mr. Holliday also would have 12 months of additional vesting for his awards under our outperformance plans. Mr. Holliday would have received a total value of $18,745,769 from this 12 months of additional vesting. Mr. Holliday only would have been entitled to receive the severance payments, accelerated vesting and other benefits provided for in his employment agreement, as described above, if he executed a general release of claims with us.</w:t>
      </w:r>
    </w:p>
    <w:p>
      <w:pPr>
        <w:spacing w:after="0" w:line="186" w:lineRule="exact"/>
        <w:rPr>
          <w:sz w:val="20"/>
          <w:szCs w:val="20"/>
          <w:color w:val="auto"/>
        </w:rPr>
      </w:pPr>
    </w:p>
    <w:p>
      <w:pPr>
        <w:ind w:left="1080" w:hanging="532"/>
        <w:spacing w:after="0" w:line="285"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Holliday's employment agreement, if Mr. Holliday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Holliday for Good Reason in connection with or within 18 months after a Change-in-Control, Mr. Holliday would have received a cash severance payment of $33,610,000,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received medical and welfare benefit continuation payments for 24 months, which is projected to aggregate approximately $53,074. Under Mr. Holliday's employment agreement, all of his outstanding equity awards, other than those made under our outperformance plans, and all of his outstanding unvested deferred compensation contributions would have fully vested upon termination. In addition, any of the equity awards to be granted on or before each January 17 during the term to avoid creating Good Reason, described above, that had not yet been granted would have been granted and been fully vested. These grants and the accelerated vesting would have resulted in total value of $29,051,550. Under our 2010 Notional Unit Plan and our 2011 Outperformance Plan, the time-based vesting of the awards would have been accelerated. The accelerated time-based vesting under our 2010 Notional Unit Plan and our 2011 Outperformance Plan would have resulted in Mr. Holliday receiving a total value of $18,745,769. Under Mr. Holliday's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w:t>
      </w:r>
    </w:p>
    <w:p>
      <w:pPr>
        <w:spacing w:after="0" w:line="204" w:lineRule="exact"/>
        <w:rPr>
          <w:rFonts w:ascii="Arial" w:cs="Arial" w:eastAsia="Arial" w:hAnsi="Arial"/>
          <w:sz w:val="16"/>
          <w:szCs w:val="16"/>
          <w:color w:val="auto"/>
        </w:rPr>
      </w:pPr>
    </w:p>
    <w:p>
      <w:pPr>
        <w:ind w:left="1080" w:right="120" w:hanging="532"/>
        <w:spacing w:after="0" w:line="287"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Holliday's employment agreement, Mr. Holliday would have received a cash severance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$16,030,000,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received medical and welfare benefit continuation payments for 36 months, which is projected to aggregate approximately $79,611. In addition, any of the annual equity awards to be granted on or before each January 17 during the term to avoid creating Good Reason, described above, that had not yet been granted would have been granted. Mr. Holliday also would have received 24 months of additional vesting for his outstanding equity awards (including those granted in connection with such termination), other than awards made under our 2010 Notional Unit Plan and our 2011 Outperformance Plan, and full vesting for his stock options, equity awards granted in lieu of cash bonuses and any unvested deferred compensation contributions.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55" w:lineRule="auto"/>
        <w:rPr>
          <w:sz w:val="20"/>
          <w:szCs w:val="20"/>
          <w:color w:val="auto"/>
        </w:rPr>
      </w:pPr>
      <w:r>
        <w:rPr>
          <w:rFonts w:ascii="Arial" w:cs="Arial" w:eastAsia="Arial" w:hAnsi="Arial"/>
          <w:sz w:val="18"/>
          <w:szCs w:val="18"/>
          <w:color w:val="auto"/>
        </w:rPr>
        <w:t>Under our 2010 Notional Unit Plan and our 2011 Outperformance Plan, the time-based vesting of the award under would have been accelerated. The combination of the grants and accelerated vesting under Mr. Holliday's employment agreement, our 2010 Notional Unit Plan and our 2011 Outperformance Plan results in total value of $47,203,727. Mr. Holliday only would have been entitled to receive the severance payments, accelerated vesting and other benefits provided for in his employment agreement, as described above, if he had executed a general release of claims with us.</w:t>
      </w:r>
    </w:p>
    <w:p>
      <w:pPr>
        <w:spacing w:after="0" w:line="210" w:lineRule="exact"/>
        <w:rPr>
          <w:sz w:val="20"/>
          <w:szCs w:val="20"/>
          <w:color w:val="auto"/>
        </w:rPr>
      </w:pPr>
    </w:p>
    <w:p>
      <w:pPr>
        <w:ind w:left="1080" w:hanging="532"/>
        <w:spacing w:after="0" w:line="285"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Holliday's employment agreement, Mr. Holliday's estate would have received (i)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the prior year if such bonus had not yet been determined) based on his Average Annual Cash Bonus, (ii) 24 months of additional vesting for his outstanding equity awards, other than awards made under our 2010 Notional Unit Plan and our 2011 Outperformance Plan, and (iii) full vesting for his equity awards granted in lieu of cash bonuses and his outstanding unvested deferred compensation contributions. In addition, any of the equity awards to be granted on or before each January 17 during the term to avoid creating Good Reason, described above, that had not yet been granted would have been granted and received 24 months of additional vesting. Under the general terms of our equity plans, all of the stock options granted to Mr. Holliday would have fully vested. Under our 2010 Notional Unit Plan and our 2011 Outperformance Plan, the time-based vesting of the awards would have been accelerated. However, notwithstanding the foregoing, Mr. Holliday's estate only would have been entitled to receive the pro rata bonus, vesting credit, payments and other benefits described above to the extent that the aggregate value of such pro rata bonus, vesting credit, payments and other benefits exceeds the amount payable to Mr. Holliday's beneficiaries under the life insurance policy, or self-insurance, maintained by us. As we maintained a life insurance policy for the benefit of Mr. Holliday's beneficiaries in the face amount of $10 million as of December 31, 2014, the aggregate value that Mr. Holliday's estate would have received with respect to the pro rata bonus, vesting credit, payments and other benefits described above would have been $44,443,727, which equals the amount by which their value exceeded $10 million.</w:t>
      </w:r>
    </w:p>
    <w:p>
      <w:pPr>
        <w:spacing w:after="0" w:line="176"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Andrew Mathias' amended and restated employment and non-competition agreement has a term commencing on January 1, 2014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December 31, 2016, which will automatically renew for successive one-year periods unless either party delivers written notice of non-renewal by September 15 of a given year. The agreement provides for an annual salary of no less than $800,000 during the employment period, and such annual bonuses as we, in our sole discretion, may deem appropriate to reward Mr. Mathias for his job performance. In addition to annual salary and bonuses, the agreement provides for annual contributions of notional stock units with a value equal to $400,000 for 2014, $450,000 for 2015 and $500,000 for 2016 to be made on January 1st of each year during the employment period, into a deferred compensation account maintained on Mr. Mathias' behalf, with vesting of each annual contribution occurring on December 31st of that year subject to continued employment. The agreement also provides that Mr. Mathias will be entitled to a percentage award allocation in any outperformance plan implemented during the employment period that is no less than his initial percentage allocation in our 2011 Outperformance Plan, which was 16.00%. Under the agreement, Mr. Mathias was also entitled to receive a one-time grant of 7,393 LTIP units, which were vested 50% upon grant, 25% on December 31, 2013 and the remaining 25% of which vested on January 1, 2015, subject to continued employment. Mr. Mathias also received a one-time grant of options to purchase 130,000 shares of the Company's common stock. One-third of the total shares subject to the options vested or will vest on December 31 of 2014, 2015 and 2016, respectively, subject, in each case, to continued employment. One-half of the options are scheduled to expire after five years with the remainder expiring after ten years. The agreement also provided that Good Reason would exist if we did not grant 58,667 (or, for 2014, 58,666) LTIP units to Mr. Mathias on or before December 31st of each year during the term, of which 60% would be subject to performance-based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vesting, based on the goals described below, and 40% would be subject to time-based vesting based on continued employment through December 31 of such year. The vesting each year for the performance-based LTIP units to be granted each year was to be based on the achievement of any of the following financial performance goals during such year (or on a cumulative basis beginning with 2014 through the end of any of such year or, if later, 2015 or 2016) and continued employment through the end of the year as of which the financial performance goals are achieved: (i) 7% or greater increase in FFO on a per-share basis, (ii) 7% or greater TRS or (iii) TRS or percentage increase in FFO per share in the top 40% of a peer group of companies determined each year by our Compensation Committee. As a result of an amendment to his employment agreements agreed to by Mr. Mathias in 2014, 100% of the future LTIP units that we are required to grant to avoid creating Good Reason under his employment agreement are subject to performance-based vesting hurdles and the hurdles that must be achieved are more difficult. For future awards, the vesting of the performance-based LTIP units set forth above is based on the achievement of any of the following financial performance goals during the applicable time period: (i) 8% or greater increase in FFO on a per-share basis, (ii) 8% or greater TRS or (iii) TRS in the top 35% of the constituents of the MSCI US REIT Index. All of the LTIP units will include a restriction on transfer until the earlier of two years after vesting, termination of Mr. Mathias's employment or a Change-in-Control. The agreement also provided that Good Reason would exist if we had not granted Mr. Mathias an additional allocation under our 2011 Outperformance Plan pursuant to which Mr. Mathias could earn up to approximately $1,000,000 of LTIP units.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Mathias' employment is terminated for any reason, under the agreement he will be subject to the following continuing obligations after termination:</w:t>
      </w:r>
    </w:p>
    <w:p>
      <w:pPr>
        <w:spacing w:after="0" w:line="38" w:lineRule="exact"/>
        <w:rPr>
          <w:sz w:val="20"/>
          <w:szCs w:val="20"/>
          <w:color w:val="auto"/>
        </w:rPr>
      </w:pPr>
    </w:p>
    <w:p>
      <w:pPr>
        <w:ind w:right="100" w:firstLine="8"/>
        <w:spacing w:after="0" w:line="252"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Mathias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2014, Mr. Mathias would have been entitled to the following payments and benefits:</w:t>
      </w:r>
    </w:p>
    <w:p>
      <w:pPr>
        <w:spacing w:after="0" w:line="215" w:lineRule="exact"/>
        <w:rPr>
          <w:rFonts w:ascii="Arial" w:cs="Arial" w:eastAsia="Arial" w:hAnsi="Arial"/>
          <w:sz w:val="18"/>
          <w:szCs w:val="18"/>
          <w:color w:val="auto"/>
        </w:rPr>
      </w:pPr>
    </w:p>
    <w:p>
      <w:pPr>
        <w:ind w:left="1080" w:right="20" w:hanging="532"/>
        <w:spacing w:after="0" w:line="286"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our 2010 Notional Unit Plan and our 2011 Outperformance Plan, the time-based vesting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would have been accelerated. The accelerated time-based vesting under our 2010 Notional Unit Plan and our 2011 Outperformance Plan would have resulted in Mr. Mathias receiving a total value of $15,124,467. Mr. Mathias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Mathias will not be entitled to a tax gross-up payment; however, Mr. Mathias' payments and benefits would be reduced to the extent necessary to avoid such excise taxes, but only if such a reduction of pay or benefits would result in a greater after-tax benefit to Mr. Mathias. Under the agreement, to avoid creating an opportunity for a successor to the Company to induce Mr. Mathias to terminate his employment without Good Reason following a Change-in-Control, Mr. Mathias would also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would have received no payments or benefits.</w:t>
      </w:r>
    </w:p>
    <w:p>
      <w:pPr>
        <w:spacing w:after="0" w:line="252" w:lineRule="exact"/>
        <w:rPr>
          <w:rFonts w:ascii="Arial" w:cs="Arial" w:eastAsia="Arial" w:hAnsi="Arial"/>
          <w:sz w:val="18"/>
          <w:szCs w:val="18"/>
          <w:color w:val="auto"/>
        </w:rPr>
      </w:pPr>
    </w:p>
    <w:p>
      <w:pPr>
        <w:ind w:left="1080" w:right="120" w:hanging="532"/>
        <w:spacing w:after="0" w:line="301"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Mathias' employment agreement, Mr. Mathias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$11,550,000,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Mathias' employment was terminated (and the prior year if such bonus had not yet been determined) based on Mr. Mathias' Average Annual Cash Bonus. Under Mr. Mathias' employment agreement,</w:t>
      </w:r>
    </w:p>
    <w:p>
      <w:pPr>
        <w:spacing w:after="0" w:line="4" w:lineRule="exact"/>
        <w:rPr>
          <w:rFonts w:ascii="Arial" w:cs="Arial" w:eastAsia="Arial" w:hAnsi="Arial"/>
          <w:sz w:val="15"/>
          <w:szCs w:val="15"/>
          <w:color w:val="auto"/>
        </w:rPr>
      </w:pPr>
    </w:p>
    <w:p>
      <w:pPr>
        <w:ind w:left="1080"/>
        <w:spacing w:after="0" w:line="287" w:lineRule="auto"/>
        <w:rPr>
          <w:rFonts w:ascii="Arial" w:cs="Arial" w:eastAsia="Arial" w:hAnsi="Arial"/>
          <w:sz w:val="15"/>
          <w:szCs w:val="15"/>
          <w:color w:val="auto"/>
        </w:rPr>
      </w:pPr>
      <w:r>
        <w:rPr>
          <w:rFonts w:ascii="Arial" w:cs="Arial" w:eastAsia="Arial" w:hAnsi="Arial"/>
          <w:sz w:val="16"/>
          <w:szCs w:val="16"/>
          <w:color w:val="auto"/>
        </w:rPr>
        <w:t>Mr. Mathias also would have received payments for his medical and welfare benefits for 12 months, which is projected to aggregate approximately $27,501. In addition, any of the equity awards to be granted during the term to avoid creating Good Reason, described above, that had not yet been granted would have been granted. Under Mr. Mathias' employment agreement, all of his outstanding equity awards (including those granted in connection with such termination), other than those made under our 2010 Notional Unit Plan and our 2011 Outperformance Plan, and all of his outstanding unvested deferred compensation contributions would have fully vested upon termination. These grants and the accelerated vesting results in total value of $17,925,899. Mr. Mathias also would have 12 months of additional vesting for his awards under our outperformance plans. Mr. Mathias would have received a total value of $15,124,467 from this 12 months of additional vesting. Mr. Mathias only would have been entitled to receive the severance payments, accelerated vesting and other benefits provided for in his employment agreement, as described above, if he executed a general release of claims with us.</w:t>
      </w:r>
    </w:p>
    <w:p>
      <w:pPr>
        <w:spacing w:after="0" w:line="187" w:lineRule="exact"/>
        <w:rPr>
          <w:rFonts w:ascii="Arial" w:cs="Arial" w:eastAsia="Arial" w:hAnsi="Arial"/>
          <w:sz w:val="15"/>
          <w:szCs w:val="15"/>
          <w:color w:val="auto"/>
        </w:rPr>
      </w:pPr>
    </w:p>
    <w:p>
      <w:pPr>
        <w:ind w:left="1080" w:hanging="532"/>
        <w:spacing w:after="0" w:line="305"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Mathias' employment agreement, if Mr. Mathias had been terminated by us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Cause or by Mr. Mathias for Good Reason in connection with or within 18 months after a Change-in-Control, Mr. Mathias would have received a cash severance payment of $21,075,000, which is equal to the sum of (i) 2.5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received medical and welfare benefit continuation payments for 24 months, which is projected to aggregate approximately $55,002. Under Mr. Mathias's employment agreement, all of his outstanding equity awards, other than those made under our outperformance plans, and all of his outstanding unvested deferred compensation contributions would have fully vested upon termination. In addition, any of the equity awards to be granted on or before each December 31st during the term to avoid creating Good Reason, described above, that had not yet been granted would have been granted and been fully vested. These grants and the accelerated vesting would have resulted in total value of $17,925,899. Under our 2010 Notional Unit Plan and our 2011 Outperformance Plan, the time-based vesting of the awards would have been accelerated. The accelerated time-based vesting under our 2010 Notional Unit Plan and our 2011 Outperformance Plan would have resulted in Mr. Mathias receiving a total value of $15,124,467. Under Mr. Mathias' employment agreement, in the event that any payment or benefit constitutes an excess "parachute payment" under Section 280G of the IRC subject to an excise tax, Mr. Mathias will not be entitled to a tax gross-up payment; however, Mr. Mathias' payments and benefits would be reduced to the extent necessary to avoid such excise taxes, but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only if such a reduction of pay or benefits would result in a greater after-tax benefit to Mr. Mathias.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Mathias' employment agreement, Mr. Mathias would have received a cash severance payment of</w:t>
      </w:r>
    </w:p>
    <w:p>
      <w:pPr>
        <w:spacing w:after="0" w:line="38" w:lineRule="exact"/>
        <w:rPr>
          <w:rFonts w:ascii="Arial" w:cs="Arial" w:eastAsia="Arial" w:hAnsi="Arial"/>
          <w:sz w:val="16"/>
          <w:szCs w:val="16"/>
          <w:color w:val="auto"/>
        </w:rPr>
      </w:pPr>
    </w:p>
    <w:p>
      <w:pPr>
        <w:ind w:left="1080" w:right="40"/>
        <w:spacing w:after="0" w:line="285" w:lineRule="auto"/>
        <w:rPr>
          <w:rFonts w:ascii="Arial" w:cs="Arial" w:eastAsia="Arial" w:hAnsi="Arial"/>
          <w:sz w:val="16"/>
          <w:szCs w:val="16"/>
          <w:color w:val="auto"/>
        </w:rPr>
      </w:pPr>
      <w:r>
        <w:rPr>
          <w:rFonts w:ascii="Arial" w:cs="Arial" w:eastAsia="Arial" w:hAnsi="Arial"/>
          <w:sz w:val="16"/>
          <w:szCs w:val="16"/>
          <w:color w:val="auto"/>
        </w:rPr>
        <w:t>$11,550,000,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continued to receive medical and welfare benefit continuation payments for 36 months, which is projected to aggregate approximately $82,503. In addition, any of the equity awards to be granted during the term to avoid creating Good Reason, described above, that had not yet been granted would have been granted. Mr. Mathias also would have received 18 months of additional vesting for his outstanding equity awards (including those granted in connection with such termination), other than awards made under our 2010 Notional Unit Plan and our 2011 Outperformance Plan, and full vesting for his stock options, equity awards granted in lieu of cash bonuses and any unvested deferred compensation contributions. Under our 2010 Notional Unit Plan and our 2011 Outperformance Plan, the time-based vesting of the awards would have been accelerated. The combination of the grants and accelerated vesting under Mr. Mathias' employment agreement, our 2010 Notional Unit Plan and our 2011 Outperformance Plan results in total value of $32,605,865. Mr. Mathias only would have been entitled to receive the severance payments, accelerated vesting and other benefits provided for in his employment agreement, as described above, if he had executed a general release of claims with us.</w:t>
      </w:r>
    </w:p>
    <w:p>
      <w:pPr>
        <w:spacing w:after="0" w:line="205" w:lineRule="exact"/>
        <w:rPr>
          <w:rFonts w:ascii="Arial" w:cs="Arial" w:eastAsia="Arial" w:hAnsi="Arial"/>
          <w:sz w:val="16"/>
          <w:szCs w:val="16"/>
          <w:color w:val="auto"/>
        </w:rPr>
      </w:pPr>
    </w:p>
    <w:p>
      <w:pPr>
        <w:ind w:left="1080" w:hanging="532"/>
        <w:spacing w:after="0" w:line="309"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death. </w:t>
      </w:r>
      <w:r>
        <w:rPr>
          <w:rFonts w:ascii="Arial" w:cs="Arial" w:eastAsia="Arial" w:hAnsi="Arial"/>
          <w:sz w:val="15"/>
          <w:szCs w:val="15"/>
          <w:color w:val="auto"/>
        </w:rPr>
        <w:t>Under Mr. Mathias' employment agreement, Mr. Mathias' estate would have received (i) a cash severance payment equal</w:t>
      </w:r>
      <w:r>
        <w:rPr>
          <w:rFonts w:ascii="Arial" w:cs="Arial" w:eastAsia="Arial" w:hAnsi="Arial"/>
          <w:sz w:val="15"/>
          <w:szCs w:val="15"/>
          <w:i w:val="1"/>
          <w:iCs w:val="1"/>
          <w:color w:val="auto"/>
        </w:rPr>
        <w:t xml:space="preserve"> </w:t>
      </w:r>
      <w:r>
        <w:rPr>
          <w:rFonts w:ascii="Arial" w:cs="Arial" w:eastAsia="Arial" w:hAnsi="Arial"/>
          <w:sz w:val="15"/>
          <w:szCs w:val="15"/>
          <w:color w:val="auto"/>
        </w:rPr>
        <w:t>to his pro rata bonus for the year in which his employment was terminated (and the prior year if such bonus had not yet been determined) based on his Average Annual Cash Bonus, (ii) 18 months of additional vesting for his outstanding equity awards (including those granted in connection with such termination), other than awards made under our 2010 Notional Unit Plan and our 2011 Outperformance Plan, and (iii) full vesting for his equity awards granted in lieu of cash bonuses and his outstanding unvested deferred compensation contributions. In addition, any of the equity awards to be granted during the term to avoid creating Good Reason, described above, that had not yet been granted would have been granted. Under the general terms of our equity plans, all of the stock options granted to Mr. Mathias would have fully vested. Under our 2010 Notional Unit Plan and our 2011 Outperformance Plan, the time-based vesting would have been accelerated. The aggregate value that Mr. Mathias' estate would have received with respect to the pro rata bonus, vesting credit, payments and other benefits described above would have been $37,805,865.</w:t>
      </w:r>
    </w:p>
    <w:p>
      <w:pPr>
        <w:spacing w:after="0" w:line="15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James Mead. </w:t>
      </w:r>
      <w:r>
        <w:rPr>
          <w:rFonts w:ascii="Arial" w:cs="Arial" w:eastAsia="Arial" w:hAnsi="Arial"/>
          <w:sz w:val="16"/>
          <w:szCs w:val="16"/>
          <w:color w:val="auto"/>
        </w:rPr>
        <w:t>James Mead's employment and non-competition agreement had a term beginning on January 1, 2014 and ending on January 1, 2015. The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provided for an annual salary of at least $525,000, and such discretionary annual bonuses as we, in our sole discretion, may deem appropriate to reward Mr. Mead for his job performance. Pursuant to his employment agreement, on October 28, 2013, we granted Mr. Mead 7,500 shares of restricted stock subject to time-based vesting in four equal quarterly installments at the end of each fiscal quarter during 2014, subject to continued employment through such dates. On or after March 31, 2014, either party was permitted to terminate Mr. Mead's employment upon at least 90 days' prior written notice. In the event of such a termination or a termination upon the expiration of the term, the agreement provided that Mr. Mead would receive a cash severance payment of $550,000 and would remain eligible to receive his discretionary bonus for 2014, prorated based on the portion of the year that Mr. Mead was employed by the Company. In the event that such termination was by the Company on any date other than the end of a calendar quarter,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Mr. Mead would receive accelerated vesting of the portion of the 7,500 shares of restricted stock awarded in connection with his employment agreement that would have vested had Mr. Mead remained employed by the Company through the end of the calendar quarter in which the termination occurred. The agreement did not apply to any other equity awards, including awards pursuant to the Company's 2010 Notional Unit Plan and 2011 Outperformance Plan. The agreement also provided for Mr. Mead to be subject to the following obligations upon terminations of his employment: (i) non-solicitation of our employees for 24 months; (ii) non-disparagement of the Company; and (iii) nondisclosure of confidential information.</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previously disclosed, Mr. Mead's employment was terminated on January 1, 2015 upon the expiration of the term of Mr. Mead's employment and non-competition agreement. Accordingly, pursuant to the agreement, we entered into a mutual release agreement with Mr. Mead and Mr. Mead is entitled to receive a cash severance payment of $550,000. In addition, pursuant to the terms of our 2011 Outperformance Plan, Mr. Mead will receive 12 months of additional vesting for his awards under the plan. As a result, Mr. Mead will vest in all of the remaining LTIP units he earned under the plan on the earlier of August 31, 2015 or the date of a Change-in-Control. The value of these LTIP units was $1,739,834 as of December 31, 2014 based on the closing price of one share of our common stock on such date and assuming that the value of LTIP units on a per unit basis is equal to the per share value of our common stock. The remaining unvested portion of Mr. Mead's award under our 2010 Notional Unit Plan vested pursuant to its terms on January 1, 2015.</w:t>
      </w:r>
    </w:p>
    <w:p>
      <w:pPr>
        <w:spacing w:after="0" w:line="166"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Andrew Levine's amended and restated employment and non-competition agreement has a term commencing on January 1, 2013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January 1, 2016, which will automatically renew for successive six-month periods unless either party delivers three months' prior written notice of non-renewal under the agreement. The agreement provides for an annual salary of no less than 475,000 from the beginning of the employment period through December 31, 2013, $490,000 from January 1, 2014 through December 31, 2014 and $500,000 from January 1, 2015 through the end of the employment period. In addition, Mr. Levine is entitled to such annual bonuses as we, in our sole discretion, may deem appropriate to reward Mr. Levine for job performance. In connection with the agreement, we also granted Mr. Levine (i) 21,000 LTIP units subject to time-based vesting and (ii) 21,000 LTIP units subject to performance-based vesting. Both the LTIP units subject to time-based vesting and performance-based vesting have vested or will vest in three equal, annual installments on January 1, 2014, January 1, 2015 and January 1, 2016, subject to continued employment through such dates and also, in the case of the LTIP units subject to performance-based vesting, the achievement of any of the following performance hurdles during the fiscal year prior to such vesting date (or on a cumulative basis from the beginning of 2013 through the end of such fiscal year): (i) 7% or greater increase in funds from operations on a per-share basis, (ii) 7% or greater total return to stockholders or (iii) total return to stockholders or percentage increase in funds from operations in the top 40% of a peer group of companies determined each year by our Compensation Committee.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Levine's employment is terminated for any reason, under the agreement he will be subject to the following continuing obligations after termination:</w:t>
      </w:r>
    </w:p>
    <w:p>
      <w:pPr>
        <w:spacing w:after="0" w:line="38" w:lineRule="exact"/>
        <w:rPr>
          <w:sz w:val="20"/>
          <w:szCs w:val="20"/>
          <w:color w:val="auto"/>
        </w:rPr>
      </w:pPr>
    </w:p>
    <w:p>
      <w:pPr>
        <w:ind w:right="80" w:firstLine="8"/>
        <w:spacing w:after="0" w:line="292" w:lineRule="auto"/>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noncompetition with us for 12 months unless employment is terminated upon non-renewal of the agreement or by us without Cause or Mr. Levine for Good Reason within 18 months after a Change-in-Control; (ii) nonsolicitation of our employees for 24 months (unless employment is terminated by us without Cause or Mr. Levine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2014, Mr. Levine would have been entitled to the following payments and benefits:</w:t>
      </w:r>
    </w:p>
    <w:p>
      <w:pPr>
        <w:spacing w:after="0" w:line="184" w:lineRule="exact"/>
        <w:rPr>
          <w:sz w:val="20"/>
          <w:szCs w:val="20"/>
          <w:color w:val="auto"/>
        </w:rPr>
      </w:pPr>
    </w:p>
    <w:p>
      <w:pPr>
        <w:ind w:left="1080" w:right="3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Change-in-Control without termination. </w:t>
      </w:r>
      <w:r>
        <w:rPr>
          <w:rFonts w:ascii="Arial" w:cs="Arial" w:eastAsia="Arial" w:hAnsi="Arial"/>
          <w:sz w:val="18"/>
          <w:szCs w:val="18"/>
          <w:color w:val="auto"/>
        </w:rPr>
        <w:t>Under our 2010 Notional Unit Plan and our 2011 Outperformance Plan, the time-based vesting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would have been accelerated.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accelerated time-based vesting under our 2010 Notional Unit Plan would have resulted in Mr. Levine receiving a total value of $3,580,360.</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Mr. Levine would not have received any additional benefits or payments in the event of a Change-in-Control under his employment agreement or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otherwise. Under the employment agreement, in the event that any payment or benefit constitutes an excess "parachute payment" under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Section 280G of the IRC subject to an excise tax, Mr. Levine will not be entitled to a tax gross-up payment; however, Mr. Levine's payments and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benefits would be reduced to the extent necessary to avoid such excise taxes, but only if such a reduction of pay or benefits would result in a</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greater after-tax benefit to Mr. Levine. In order to avoid creating an opportunity for a successor to induce Mr. Levine to terminate his employment</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without Good Reason following a Change-in-Control, Mr. Levine will be entitled to receive cash compensation following a Change-in-Control at a</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per annum rate equal to the sum of his base salary in effect prior to the Change-in-Control plus his annual bonus and the value of his equity awards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(other than those granted under outperformance plans) that vested during the most recent fiscal year prior to the Change-in-Control, and the failure</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 pay such compensation after a Change-in-Control will constitute Good Reason. In addition, upon a Change-in-Control, the performance-based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vesting criteria for the additional LTIP unit awards granted to Mr. Levine in 2014 in recognition of our strong stock price performance during the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three-year performance period under our 2011 Outperformance Plan will be determined based on performance through the date of the Change-in-</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Control, but these awards will remain subject to vesting based on continued employment through the originally established vesting dates. If a</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Change-in-Control had occurred on December 31, 2014, the performance-based vesting criteria for these awards would have been satisfied.</w:t>
      </w:r>
    </w:p>
    <w:p>
      <w:pPr>
        <w:spacing w:after="0" w:line="255"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would have received no payments or benefits.</w:t>
      </w:r>
    </w:p>
    <w:p>
      <w:pPr>
        <w:spacing w:after="0" w:line="252"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$2,582,000, which is equal to the sum of (i) his average annual base salary in effect during the preceding 24 months, or his Average Annual Base Salary, plus (ii) a bonus equal to the average annual cash bonuses (including any portion of the annual cash bonus paid in the form of equity awards, but excluding any annual or other equity awards made other than as payment of a cash bonus) paid to him for the two most recently completed fiscal years, or his Average Annual Cash Bonus. Under Mr. Levine's employment agreement, Mr. Levine also would have received medical and welfare benefit continuation payments for 12 months, which is projected to aggregate approximately $27,501. Under Mr. Levine's employment agreement, all of his outstanding equity awards, other than those made under our outperformance plans, would have fully vested at termination. The accelerated vesting would have resulted in total value of $ 4,384,591. Under our 2010 Notional Unit Plan and our 2011 Outperformance Plan, Mr. Levine also would have 12 months of additional vesting for his awards under those plans. Mr. Levine would have received a total value of $3,580,360 from this 12 months of additional vesting. Mr. Levine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191" w:lineRule="exact"/>
        <w:rPr>
          <w:rFonts w:ascii="Arial" w:cs="Arial" w:eastAsia="Arial" w:hAnsi="Arial"/>
          <w:sz w:val="16"/>
          <w:szCs w:val="16"/>
          <w:color w:val="auto"/>
        </w:rPr>
      </w:pPr>
    </w:p>
    <w:p>
      <w:pPr>
        <w:ind w:left="1080" w:right="180" w:hanging="532"/>
        <w:spacing w:after="0" w:line="294"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Levine's employment agreement, if Mr. Levine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Levine for Good Reason in connection with or within 18 months after a Change-in-Control, Mr. Levine would have received a cash severance payment of $4,115,000, which is equal to the sum of (i) two times his Average Annual Base Salary, plus (ii) two times his Average Annual Cash Bonus, plus (iii) a pro rata bonus for the year in which Mr. Levine's employment was terminated (and a bonus for the prior year if such bonus had not yet been determined) based on Mr. Levine's Average Annual Cash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88" w:lineRule="auto"/>
        <w:rPr>
          <w:sz w:val="20"/>
          <w:szCs w:val="20"/>
          <w:color w:val="auto"/>
        </w:rPr>
      </w:pPr>
      <w:r>
        <w:rPr>
          <w:rFonts w:ascii="Arial" w:cs="Arial" w:eastAsia="Arial" w:hAnsi="Arial"/>
          <w:sz w:val="16"/>
          <w:szCs w:val="16"/>
          <w:color w:val="auto"/>
        </w:rPr>
        <w:t>Bonus. Under Mr. Levine's employment agreement, Mr. Levine also would have received medical and welfare benefit continuation payments for 24 months, which is projected to aggregate approximately $55,002. Under Mr. Levine's employment agreement, all of his outstanding equity awards, other than those made under our 2010 Notional Unit Plan and our 2011 Outperformance Plan, would have fully vested at termination. Under our 2010 Notional Unit Plan and our 2011 Outperformance Plan, the time-based vesting of the awards would have been accelerated. The combination of the accelerated vesting under Mr. Levine's employment agreement, our 2010 Notional Unit Plan and our 2011 Outperformance Plan results in total value of $7,964,950.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w:t>
      </w:r>
    </w:p>
    <w:p>
      <w:pPr>
        <w:spacing w:after="0" w:line="187"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Levine's employment agreement, Mr. Levine would have received a cash severance payment of</w:t>
      </w:r>
    </w:p>
    <w:p>
      <w:pPr>
        <w:spacing w:after="0" w:line="38" w:lineRule="exact"/>
        <w:rPr>
          <w:rFonts w:ascii="Arial" w:cs="Arial" w:eastAsia="Arial" w:hAnsi="Arial"/>
          <w:sz w:val="16"/>
          <w:szCs w:val="16"/>
          <w:color w:val="auto"/>
        </w:rPr>
      </w:pPr>
    </w:p>
    <w:p>
      <w:pPr>
        <w:ind w:left="1080" w:right="100"/>
        <w:spacing w:after="0" w:line="300" w:lineRule="auto"/>
        <w:rPr>
          <w:rFonts w:ascii="Arial" w:cs="Arial" w:eastAsia="Arial" w:hAnsi="Arial"/>
          <w:sz w:val="16"/>
          <w:szCs w:val="16"/>
          <w:color w:val="auto"/>
        </w:rPr>
      </w:pPr>
      <w:r>
        <w:rPr>
          <w:rFonts w:ascii="Arial" w:cs="Arial" w:eastAsia="Arial" w:hAnsi="Arial"/>
          <w:sz w:val="15"/>
          <w:szCs w:val="15"/>
          <w:color w:val="auto"/>
        </w:rPr>
        <w:t>$2,582,500, which is equal to the sum of (i) his Average Annual Base Salary, plus (ii) his Average Annual Cash Bonus, plus (iii) a pro rata bonus for the year in which his employment was terminated (and a bonus for the prior year if such bonus had not yet been determined) based on his Average Annual Cash Bonus. Under Mr. Levine's employment agreement, Mr. Levine also would have continued to receive medical and welfare benefit continuation payments for 36 months, which is projected to aggregate approximately $82,503. Mr. Levine also would have received</w:t>
      </w:r>
    </w:p>
    <w:p>
      <w:pPr>
        <w:spacing w:after="0" w:line="1" w:lineRule="exact"/>
        <w:rPr>
          <w:rFonts w:ascii="Arial" w:cs="Arial" w:eastAsia="Arial" w:hAnsi="Arial"/>
          <w:sz w:val="16"/>
          <w:szCs w:val="16"/>
          <w:color w:val="auto"/>
        </w:rPr>
      </w:pPr>
    </w:p>
    <w:p>
      <w:pPr>
        <w:ind w:left="1080" w:right="60"/>
        <w:spacing w:after="0" w:line="252" w:lineRule="auto"/>
        <w:rPr>
          <w:rFonts w:ascii="Arial" w:cs="Arial" w:eastAsia="Arial" w:hAnsi="Arial"/>
          <w:sz w:val="16"/>
          <w:szCs w:val="16"/>
          <w:color w:val="auto"/>
        </w:rPr>
      </w:pPr>
      <w:r>
        <w:rPr>
          <w:rFonts w:ascii="Arial" w:cs="Arial" w:eastAsia="Arial" w:hAnsi="Arial"/>
          <w:sz w:val="18"/>
          <w:szCs w:val="18"/>
          <w:color w:val="auto"/>
        </w:rPr>
        <w:t>12 months of additional vesting for his outstanding equity awards, other than those made under our 2010 Notional Unit Plan and our 2011 Outperformance Plan, and full vesting for his stock options and his equity awards granted in lieu of cash bonuses. Under our 2010 Notional Unit Plan and our 2011 Outperformance Plan, the time-based vesting of the awards would have been accelerated. The combination of the accelerated vesting under Mr. Levine's employment agreement, our 2010 Notional Unit Plan and our 2011 Outperformance Plan results in total value of $7,634,670. 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w:t>
      </w:r>
    </w:p>
    <w:p>
      <w:pPr>
        <w:spacing w:after="0" w:line="227"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a bonus for the prior year if such bonus had not yet been determined) based on his Average Annual Cash Bonus. Mr. Levine's estate also would have received 12 months of additional vesting for his outstanding equity awards, other than those made under our 2010 Notional Unit Plan and our 2011 Outperformance Plan, and full vesting for his stock options and his equity awards granted in lieu of cash bonuses. Under our 2010 Notional Unit Plan and our 2011 Outperformance Plan, the time-based vesting of the awards would have been accelerated. The combination of the pro rata bonus, the accelerated vesting under Mr. Levine's employment agreement and our 2010 Notional Unit Plan and our 2011 Outperformance Plan results in total value of $8,684,670.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Compensation Committee is comprised of John H. Alschuler, Edwin Thomas Burton, III and John S. Levy. There are no Compensation Committee interlocks and none of our employees is a member of our Compensation Committee.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beneficial ownership of our common stock, $0.01 par value per share as of March 31, 2015, unless otherwise noted, for</w:t>
      </w:r>
    </w:p>
    <w:p>
      <w:pPr>
        <w:spacing w:after="0" w:line="38" w:lineRule="exact"/>
        <w:rPr>
          <w:sz w:val="20"/>
          <w:szCs w:val="20"/>
          <w:color w:val="auto"/>
        </w:rPr>
      </w:pPr>
    </w:p>
    <w:p>
      <w:pPr>
        <w:ind w:right="100" w:firstLine="8"/>
        <w:spacing w:after="0" w:line="253" w:lineRule="auto"/>
        <w:tabs>
          <w:tab w:leader="none" w:pos="2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the Company's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2015, there were 99,532,817 shares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 Nature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 Ownership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Percent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13,411,248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Cohen &amp; Steers, Inc.(2)</w:t>
            </w:r>
          </w:p>
        </w:tc>
        <w:tc>
          <w:tcPr>
            <w:tcW w:w="1500" w:type="dxa"/>
            <w:vAlign w:val="bottom"/>
          </w:tcPr>
          <w:p>
            <w:pPr>
              <w:jc w:val="right"/>
              <w:spacing w:after="0"/>
              <w:rPr>
                <w:sz w:val="20"/>
                <w:szCs w:val="20"/>
                <w:color w:val="auto"/>
              </w:rPr>
            </w:pPr>
            <w:r>
              <w:rPr>
                <w:rFonts w:ascii="Arial" w:cs="Arial" w:eastAsia="Arial" w:hAnsi="Arial"/>
                <w:sz w:val="18"/>
                <w:szCs w:val="18"/>
                <w:color w:val="auto"/>
              </w:rPr>
              <w:t>12,340,237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9,413,900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FMR LLC(4)</w:t>
            </w:r>
          </w:p>
        </w:tc>
        <w:tc>
          <w:tcPr>
            <w:tcW w:w="1500" w:type="dxa"/>
            <w:vAlign w:val="bottom"/>
          </w:tcPr>
          <w:p>
            <w:pPr>
              <w:jc w:val="right"/>
              <w:spacing w:after="0"/>
              <w:rPr>
                <w:sz w:val="20"/>
                <w:szCs w:val="20"/>
                <w:color w:val="auto"/>
              </w:rPr>
            </w:pPr>
            <w:r>
              <w:rPr>
                <w:rFonts w:ascii="Arial" w:cs="Arial" w:eastAsia="Arial" w:hAnsi="Arial"/>
                <w:sz w:val="18"/>
                <w:szCs w:val="18"/>
                <w:color w:val="auto"/>
              </w:rPr>
              <w:t>6,274,214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H. Alschuler (5)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Betsy S. Atkins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Edwin Thomas Burton, III(6)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Matthew J. DiLiberto(7)</w:t>
            </w:r>
          </w:p>
        </w:tc>
        <w:tc>
          <w:tcPr>
            <w:tcW w:w="1500" w:type="dxa"/>
            <w:vAlign w:val="bottom"/>
          </w:tcPr>
          <w:p>
            <w:pPr>
              <w:jc w:val="right"/>
              <w:spacing w:after="0"/>
              <w:rPr>
                <w:sz w:val="20"/>
                <w:szCs w:val="20"/>
                <w:color w:val="auto"/>
              </w:rPr>
            </w:pPr>
            <w:r>
              <w:rPr>
                <w:rFonts w:ascii="Arial" w:cs="Arial" w:eastAsia="Arial" w:hAnsi="Arial"/>
                <w:sz w:val="18"/>
                <w:szCs w:val="18"/>
                <w:color w:val="auto"/>
              </w:rPr>
              <w:t>20,472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L. Green(8)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Craig M. Hatkoff(9)</w:t>
            </w:r>
          </w:p>
        </w:tc>
        <w:tc>
          <w:tcPr>
            <w:tcW w:w="1500" w:type="dxa"/>
            <w:vAlign w:val="bottom"/>
          </w:tcPr>
          <w:p>
            <w:pPr>
              <w:jc w:val="right"/>
              <w:spacing w:after="0"/>
              <w:rPr>
                <w:sz w:val="20"/>
                <w:szCs w:val="20"/>
                <w:color w:val="auto"/>
              </w:rPr>
            </w:pPr>
            <w:r>
              <w:rPr>
                <w:rFonts w:ascii="Arial" w:cs="Arial" w:eastAsia="Arial" w:hAnsi="Arial"/>
                <w:sz w:val="18"/>
                <w:szCs w:val="18"/>
                <w:color w:val="auto"/>
              </w:rPr>
              <w:t>24,801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Holliday(10)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Andrew S. Levine(11)</w:t>
            </w:r>
          </w:p>
        </w:tc>
        <w:tc>
          <w:tcPr>
            <w:tcW w:w="1500" w:type="dxa"/>
            <w:vAlign w:val="bottom"/>
          </w:tcPr>
          <w:p>
            <w:pPr>
              <w:jc w:val="right"/>
              <w:spacing w:after="0"/>
              <w:rPr>
                <w:sz w:val="20"/>
                <w:szCs w:val="20"/>
                <w:color w:val="auto"/>
              </w:rPr>
            </w:pPr>
            <w:r>
              <w:rPr>
                <w:rFonts w:ascii="Arial" w:cs="Arial" w:eastAsia="Arial" w:hAnsi="Arial"/>
                <w:sz w:val="18"/>
                <w:szCs w:val="18"/>
                <w:color w:val="auto"/>
              </w:rPr>
              <w:t>59,790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Levy(12)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Andrew Mathias(13)</w:t>
            </w:r>
          </w:p>
        </w:tc>
        <w:tc>
          <w:tcPr>
            <w:tcW w:w="1500" w:type="dxa"/>
            <w:vAlign w:val="bottom"/>
          </w:tcPr>
          <w:p>
            <w:pPr>
              <w:jc w:val="right"/>
              <w:spacing w:after="0"/>
              <w:rPr>
                <w:sz w:val="20"/>
                <w:szCs w:val="20"/>
                <w:color w:val="auto"/>
              </w:rPr>
            </w:pPr>
            <w:r>
              <w:rPr>
                <w:rFonts w:ascii="Arial" w:cs="Arial" w:eastAsia="Arial" w:hAnsi="Arial"/>
                <w:sz w:val="18"/>
                <w:szCs w:val="18"/>
                <w:color w:val="auto"/>
              </w:rPr>
              <w:t>615,040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2,365,744</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1680" w:hanging="531"/>
        <w:spacing w:after="0"/>
        <w:tabs>
          <w:tab w:leader="none" w:pos="16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1680" w:hanging="531"/>
        <w:spacing w:after="0" w:line="261" w:lineRule="auto"/>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11, 2015, as of December 31, 2014, The Vanguard Group ("Vanguard") may be deemed to beneficially own an aggregate of 13,411,248 shares of our common stock in its capacity as an investment advisor, which includes 56,096 shares of our common stock held by Vanguard Fiduciary Trust Company as a result of its serving as investment manager of collective trust accounts and 280,646 shares of common stock held by Vanguard Investments Australia, Ltd. as a result of its serving as investment manager of Australian investment offerings. The business address of Vanguard is 100 Vanguard Blvd., Malvern, PA 19355. According to information received from Vanguard, the number of shares reported as beneficially owned by Vanguard in such Schedule 13G/A includes 7,096,370 shares, representing 7.12% of our outstanding common stock, that Vanguard Specialized Funds—Vanguard REIT Index Fund separately reported as beneficially owned in a</w:t>
      </w:r>
    </w:p>
    <w:p>
      <w:pPr>
        <w:spacing w:after="0" w:line="2"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4"/>
          <w:szCs w:val="14"/>
          <w:color w:val="auto"/>
        </w:rPr>
        <w:t>Schedule 13G/A filed on February 6, 2015 with the SEC.</w:t>
      </w:r>
    </w:p>
    <w:p>
      <w:pPr>
        <w:spacing w:after="0" w:line="110" w:lineRule="exact"/>
        <w:rPr>
          <w:rFonts w:ascii="Arial" w:cs="Arial" w:eastAsia="Arial" w:hAnsi="Arial"/>
          <w:sz w:val="12"/>
          <w:szCs w:val="12"/>
          <w:color w:val="auto"/>
        </w:rPr>
      </w:pPr>
    </w:p>
    <w:p>
      <w:pPr>
        <w:ind w:left="1680" w:hanging="531"/>
        <w:spacing w:after="0" w:line="230"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17, 2015, as of December 31, 2014, Cohen &amp; Steers, Inc., Cohen &amp; Steers Capital Management, Inc. and Cohen &amp; Steers UK Ltd., collectively, may be deemed to beneficially own an aggregate of 12,340,237 shares of our common stock. The business address for Cohen &amp; Steers, Inc. and Cohen &amp; Steers Capital Management, Inc. is 280 Park Avenue, 10th Floor, New York, NY 10017. The business address for Cohen &amp; Steers UK Ltd. is 21 Sackville Street, 4th Floor, London, United Kingdom W1S 3DN.</w:t>
      </w:r>
    </w:p>
    <w:p>
      <w:pPr>
        <w:spacing w:after="0" w:line="112" w:lineRule="exact"/>
        <w:rPr>
          <w:rFonts w:ascii="Arial" w:cs="Arial" w:eastAsia="Arial" w:hAnsi="Arial"/>
          <w:sz w:val="14"/>
          <w:szCs w:val="14"/>
          <w:color w:val="auto"/>
        </w:rPr>
      </w:pPr>
    </w:p>
    <w:p>
      <w:pPr>
        <w:ind w:left="1680" w:right="220" w:hanging="531"/>
        <w:spacing w:after="0" w:line="288" w:lineRule="auto"/>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January 15, 2015, as of December 31, 2014, BlackRock, Inc., BlackRock (Luxembourg) S.A., BlackRock (Netherlands) B.V., BlackRock Advisors (UK) Limited, BlackRock Advisors, LLC, BlackRock Asset Management Canada Limited, BlackRock Asset Management Deutschland AG, BlackRock Asset Management Ireland Limited, BlackRock Asset Management North Asia Limited, BlackRock Financial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40"/>
        <w:spacing w:after="0" w:line="230" w:lineRule="auto"/>
        <w:rPr>
          <w:sz w:val="20"/>
          <w:szCs w:val="20"/>
          <w:color w:val="auto"/>
        </w:rPr>
      </w:pPr>
      <w:r>
        <w:rPr>
          <w:rFonts w:ascii="Arial" w:cs="Arial" w:eastAsia="Arial" w:hAnsi="Arial"/>
          <w:sz w:val="14"/>
          <w:szCs w:val="14"/>
          <w:color w:val="auto"/>
        </w:rPr>
        <w:t>Management, Inc., BlackRock Fund Advisors, BlackRock Fund Managers Ltd, BlackRock Institutional Trust Company, N.A., BlackRock International Limited, BlackRock Investment Management (Australia) Limited, BlackRock Investment Management (UK) Ltd, BlackRock Investment Management, LLC, BlackRock Japan Co Ltd and BlackRock Life Limited, or, collectively, BlackRock, may be deemed to beneficially own an aggregate of 9,413,900 shares of our common stock. The business address for BlackRock is 55 East 52nd Street, New York, NY 10022.</w:t>
      </w:r>
    </w:p>
    <w:p>
      <w:pPr>
        <w:spacing w:after="0" w:line="180" w:lineRule="exact"/>
        <w:rPr>
          <w:sz w:val="20"/>
          <w:szCs w:val="20"/>
          <w:color w:val="auto"/>
        </w:rPr>
      </w:pPr>
    </w:p>
    <w:p>
      <w:pPr>
        <w:ind w:left="1680" w:right="120" w:hanging="531"/>
        <w:spacing w:after="0" w:line="288"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13, 2015, as of December 31, 2014, FMR LLC, Edward C. Johnson 3d, Abigail P. Johnson, FMR Co., Inc., Pyramis Global Advisors, LLC and Pyramis Global Advisors Trust Company, or, collectively, Fidelity, may be deemed to beneficially own an aggregate of 6,274,214 shares of our common stock. The business address for Fidelity is 245 Summer Street, Boston, MA 02210.</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26,500 shares of our common stock subject to options exercisable within 60 days of March 31, 2015 and 10,129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6,000 shares of our common stock subject to options exercisable within 60 days of March 31, 2015 and 32,698 phantom units.</w:t>
      </w:r>
    </w:p>
    <w:p>
      <w:pPr>
        <w:spacing w:after="0" w:line="122" w:lineRule="exact"/>
        <w:rPr>
          <w:rFonts w:ascii="Arial" w:cs="Arial" w:eastAsia="Arial" w:hAnsi="Arial"/>
          <w:sz w:val="14"/>
          <w:szCs w:val="14"/>
          <w:color w:val="auto"/>
        </w:rPr>
      </w:pPr>
    </w:p>
    <w:p>
      <w:pPr>
        <w:ind w:left="1680" w:right="40" w:hanging="531"/>
        <w:spacing w:after="0" w:line="288"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10,000 shares of our common stock subject to options exercisable within 60 days of March 31, 2015 and 9,692 LTIP units convertible into limited partnership units in SL Green Operating Partnership, L.P. ("OP Units") within 60 days of March 31, 2015. The total excludes LTIP units that remain subject to performance-based vesting conditions, 26,489 LTIP units that remain subject to time-based vesting conditions and 20,742 vested LTIP units that are not convertible into OP Units within 60 days of March 31, 2015.</w:t>
      </w:r>
    </w:p>
    <w:p>
      <w:pPr>
        <w:spacing w:after="0" w:line="83" w:lineRule="exact"/>
        <w:rPr>
          <w:rFonts w:ascii="Arial" w:cs="Arial" w:eastAsia="Arial" w:hAnsi="Arial"/>
          <w:sz w:val="12"/>
          <w:szCs w:val="12"/>
          <w:color w:val="auto"/>
        </w:rPr>
      </w:pPr>
    </w:p>
    <w:p>
      <w:pPr>
        <w:ind w:left="1680" w:right="40" w:hanging="531"/>
        <w:spacing w:after="0" w:line="233" w:lineRule="auto"/>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817,140 OP Units held directly or indirectly through certain partnerships and other similar entities and 42,106 vested LTIP units convertible into OP Units within 60 days of March 31, 2015. The total excludes LTIP units that remain subject to performance-based vesting conditions, 42,107 LTIP units that remain subject to time-based vesting conditions and 128,428 vested LTIP units that are not convertible into OP Units within 60 days of March 31, 2015.</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20,500 shares of our common stock subject to options exercisable within 60 days of March 31, 2015.</w:t>
      </w:r>
    </w:p>
    <w:p>
      <w:pPr>
        <w:spacing w:after="0" w:line="122"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133,332 shares of our common stock subject to options exercisable within 60 days of March 31, 2015 and 382,176 LTIP units convertible into OP Units within 60 days of March 31, 2015. The total excludes LTIP units that remain subject to performance-based vesting conditions, 95,442 LTIP units that remain subject to time-based vesting conditions and 379,754 vested LTIP units that are not convertible into OP Units within 60 days of March 31, 2015.</w:t>
      </w:r>
    </w:p>
    <w:p>
      <w:pPr>
        <w:spacing w:after="0" w:line="111" w:lineRule="exact"/>
        <w:rPr>
          <w:rFonts w:ascii="Arial" w:cs="Arial" w:eastAsia="Arial" w:hAnsi="Arial"/>
          <w:sz w:val="14"/>
          <w:szCs w:val="14"/>
          <w:color w:val="auto"/>
        </w:rPr>
      </w:pPr>
    </w:p>
    <w:p>
      <w:pPr>
        <w:ind w:left="1680" w:hanging="531"/>
        <w:spacing w:after="0" w:line="233" w:lineRule="auto"/>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8,332 shares of our common stock subject to options exercisable within 60 days of March 31, 2015 and 35,454 LTIP units convertible into OP Units within 60 days of March 31, 2015. The total excludes LTIP units that remain subject to performance-based vesting conditions, 24,710 LTIP units that remain subject to time-based vesting conditions and 55,157 vested LTIP units that are not convertible into OP Units within 60 days of March 31, 2015.</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50,500 shares of our common stock subject to options exercisable within 60 days of March 31, 2015 and 38,388 phantom units.</w:t>
      </w:r>
    </w:p>
    <w:p>
      <w:pPr>
        <w:spacing w:after="0" w:line="122" w:lineRule="exact"/>
        <w:rPr>
          <w:rFonts w:ascii="Arial" w:cs="Arial" w:eastAsia="Arial" w:hAnsi="Arial"/>
          <w:sz w:val="14"/>
          <w:szCs w:val="14"/>
          <w:color w:val="auto"/>
        </w:rPr>
      </w:pPr>
    </w:p>
    <w:p>
      <w:pPr>
        <w:ind w:left="1680" w:hanging="531"/>
        <w:spacing w:after="0" w:line="233" w:lineRule="auto"/>
        <w:tabs>
          <w:tab w:leader="none" w:pos="16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43,332 shares of our common stock subject to options exercisable within 60 days of March 31, 2015 and 232,294 LTIP units convertible into OP Units within 60 days of March 31, 2015. The total excludes LTIP units that remain subject to performance-based vesting conditions, 72,325 LTIP units that remain subject to time-based vesting conditions and 205,630 vested LTIP units that are not convertible into OP Units within 60 days of March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Mr. Green who inadvertently failed to timely file a Form 4 relating to the sale of shares of the Company's common stock during fiscal year 2014. In addition, Mr. Mead inadvertently failed to file a Form 4 during fiscal year 2013 relating to the withholding of shares of the Company's common stock to satisfy tax withholding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are not involved in any legal proceeding in which any of our directors or executive officers is adverse to the Company or in any material pending legal proceeding.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our board of directors.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 Income earned from profit participation was approximately $3.8 million, $3.5 million and $4.0 million for the years ended December 31, 2014, 2013 and 2012, respectively. We also recorded expenses of approximately $21.5 million, $23.4 million and $20.5 million for the years ended December 31, 2014, 2013 and 2012, respectively, for these services (excluding services provided directly to tenants).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such entity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$444,300, $441,100 and $384,900 for the years ended December 31, 2014, 2013 and 2012,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Services</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A-List Marketing, LLC, or A-List, provided marketing services to us. Deena Wolff, a sister of Marc Holliday, our Chief Executive Officer, is the founder of A-List. We recorded approximately $221,100, $293,600 and $155,500 for the years ended December 31, 2014, 2013 and 2012,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related parties at December 31, 2014 and 2013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Due from joint ventures</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6,154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500" w:type="dxa"/>
            <w:vAlign w:val="bottom"/>
            <w:vMerge w:val="restart"/>
          </w:tcPr>
          <w:p>
            <w:pPr>
              <w:jc w:val="right"/>
              <w:ind w:right="2172"/>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Stockholders who, in accordance with the Rule 14a-8 under the Securities Exchange Act of 1934, as amended, wish to present proposals for inclusion in the proxy materials to be distributed by us in connection with our 2016 annual meeting must submit their proposals to our Corporate Secretary on or before December 26, 2015.</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annual meeting:</w:t>
      </w:r>
    </w:p>
    <w:p>
      <w:pPr>
        <w:spacing w:after="0" w:line="183"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less than 90 days nor more than 180 days prior to the first anniversary of the preceding year's annual meeting; or</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earlier than the 180th day prior to such annual meeting and not later than the close of business on the later of the 90th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7"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Assuming that our 2016 annual meeting is not advanced by more than seven calendar days or delayed by more than 60 days from the anniversary date of the 2015 annual meeting, we must receive notice of your intention to introduce a nomination or other item of business at the 2016 annual meeting after December 7, 2015 and no later than March 6, 2016.</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notice of a nomination must contain all information relating to such person (the "Proposed Nominee") and relating to the stockholder giving the notice that is required by our bylaws, including information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notice of a nomination or of a proposed item of business must contain, as to the stockholder giving the notice, any Proposed Nominee and any person acting in concert with such stockholder, any beneficial owner of Company Securities (as defined below) with such stockholder, any beneficial owner of Company Securities owned of record or beneficially by such stockholder (other than a stockholder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that is a depositary) and any person that, directly or indirectly through one or more intermediaries, controls, is controlled by or is under common control with such stockholder or Stockholder Associated Person (a "Stockholder Associated Person"), the information required by our bylaws, including (i) the name and address of such stockholder, as they appear on SL Green's books, and the current name, business address and residence address of any such Stockholder Associated Person or Proposed Nominee, (ii) as of the date of the notice, the number of shares, if any, of each class of stock or other security of the Company or any affiliate thereof (the "Company Securities") which are owned beneficially and/or of record by such stockholder, Proposed Nominee or Stockholder Associated Person, the date on which each such Company Security was acquired and the investment intent of such acquisition, and (iii) as of the date of the notice, whether and the extent to which, such stockholder, Proposed Nominee or Stockholder Associated Person is subject to, or during the past six months has, directly or indirectly (through brokers, nominees or otherwise),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(x) for any such stockholder, Proposed Nominee or Stockholder Associated Person, to mitigate loss to or manage risk or benefit from changes in the price of Company Securities or (y) to increase or decrease, disproportionately to the economic interest, the voting power of any such stockholder, Proposed Nominee or Stockholder Associated Person in the Company or any affiliate thereof.</w:t>
      </w:r>
    </w:p>
    <w:p>
      <w:pPr>
        <w:spacing w:after="0" w:line="178"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7"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320040</wp:posOffset>
            </wp:positionV>
            <wp:extent cx="1826895" cy="565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REGARDING CERTAIN FINANCIAL MEASURES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Below is a reconciliation of income from continuing operations before equity in net income of unconsolidated joint ventures, noncontrolling interests and discontinued operations to operating income and combined same-store cash net operating income for the years ended December 31, 2014 and 2013 (amounts in thousands, except per share data).</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SL Green's share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Unconsolidated Joint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Consolidated Properties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Ventures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5"/>
          </w:tcPr>
          <w:p>
            <w:pPr>
              <w:jc w:val="center"/>
              <w:ind w:right="33"/>
              <w:spacing w:after="0" w:line="12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5"/>
          </w:tcPr>
          <w:p>
            <w:pPr>
              <w:jc w:val="center"/>
              <w:ind w:right="33"/>
              <w:spacing w:after="0" w:line="12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5"/>
          </w:tcPr>
          <w:p>
            <w:pPr>
              <w:jc w:val="center"/>
              <w:ind w:right="54"/>
              <w:spacing w:after="0" w:line="12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continuing operations before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net income from unconsolidated joint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ventures, equity in net gain on sale of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 unconsolidated joint venture/real estate, gain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investment in marketable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securities, purchase price fair value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loss on early extinguishment of debt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174,963</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118,062</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8"/>
              </w:rPr>
              <w:t>Equity in net income from unconsolidated joint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ventures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371,610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317,400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310,894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(32,365)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(18,518)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880,522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760,675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154,792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Marketing, general &amp; administrative expense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92,488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86,192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from discontinued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Loan loss and other investment reserves, net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costs, net of recoveries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Non-building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(217,856)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(201,416)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(17,467)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joint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ventures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income (NOI)</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807,479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722,939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141,079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165,762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948,558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888,701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NOI from discontinued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(37,790)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(64,906)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(37,790)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NOI from other properties/affiliates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(111,992)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(54,941)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(87,906)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(166,933)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(110,343)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Same-Store NOI</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657,697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635,596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743,835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713,452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Ground lease straight-line adjustment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Straight-line and free 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(47,886)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(40,357)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(56,290)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Rental income—FAS 141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Same-store cash NOI</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589,835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577,426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665,579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643,380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presents operating income, net operating income, same-store net operating income and same-store cash net operating income because the Company believes that these measures provide</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investors with useful information regarding the operating performance of properties that are comparable for the periods presented. For properties owned since January 1, 2011 and still owned in the same manner at the end of the current quarter, the Company determines same-store net operating income by subtracting same-store property operating expenses and ground rent from same-store recurring rental and tenant reimbursement revenues. Same-store cash net operating income is derived by deducting same-store straight line and free rent from, and adding same-store tenant credit loss allowance to, same-store net operating income. The Company's share of unconsolidated joint venture net operating income, same-store net operating income and same-store cash net operating income is calculated in the same manner as noted above, but includes just the Company's pro-rata share of the total amounts. Combined net operating income, same-store net operating income and same-store cash net operating income are calculated by combining the Company's consolidated amount with the Company's share of unconsolidated joint venture amounts for each measure. None of these measures is an alternative to net income (determined in accordance with GAAP) and same-store performance should not be considered an alternative to GAAP net income performance.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723265</wp:posOffset>
            </wp:positionH>
            <wp:positionV relativeFrom="page">
              <wp:posOffset>88900</wp:posOffset>
            </wp:positionV>
            <wp:extent cx="5822950" cy="7400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822950" cy="7400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00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00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lvl w:ilvl="1">
      <w:lvlJc w:val="left"/>
      <w:lvlText w:val="(%2)"/>
      <w:numFmt w:val="decimal"/>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ü"/>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lowerRoman"/>
      <w:start w:val="3"/>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lowerRoman"/>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Letter"/>
      <w:start w:val="2"/>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6"/>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lvl w:ilvl="1">
      <w:lvlJc w:val="left"/>
      <w:lvlText w:val="(%2)"/>
      <w:numFmt w:val="lowerLetter"/>
      <w:start w:val="1"/>
    </w:lvl>
  </w:abstractNum>
  <w:abstractNum w:abstractNumId="30">
    <w:nsid w:val="2A487CB0"/>
    <w:multiLevelType w:val="hybridMultilevel"/>
    <w:lvl w:ilvl="0">
      <w:lvlJc w:val="left"/>
      <w:lvlText w:val="(%1)"/>
      <w:numFmt w:val="decimal"/>
      <w:start w:val="2"/>
    </w:lvl>
    <w:lvl w:ilvl="1">
      <w:lvlJc w:val="left"/>
      <w:lvlText w:val="%2"/>
      <w:numFmt w:val="lowerLetter"/>
      <w:start w:val="1"/>
    </w:lvl>
  </w:abstractNum>
  <w:abstractNum w:abstractNumId="31">
    <w:nsid w:val="1D4ED43B"/>
    <w:multiLevelType w:val="hybridMultilevel"/>
    <w:lvl w:ilvl="0">
      <w:lvlJc w:val="left"/>
      <w:lvlText w:val="(%1)"/>
      <w:numFmt w:val="decimal"/>
      <w:start w:val="4"/>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lowerRoman"/>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lowerRoman"/>
      <w:start w:val="2"/>
    </w:lvl>
  </w:abstractNum>
  <w:abstractNum w:abstractNumId="38">
    <w:nsid w:val="6DE91B18"/>
    <w:multiLevelType w:val="hybridMultilevel"/>
    <w:lvl w:ilvl="0">
      <w:lvlJc w:val="left"/>
      <w:lvlText w:val="(%1)"/>
      <w:numFmt w:val="lowerRoman"/>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lowerRoman"/>
      <w:start w:val="1"/>
    </w:lvl>
    <w:lvl w:ilvl="1">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lowerRoman"/>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lowerRoman"/>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4"/>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2019-12-06T23:46:27Z</dcterms:created>
  <dcterms:modified xsi:type="dcterms:W3CDTF">2019-12-06T23:46:27Z</dcterms:modified>
</cp:coreProperties>
</file>